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试验名称：手动折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叠</w:t>
      </w:r>
      <w:r>
        <w:rPr>
          <w:rFonts w:ascii="宋体" w:hAnsi="宋体" w:eastAsia="宋体"/>
          <w:b/>
          <w:sz w:val="32"/>
          <w:szCs w:val="32"/>
        </w:rPr>
        <w:t>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tblInd w:w="121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58190" cy="46101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777875" cy="456565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8201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2023年02月16日</w:t>
            </w:r>
          </w:p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折叠机芯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B41V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BTM0000008/ BTM0000009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研发中心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范蒙浩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电话：15373888120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2023年9月6日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0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2023年10月17日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手动折拢耐久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</w:rPr>
              <w:t>QBAIC C215142-2022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外购件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年9月6日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研发</w:t>
                </w:r>
                <w:r>
                  <w:rPr>
                    <w:rFonts w:ascii="宋体" w:hAnsi="宋体"/>
                  </w:rPr>
                  <w:t>中心</w:t>
                </w:r>
              </w:sdtContent>
            </w:sdt>
            <w:r>
              <w:rPr>
                <w:rFonts w:ascii="宋体" w:hAnsi="宋体" w:eastAsia="宋体"/>
              </w:rPr>
              <w:t xml:space="preserve"> 送检的</w:t>
            </w:r>
            <w:r>
              <w:rPr>
                <w:rFonts w:hint="eastAsia" w:ascii="宋体" w:hAnsi="宋体"/>
              </w:rPr>
              <w:t>B41V</w:t>
            </w:r>
            <w:r>
              <w:rPr>
                <w:rFonts w:hint="eastAsia" w:ascii="宋体" w:hAnsi="宋体" w:eastAsia="宋体" w:cs="宋体"/>
              </w:rPr>
              <w:t>折叠机芯</w:t>
            </w:r>
            <w:r>
              <w:rPr>
                <w:rFonts w:hint="eastAsia" w:ascii="宋体" w:hAnsi="宋体" w:eastAsia="宋体"/>
              </w:rPr>
              <w:t>依据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QBAIC C215142-2022</w:t>
            </w:r>
            <w:r>
              <w:rPr>
                <w:rFonts w:hint="eastAsia" w:ascii="宋体" w:hAnsi="宋体"/>
              </w:rPr>
              <w:t>进行手动折拢耐久检测</w:t>
            </w:r>
            <w:r>
              <w:rPr>
                <w:rFonts w:ascii="宋体" w:hAnsi="宋体"/>
              </w:rPr>
              <w:t>，经检测</w:t>
            </w:r>
            <w:r>
              <w:rPr>
                <w:rFonts w:hint="eastAsia" w:ascii="宋体" w:hAnsi="宋体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</w:rPr>
              <w:t>年10月17日</w:t>
            </w:r>
            <w:r>
              <w:rPr>
                <w:rFonts w:ascii="Calibri" w:hAnsi="Calibri" w:eastAsia="宋体"/>
              </w:rPr>
              <w:t xml:space="preserve">--- </w:t>
            </w: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年10月31日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温度：20.3℃；湿度：41.7%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推拉力计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>
            <w:pPr>
              <w:ind w:right="-102" w:firstLine="525" w:firstLineChars="2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步入式环境试验仓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R-023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北京东工联华科学仪器设备有限公司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±2℃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</w:t>
            </w: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后视镜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折叠耐久试验台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N-092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</w:pPr>
            <w:r>
              <w:t>ZDNJ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后视镜总成处于实际装配状态，按照设计状态操作500次循环，一次循环为：从驾驶位置折叠到停车位置4次，从驾驶位置向前折叠1次，后视镜总成转动无干涉、调节功能正常。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循环顺序：手动折叠操作顺序依次为：室温下250次循环；在(55±2)℃/95%相对湿度下进行50次循环；室温下50次循环；在(55±2)℃环境条件下进行50次循环。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外后视镜相对供货状态下测得的转矩值的变化量不得超过±20%。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02" w:hRule="atLeast"/>
        </w:trPr>
        <w:tc>
          <w:tcPr>
            <w:tcW w:w="10564" w:type="dxa"/>
          </w:tcPr>
          <w:tbl>
            <w:tblPr>
              <w:tblStyle w:val="7"/>
              <w:tblW w:w="1002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48"/>
              <w:gridCol w:w="2323"/>
              <w:gridCol w:w="2454"/>
              <w:gridCol w:w="269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2430" w:type="pct"/>
                  <w:gridSpan w:val="2"/>
                  <w:vMerge w:val="restart"/>
                  <w:tcBorders>
                    <w:tl2br w:val="single" w:color="auto" w:sz="4" w:space="0"/>
                  </w:tcBorders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样品编号</w:t>
                  </w:r>
                </w:p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1224" w:type="pct"/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折叠机芯124-001-202309</w:t>
                  </w:r>
                </w:p>
              </w:tc>
              <w:tc>
                <w:tcPr>
                  <w:tcW w:w="1346" w:type="pct"/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折叠机芯</w:t>
                  </w:r>
                </w:p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124-002-202309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2430" w:type="pct"/>
                  <w:gridSpan w:val="2"/>
                  <w:vMerge w:val="continue"/>
                  <w:tcBorders>
                    <w:tl2br w:val="single" w:color="auto" w:sz="4" w:space="0"/>
                  </w:tcBorders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</w:p>
              </w:tc>
              <w:tc>
                <w:tcPr>
                  <w:tcW w:w="1224" w:type="pct"/>
                  <w:tcBorders>
                    <w:top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力矩(N·m)</w:t>
                  </w:r>
                </w:p>
              </w:tc>
              <w:tc>
                <w:tcPr>
                  <w:tcW w:w="1346" w:type="pct"/>
                  <w:tcBorders>
                    <w:top w:val="single" w:color="auto" w:sz="4" w:space="0"/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力矩(N·m)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271" w:type="pct"/>
                  <w:vMerge w:val="restart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试验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前</w:t>
                  </w:r>
                </w:p>
              </w:tc>
              <w:tc>
                <w:tcPr>
                  <w:tcW w:w="1159" w:type="pct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方向</w:t>
                  </w:r>
                </w:p>
              </w:tc>
              <w:tc>
                <w:tcPr>
                  <w:tcW w:w="1224" w:type="pc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14.90</w:t>
                  </w:r>
                </w:p>
              </w:tc>
              <w:tc>
                <w:tcPr>
                  <w:tcW w:w="1346" w:type="pct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13.21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271" w:type="pct"/>
                  <w:vMerge w:val="continue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</w:p>
              </w:tc>
              <w:tc>
                <w:tcPr>
                  <w:tcW w:w="1159" w:type="pct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反方向</w:t>
                  </w:r>
                </w:p>
              </w:tc>
              <w:tc>
                <w:tcPr>
                  <w:tcW w:w="1224" w:type="pc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13.72</w:t>
                  </w:r>
                </w:p>
              </w:tc>
              <w:tc>
                <w:tcPr>
                  <w:tcW w:w="1346" w:type="pct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12.07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271" w:type="pct"/>
                  <w:vMerge w:val="restart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试验后</w:t>
                  </w:r>
                </w:p>
              </w:tc>
              <w:tc>
                <w:tcPr>
                  <w:tcW w:w="1159" w:type="pct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方向</w:t>
                  </w:r>
                </w:p>
              </w:tc>
              <w:tc>
                <w:tcPr>
                  <w:tcW w:w="1224" w:type="pc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12.60</w:t>
                  </w:r>
                </w:p>
              </w:tc>
              <w:tc>
                <w:tcPr>
                  <w:tcW w:w="1346" w:type="pct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10.91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271" w:type="pct"/>
                  <w:vMerge w:val="continue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</w:p>
              </w:tc>
              <w:tc>
                <w:tcPr>
                  <w:tcW w:w="1159" w:type="pct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反方向</w:t>
                  </w:r>
                </w:p>
              </w:tc>
              <w:tc>
                <w:tcPr>
                  <w:tcW w:w="1224" w:type="pc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9.86</w:t>
                  </w:r>
                </w:p>
              </w:tc>
              <w:tc>
                <w:tcPr>
                  <w:tcW w:w="1346" w:type="pct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10.34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" w:hRule="atLeast"/>
              </w:trPr>
              <w:tc>
                <w:tcPr>
                  <w:tcW w:w="1271" w:type="pct"/>
                  <w:vMerge w:val="restart"/>
                  <w:vAlign w:val="center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试验后力矩变化量（%）</w:t>
                  </w:r>
                </w:p>
              </w:tc>
              <w:tc>
                <w:tcPr>
                  <w:tcW w:w="1159" w:type="pct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方向</w:t>
                  </w:r>
                </w:p>
              </w:tc>
              <w:tc>
                <w:tcPr>
                  <w:tcW w:w="1224" w:type="pc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-15.44</w:t>
                  </w:r>
                </w:p>
              </w:tc>
              <w:tc>
                <w:tcPr>
                  <w:tcW w:w="1346" w:type="pct"/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-17.41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" w:hRule="atLeast"/>
              </w:trPr>
              <w:tc>
                <w:tcPr>
                  <w:tcW w:w="1271" w:type="pct"/>
                  <w:vMerge w:val="continue"/>
                  <w:vAlign w:val="center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</w:p>
              </w:tc>
              <w:tc>
                <w:tcPr>
                  <w:tcW w:w="1159" w:type="pct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反方向</w:t>
                  </w:r>
                </w:p>
              </w:tc>
              <w:tc>
                <w:tcPr>
                  <w:tcW w:w="1224" w:type="pc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-28.13</w:t>
                  </w:r>
                </w:p>
              </w:tc>
              <w:tc>
                <w:tcPr>
                  <w:tcW w:w="1346" w:type="pct"/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-14.33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430" w:type="pct"/>
                  <w:gridSpan w:val="2"/>
                </w:tcPr>
                <w:p>
                  <w:pPr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是否超过供货状态下转矩值±20%</w:t>
                  </w:r>
                </w:p>
              </w:tc>
              <w:tc>
                <w:tcPr>
                  <w:tcW w:w="1224" w:type="pct"/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是</w:t>
                  </w:r>
                </w:p>
              </w:tc>
              <w:tc>
                <w:tcPr>
                  <w:tcW w:w="1346" w:type="pct"/>
                </w:tcPr>
                <w:p>
                  <w:pPr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ascii="宋体" w:hAnsi="黑体" w:eastAsia="宋体" w:cs="Times New Roman"/>
                      <w:kern w:val="0"/>
                      <w:szCs w:val="20"/>
                    </w:rPr>
                    <w:t>否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292350" cy="17189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</w:rPr>
              <w:drawing>
                <wp:inline distT="0" distB="0" distL="0" distR="0">
                  <wp:extent cx="2287905" cy="171577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028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343785" cy="175768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351" cy="175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drawing>
                <wp:inline distT="0" distB="0" distL="0" distR="0">
                  <wp:extent cx="2448560" cy="1836420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025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454910" cy="1840865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</w:t>
    </w:r>
    <w:r>
      <w:rPr>
        <w:rFonts w:hint="eastAsia" w:ascii="宋体" w:hAnsi="宋体" w:eastAsia="宋体"/>
        <w:sz w:val="21"/>
        <w:szCs w:val="21"/>
      </w:rPr>
      <w:t>906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124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0411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1364"/>
    <w:rsid w:val="00137587"/>
    <w:rsid w:val="001571AB"/>
    <w:rsid w:val="00160EDA"/>
    <w:rsid w:val="00161CFE"/>
    <w:rsid w:val="00171FF3"/>
    <w:rsid w:val="00172696"/>
    <w:rsid w:val="00180B65"/>
    <w:rsid w:val="00187F96"/>
    <w:rsid w:val="00191AB3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2D43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289D"/>
    <w:rsid w:val="00413F8C"/>
    <w:rsid w:val="00434A79"/>
    <w:rsid w:val="00451300"/>
    <w:rsid w:val="004548C2"/>
    <w:rsid w:val="0047431C"/>
    <w:rsid w:val="004816D2"/>
    <w:rsid w:val="00481CB0"/>
    <w:rsid w:val="00494E1E"/>
    <w:rsid w:val="0049614A"/>
    <w:rsid w:val="004A57B9"/>
    <w:rsid w:val="004B53F4"/>
    <w:rsid w:val="004C008A"/>
    <w:rsid w:val="004C245F"/>
    <w:rsid w:val="004C2AB1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85C83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16AC3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  <w:rsid w:val="621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B71B-F181-41D2-BABE-B7B2042C53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156</TotalTime>
  <ScaleCrop>false</ScaleCrop>
  <LinksUpToDate>false</LinksUpToDate>
  <CharactersWithSpaces>1554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2022-12-12T06:30:00Z</dcterms:created>
  <dc:creator>个人用户</dc:creator>
  <cp:lastModifiedBy>Administrator</cp:lastModifiedBy>
  <cp:lastPrinted>2022-09-23T05:27:00Z</cp:lastPrinted>
  <dcterms:modified xsi:type="dcterms:W3CDTF">2023-11-06T08:21:46Z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A6C03EE9B848419D9CF8C319F05FF384_12</vt:lpwstr>
  </property>
</Properties>
</file>