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附表</w:t>
      </w:r>
    </w:p>
    <w:p>
      <w:pPr>
        <w:spacing w:line="360" w:lineRule="auto"/>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组织机构基本情况表</w:t>
      </w:r>
    </w:p>
    <w:tbl>
      <w:tblPr>
        <w:tblStyle w:val="2"/>
        <w:tblW w:w="9951" w:type="dxa"/>
        <w:tblInd w:w="0" w:type="dxa"/>
        <w:tblLayout w:type="fixed"/>
        <w:tblCellMar>
          <w:top w:w="0" w:type="dxa"/>
          <w:left w:w="0" w:type="dxa"/>
          <w:bottom w:w="0" w:type="dxa"/>
          <w:right w:w="0" w:type="dxa"/>
        </w:tblCellMar>
      </w:tblPr>
      <w:tblGrid>
        <w:gridCol w:w="2297"/>
        <w:gridCol w:w="44"/>
        <w:gridCol w:w="44"/>
        <w:gridCol w:w="66"/>
        <w:gridCol w:w="1238"/>
        <w:gridCol w:w="1844"/>
        <w:gridCol w:w="1164"/>
        <w:gridCol w:w="1239"/>
        <w:gridCol w:w="1340"/>
        <w:gridCol w:w="675"/>
      </w:tblGrid>
      <w:tr>
        <w:tblPrEx>
          <w:tblCellMar>
            <w:top w:w="0" w:type="dxa"/>
            <w:left w:w="0" w:type="dxa"/>
            <w:bottom w:w="0" w:type="dxa"/>
            <w:right w:w="0" w:type="dxa"/>
          </w:tblCellMar>
        </w:tblPrEx>
        <w:trPr>
          <w:trHeight w:val="312" w:hRule="atLeast"/>
        </w:trPr>
        <w:tc>
          <w:tcPr>
            <w:tcW w:w="9276" w:type="dxa"/>
            <w:gridSpan w:val="9"/>
            <w:tcBorders>
              <w:top w:val="nil"/>
              <w:left w:val="nil"/>
              <w:bottom w:val="single" w:color="000000" w:sz="4" w:space="0"/>
              <w:right w:val="nil"/>
            </w:tcBorders>
            <w:tcMar>
              <w:top w:w="12" w:type="dxa"/>
              <w:left w:w="12" w:type="dxa"/>
              <w:right w:w="12" w:type="dxa"/>
            </w:tcMar>
            <w:vAlign w:val="center"/>
          </w:tcPr>
          <w:p>
            <w:pPr>
              <w:widowControl/>
              <w:jc w:val="center"/>
              <w:textAlignment w:val="center"/>
              <w:rPr>
                <w:rFonts w:hint="eastAsia" w:ascii="宋体" w:hAnsi="宋体" w:cs="宋体"/>
                <w:color w:val="000000"/>
                <w:sz w:val="24"/>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405" w:hRule="atLeast"/>
        </w:trPr>
        <w:tc>
          <w:tcPr>
            <w:tcW w:w="9276"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请选择：组织机构基本情况表新建□   组织机构基本情况表变更□   组织机构基本情况表停用□</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主体标识码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b w:val="0"/>
                <w:bCs w:val="0"/>
                <w:color w:val="000000"/>
                <w:sz w:val="18"/>
                <w:szCs w:val="18"/>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b w:val="0"/>
                <w:bCs w:val="0"/>
                <w:sz w:val="18"/>
              </w:rPr>
              <mc:AlternateContent>
                <mc:Choice Requires="wps">
                  <w:drawing>
                    <wp:anchor distT="0" distB="0" distL="114300" distR="114300" simplePos="0" relativeHeight="251659264" behindDoc="0" locked="0" layoutInCell="1" allowOverlap="1">
                      <wp:simplePos x="0" y="0"/>
                      <wp:positionH relativeFrom="column">
                        <wp:posOffset>-3609975</wp:posOffset>
                      </wp:positionH>
                      <wp:positionV relativeFrom="paragraph">
                        <wp:posOffset>74295</wp:posOffset>
                      </wp:positionV>
                      <wp:extent cx="1447800" cy="720725"/>
                      <wp:effectExtent l="7620" t="7620" r="11430" b="14605"/>
                      <wp:wrapNone/>
                      <wp:docPr id="1" name="椭圆 1"/>
                      <wp:cNvGraphicFramePr/>
                      <a:graphic xmlns:a="http://schemas.openxmlformats.org/drawingml/2006/main">
                        <a:graphicData uri="http://schemas.microsoft.com/office/word/2010/wordprocessingShape">
                          <wps:wsp>
                            <wps:cNvSpPr/>
                            <wps:spPr>
                              <a:xfrm>
                                <a:off x="0" y="0"/>
                                <a:ext cx="1447800" cy="720725"/>
                              </a:xfrm>
                              <a:prstGeom prst="ellipse">
                                <a:avLst/>
                              </a:prstGeom>
                              <a:noFill/>
                              <a:ln w="15875" cap="flat" cmpd="sng">
                                <a:solidFill>
                                  <a:srgbClr val="FF0000"/>
                                </a:solidFill>
                                <a:prstDash val="solid"/>
                                <a:headEnd type="none" w="med" len="med"/>
                                <a:tailEnd type="none" w="med" len="med"/>
                              </a:ln>
                            </wps:spPr>
                            <wps:txbx>
                              <w:txbxContent>
                                <w:p>
                                  <w:pPr>
                                    <w:jc w:val="center"/>
                                  </w:pPr>
                                </w:p>
                              </w:txbxContent>
                            </wps:txbx>
                            <wps:bodyPr upright="1"/>
                          </wps:wsp>
                        </a:graphicData>
                      </a:graphic>
                    </wp:anchor>
                  </w:drawing>
                </mc:Choice>
                <mc:Fallback>
                  <w:pict>
                    <v:shape id="_x0000_s1026" o:spid="_x0000_s1026" o:spt="3" type="#_x0000_t3" style="position:absolute;left:0pt;margin-left:-284.25pt;margin-top:5.85pt;height:56.75pt;width:114pt;z-index:251659264;mso-width-relative:page;mso-height-relative:page;" filled="f" stroked="t" coordsize="21600,21600" o:gfxdata="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oaUktwAAAAMAQAADwAAAAAAAAABACAAAAAiAAAAZHJzL2Rvd25y&#10;ZXYueG1sUEsBAhQAFAAAAAgAh07iQIIy/sf6AQAA+gMAAA4AAAAAAAAAAQAgAAAAKwEAAGRycy9l&#10;Mm9Eb2MueG1sUEsFBgAAAAAGAAYAWQEAAJcFAAAAAA==&#10;">
                      <v:fill on="f" focussize="0,0"/>
                      <v:stroke weight="1.25pt" color="#FF0000" joinstyle="round"/>
                      <v:imagedata o:title=""/>
                      <o:lock v:ext="edit" aspectratio="f"/>
                      <v:textbox>
                        <w:txbxContent>
                          <w:p>
                            <w:pPr>
                              <w:jc w:val="center"/>
                            </w:pPr>
                          </w:p>
                        </w:txbxContent>
                      </v:textbox>
                    </v:shape>
                  </w:pict>
                </mc:Fallback>
              </mc:AlternateContent>
            </w:r>
            <w:r>
              <w:rPr>
                <w:rFonts w:hint="eastAsia" w:ascii="宋体" w:hAnsi="宋体" w:cs="宋体"/>
                <w:b w:val="0"/>
                <w:bCs w:val="0"/>
                <w:color w:val="000000"/>
                <w:kern w:val="0"/>
                <w:sz w:val="18"/>
                <w:szCs w:val="18"/>
                <w:lang w:bidi="ar"/>
              </w:rPr>
              <w:t>统一社会信用代码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textAlignment w:val="center"/>
              <w:rPr>
                <w:rFonts w:hint="default" w:ascii="宋体" w:hAnsi="宋体" w:eastAsia="宋体" w:cs="宋体"/>
                <w:b w:val="0"/>
                <w:bCs w:val="0"/>
                <w:color w:val="000000"/>
                <w:sz w:val="18"/>
                <w:szCs w:val="18"/>
                <w:lang w:val="en-US" w:eastAsia="zh-CN"/>
              </w:rPr>
            </w:pPr>
            <w:r>
              <w:rPr>
                <w:rFonts w:hint="eastAsia"/>
                <w:b w:val="0"/>
                <w:bCs w:val="0"/>
                <w:lang w:val="en-US" w:eastAsia="zh-CN"/>
              </w:rPr>
              <w:t>91130983077498644J</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LEI编码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机构名称</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河北光华荣昌汽车部件有限公司</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住所/营业场所名称及代码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常驻国家（地区）名称及代码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kern w:val="0"/>
                <w:sz w:val="18"/>
                <w:szCs w:val="18"/>
                <w:lang w:bidi="ar"/>
              </w:rPr>
              <w:t xml:space="preserve">  </w:t>
            </w:r>
          </w:p>
        </w:tc>
        <w:tc>
          <w:tcPr>
            <w:tcW w:w="675" w:type="dxa"/>
            <w:vMerge w:val="restart"/>
            <w:tcBorders>
              <w:top w:val="nil"/>
              <w:left w:val="nil"/>
              <w:bottom w:val="nil"/>
              <w:right w:val="nil"/>
            </w:tcBorders>
            <w:tcMar>
              <w:top w:w="12" w:type="dxa"/>
              <w:left w:w="12" w:type="dxa"/>
              <w:right w:w="12" w:type="dxa"/>
            </w:tcMar>
            <w:textDirection w:val="tbRlV"/>
            <w:vAlign w:val="center"/>
          </w:tcPr>
          <w:p>
            <w:pPr>
              <w:widowControl/>
              <w:jc w:val="right"/>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第一联银行留存联</w:t>
            </w: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经济类型代码</w:t>
            </w:r>
          </w:p>
        </w:tc>
        <w:tc>
          <w:tcPr>
            <w:tcW w:w="12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宋体" w:hAnsi="宋体" w:cs="宋体"/>
                <w:b w:val="0"/>
                <w:bCs w:val="0"/>
                <w:color w:val="000000"/>
                <w:sz w:val="18"/>
                <w:szCs w:val="18"/>
                <w:lang w:val="en-US"/>
              </w:rPr>
            </w:pPr>
          </w:p>
        </w:tc>
        <w:tc>
          <w:tcPr>
            <w:tcW w:w="18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所属行业属性代码</w:t>
            </w:r>
          </w:p>
        </w:tc>
        <w:tc>
          <w:tcPr>
            <w:tcW w:w="11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kern w:val="0"/>
                <w:sz w:val="18"/>
                <w:szCs w:val="18"/>
                <w:lang w:bidi="ar"/>
              </w:rPr>
              <w:t xml:space="preserve">  </w:t>
            </w:r>
          </w:p>
        </w:tc>
        <w:tc>
          <w:tcPr>
            <w:tcW w:w="675"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9276"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是否特殊经济区内企业   是□   否</w:t>
            </w:r>
            <w:r>
              <w:rPr>
                <w:rFonts w:hint="eastAsia" w:ascii="宋体" w:hAnsi="宋体" w:cs="宋体"/>
                <w:b w:val="0"/>
                <w:bCs w:val="0"/>
                <w:color w:val="000000"/>
                <w:kern w:val="0"/>
                <w:sz w:val="18"/>
                <w:szCs w:val="18"/>
                <w:lang w:bidi="ar"/>
              </w:rPr>
              <w:sym w:font="Wingdings 2" w:char="00A3"/>
            </w:r>
          </w:p>
        </w:tc>
        <w:tc>
          <w:tcPr>
            <w:tcW w:w="675"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793" w:hRule="atLeast"/>
        </w:trPr>
        <w:tc>
          <w:tcPr>
            <w:tcW w:w="2385" w:type="dxa"/>
            <w:gridSpan w:val="3"/>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企业类型</w:t>
            </w: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Fonts w:hint="eastAsia" w:ascii="宋体" w:hAnsi="宋体" w:cs="宋体"/>
                <w:b w:val="0"/>
                <w:bCs w:val="0"/>
                <w:color w:val="000000"/>
                <w:kern w:val="0"/>
                <w:sz w:val="16"/>
                <w:szCs w:val="16"/>
                <w:lang w:bidi="ar"/>
              </w:rPr>
              <w:sym w:font="Wingdings 2" w:char="00A3"/>
            </w:r>
            <w:r>
              <w:rPr>
                <w:rFonts w:hint="eastAsia" w:ascii="宋体" w:hAnsi="宋体" w:cs="宋体"/>
                <w:b w:val="0"/>
                <w:bCs w:val="0"/>
                <w:color w:val="000000"/>
                <w:kern w:val="0"/>
                <w:sz w:val="16"/>
                <w:szCs w:val="16"/>
                <w:lang w:bidi="ar"/>
              </w:rPr>
              <w:t xml:space="preserve"> 一般贸易区</w:t>
            </w:r>
          </w:p>
        </w:tc>
        <w:tc>
          <w:tcPr>
            <w:tcW w:w="558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Fonts w:hint="eastAsia" w:ascii="宋体" w:hAnsi="宋体" w:cs="宋体"/>
                <w:b w:val="0"/>
                <w:bCs w:val="0"/>
                <w:color w:val="000000"/>
                <w:kern w:val="0"/>
                <w:sz w:val="16"/>
                <w:szCs w:val="16"/>
                <w:lang w:bidi="ar"/>
              </w:rPr>
              <w:sym w:font="Wingdings 2" w:char="00A3"/>
            </w:r>
            <w:r>
              <w:rPr>
                <w:rFonts w:hint="eastAsia" w:ascii="宋体" w:hAnsi="宋体" w:cs="宋体"/>
                <w:b w:val="0"/>
                <w:bCs w:val="0"/>
                <w:color w:val="000000"/>
                <w:kern w:val="0"/>
                <w:sz w:val="16"/>
                <w:szCs w:val="16"/>
                <w:lang w:bidi="ar"/>
              </w:rPr>
              <w:t xml:space="preserve"> 自由贸易试验区（非特殊监管）</w:t>
            </w:r>
          </w:p>
        </w:tc>
        <w:tc>
          <w:tcPr>
            <w:tcW w:w="675"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Style w:val="4"/>
                <w:rFonts w:hint="default"/>
                <w:b w:val="0"/>
                <w:bCs w:val="0"/>
                <w:lang w:bidi="ar"/>
              </w:rPr>
              <w:t>□ 保税区</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出口加工区</w:t>
            </w: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保税物流中心B型</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保税物流园区</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钻石交易所</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保税港区</w:t>
            </w:r>
          </w:p>
        </w:tc>
        <w:tc>
          <w:tcPr>
            <w:tcW w:w="13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综合保税区</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跨境工业园区</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保税物流中心A型</w:t>
            </w: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出口监管仓库</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进口保税仓库</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自由贸易试验区（特殊监管）</w:t>
            </w: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其他</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1360"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申报方式</w:t>
            </w:r>
          </w:p>
        </w:tc>
        <w:tc>
          <w:tcPr>
            <w:tcW w:w="6891"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纸质申报 □ （选择本方式后仅可通过银行柜台填写纸质凭证或电子凭证方式来完成国际收支统计申报）                                                            开通网上申报 </w:t>
            </w:r>
            <w:r>
              <w:rPr>
                <w:rFonts w:hint="eastAsia" w:ascii="宋体" w:hAnsi="宋体" w:cs="宋体"/>
                <w:b w:val="0"/>
                <w:bCs w:val="0"/>
                <w:color w:val="000000"/>
                <w:kern w:val="0"/>
                <w:sz w:val="18"/>
                <w:szCs w:val="18"/>
                <w:lang w:bidi="ar"/>
              </w:rPr>
              <w:sym w:font="Wingdings 2" w:char="00A3"/>
            </w:r>
            <w:r>
              <w:rPr>
                <w:rFonts w:hint="eastAsia" w:ascii="宋体" w:hAnsi="宋体" w:cs="宋体"/>
                <w:b w:val="0"/>
                <w:bCs w:val="0"/>
                <w:color w:val="000000"/>
                <w:kern w:val="0"/>
                <w:sz w:val="18"/>
                <w:szCs w:val="18"/>
                <w:lang w:bidi="ar"/>
              </w:rPr>
              <w:t xml:space="preserve"> （选择本方式后可通过互联网完成国际收支统计申报或通过银行柜台进行纸质申报）                                                              关闭网上申报 □ （已开通网上申报的客户如需关闭网上申报功能应选择本项）</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机构地址</w:t>
            </w:r>
          </w:p>
        </w:tc>
        <w:tc>
          <w:tcPr>
            <w:tcW w:w="431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邮政编码</w:t>
            </w:r>
          </w:p>
        </w:tc>
        <w:tc>
          <w:tcPr>
            <w:tcW w:w="13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638"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联系用Email地址</w:t>
            </w:r>
          </w:p>
        </w:tc>
        <w:tc>
          <w:tcPr>
            <w:tcW w:w="6891"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备注</w:t>
            </w:r>
          </w:p>
        </w:tc>
        <w:tc>
          <w:tcPr>
            <w:tcW w:w="6891"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经办行名称</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机构联系人</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机构联系电话</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建表日期</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297"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机构经办人员签章：</w:t>
            </w: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66"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238"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844"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164"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银行签章：</w:t>
            </w:r>
          </w:p>
        </w:tc>
        <w:tc>
          <w:tcPr>
            <w:tcW w:w="123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340"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bl>
    <w:p>
      <w:pPr>
        <w:spacing w:line="360" w:lineRule="auto"/>
        <w:rPr>
          <w:rFonts w:hint="eastAsia" w:ascii="华文仿宋" w:hAnsi="华文仿宋" w:eastAsia="华文仿宋" w:cs="华文仿宋"/>
          <w:b w:val="0"/>
          <w:bCs w:val="0"/>
          <w:sz w:val="28"/>
          <w:szCs w:val="28"/>
        </w:rPr>
      </w:pPr>
    </w:p>
    <w:tbl>
      <w:tblPr>
        <w:tblStyle w:val="2"/>
        <w:tblW w:w="10227" w:type="dxa"/>
        <w:tblInd w:w="0" w:type="dxa"/>
        <w:tblLayout w:type="fixed"/>
        <w:tblCellMar>
          <w:top w:w="0" w:type="dxa"/>
          <w:left w:w="0" w:type="dxa"/>
          <w:bottom w:w="0" w:type="dxa"/>
          <w:right w:w="0" w:type="dxa"/>
        </w:tblCellMar>
      </w:tblPr>
      <w:tblGrid>
        <w:gridCol w:w="2380"/>
        <w:gridCol w:w="44"/>
        <w:gridCol w:w="44"/>
        <w:gridCol w:w="65"/>
        <w:gridCol w:w="3"/>
        <w:gridCol w:w="1236"/>
        <w:gridCol w:w="1927"/>
        <w:gridCol w:w="1217"/>
        <w:gridCol w:w="1296"/>
        <w:gridCol w:w="956"/>
        <w:gridCol w:w="1059"/>
      </w:tblGrid>
      <w:tr>
        <w:tblPrEx>
          <w:tblCellMar>
            <w:top w:w="0" w:type="dxa"/>
            <w:left w:w="0" w:type="dxa"/>
            <w:bottom w:w="0" w:type="dxa"/>
            <w:right w:w="0" w:type="dxa"/>
          </w:tblCellMar>
        </w:tblPrEx>
        <w:trPr>
          <w:trHeight w:val="312" w:hRule="atLeast"/>
        </w:trPr>
        <w:tc>
          <w:tcPr>
            <w:tcW w:w="9168" w:type="dxa"/>
            <w:gridSpan w:val="10"/>
            <w:tcBorders>
              <w:top w:val="nil"/>
              <w:left w:val="nil"/>
              <w:bottom w:val="single" w:color="000000" w:sz="4" w:space="0"/>
              <w:right w:val="nil"/>
            </w:tcBorders>
            <w:tcMar>
              <w:top w:w="12" w:type="dxa"/>
              <w:left w:w="12" w:type="dxa"/>
              <w:right w:w="12" w:type="dxa"/>
            </w:tcMar>
            <w:vAlign w:val="center"/>
          </w:tcPr>
          <w:p>
            <w:pPr>
              <w:widowControl/>
              <w:jc w:val="center"/>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组织机构基本情况表</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9168" w:type="dxa"/>
            <w:gridSpan w:val="10"/>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请选择：组织机构基本情况表新建□   组织机构基本情况表变更□</w:t>
            </w:r>
            <w:r>
              <w:rPr>
                <w:rFonts w:hint="eastAsia" w:ascii="宋体" w:hAnsi="宋体" w:cs="宋体"/>
                <w:b w:val="0"/>
                <w:bCs w:val="0"/>
                <w:color w:val="000000"/>
                <w:kern w:val="0"/>
                <w:sz w:val="18"/>
                <w:szCs w:val="18"/>
                <w:lang w:val="en-US" w:eastAsia="zh-CN" w:bidi="ar"/>
              </w:rPr>
              <w:t xml:space="preserve"> </w:t>
            </w:r>
            <w:r>
              <w:rPr>
                <w:rFonts w:hint="eastAsia" w:ascii="宋体" w:hAnsi="宋体" w:cs="宋体"/>
                <w:b w:val="0"/>
                <w:bCs w:val="0"/>
                <w:color w:val="000000"/>
                <w:kern w:val="0"/>
                <w:sz w:val="18"/>
                <w:szCs w:val="18"/>
                <w:lang w:bidi="ar"/>
              </w:rPr>
              <w:t xml:space="preserve">  组织机构基本情况表停用□</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主体标识码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bookmarkStart w:id="0" w:name="_GoBack" w:colFirst="4" w:colLast="8"/>
            <w:r>
              <w:rPr>
                <w:rFonts w:hint="eastAsia" w:ascii="宋体" w:hAnsi="宋体" w:cs="宋体"/>
                <w:b w:val="0"/>
                <w:bCs w:val="0"/>
                <w:color w:val="000000"/>
                <w:kern w:val="0"/>
                <w:sz w:val="18"/>
                <w:szCs w:val="18"/>
                <w:lang w:bidi="ar"/>
              </w:rPr>
              <w:t>统一社会信用代码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textAlignment w:val="center"/>
              <w:rPr>
                <w:rFonts w:hint="eastAsia" w:ascii="宋体" w:hAnsi="宋体" w:cs="宋体"/>
                <w:b w:val="0"/>
                <w:bCs w:val="0"/>
                <w:color w:val="000000"/>
                <w:sz w:val="18"/>
                <w:szCs w:val="18"/>
              </w:rPr>
            </w:pPr>
            <w:r>
              <w:rPr>
                <w:rFonts w:hint="eastAsia"/>
                <w:b w:val="0"/>
                <w:bCs w:val="0"/>
                <w:lang w:val="en-US" w:eastAsia="zh-CN"/>
              </w:rPr>
              <w:t>91130983077498644J</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LEI编码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机构名称</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宋体" w:hAnsi="宋体" w:cs="宋体"/>
                <w:b w:val="0"/>
                <w:bCs w:val="0"/>
                <w:color w:val="000000"/>
                <w:sz w:val="18"/>
                <w:szCs w:val="18"/>
              </w:rPr>
            </w:pPr>
            <w:r>
              <w:rPr>
                <w:rFonts w:hint="eastAsia" w:ascii="宋体" w:hAnsi="宋体" w:cs="宋体"/>
                <w:b w:val="0"/>
                <w:bCs w:val="0"/>
                <w:color w:val="000000"/>
                <w:sz w:val="18"/>
                <w:szCs w:val="18"/>
                <w:lang w:val="en-US" w:eastAsia="zh-CN"/>
              </w:rPr>
              <w:t>河北光华荣昌汽车部件有限公司</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bookmarkEnd w:id="0"/>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住所/营业场所名称及代码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w:t>
            </w:r>
            <w:r>
              <w:rPr>
                <w:rFonts w:hint="eastAsia"/>
                <w:b w:val="0"/>
                <w:bCs w:val="0"/>
                <w:lang w:val="en-US" w:eastAsia="zh-CN"/>
              </w:rPr>
              <w:t xml:space="preserve"> </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常驻国家（地区）名称及代码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w:t>
            </w:r>
          </w:p>
        </w:tc>
        <w:tc>
          <w:tcPr>
            <w:tcW w:w="1059" w:type="dxa"/>
            <w:vMerge w:val="restart"/>
            <w:tcBorders>
              <w:top w:val="nil"/>
              <w:left w:val="nil"/>
              <w:bottom w:val="nil"/>
              <w:right w:val="nil"/>
            </w:tcBorders>
            <w:tcMar>
              <w:top w:w="12" w:type="dxa"/>
              <w:left w:w="12" w:type="dxa"/>
              <w:right w:w="12" w:type="dxa"/>
            </w:tcMar>
            <w:textDirection w:val="tbRlV"/>
            <w:vAlign w:val="center"/>
          </w:tcPr>
          <w:p>
            <w:pPr>
              <w:widowControl/>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第二联申报主体留存联</w:t>
            </w: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经济类型代码</w:t>
            </w:r>
          </w:p>
        </w:tc>
        <w:tc>
          <w:tcPr>
            <w:tcW w:w="12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宋体" w:hAnsi="宋体" w:eastAsia="宋体" w:cs="宋体"/>
                <w:b w:val="0"/>
                <w:bCs w:val="0"/>
                <w:color w:val="000000"/>
                <w:sz w:val="18"/>
                <w:szCs w:val="18"/>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所属行业属性代码</w:t>
            </w:r>
          </w:p>
        </w:tc>
        <w:tc>
          <w:tcPr>
            <w:tcW w:w="12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cs="宋体"/>
                <w:b w:val="0"/>
                <w:bCs w:val="0"/>
                <w:color w:val="000000"/>
                <w:sz w:val="18"/>
                <w:szCs w:val="18"/>
                <w:lang w:val="en-US"/>
              </w:rPr>
            </w:pP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default" w:ascii="宋体" w:hAnsi="宋体" w:cs="宋体"/>
                <w:b w:val="0"/>
                <w:bCs w:val="0"/>
                <w:color w:val="000000"/>
                <w:sz w:val="18"/>
                <w:szCs w:val="18"/>
                <w:lang w:val="en-US"/>
              </w:rPr>
            </w:pPr>
          </w:p>
        </w:tc>
        <w:tc>
          <w:tcPr>
            <w:tcW w:w="1059"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9168" w:type="dxa"/>
            <w:gridSpan w:val="10"/>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是否特殊经济区内企业   是□   否</w:t>
            </w:r>
            <w:r>
              <w:rPr>
                <w:rFonts w:hint="eastAsia" w:ascii="宋体" w:hAnsi="宋体" w:cs="宋体"/>
                <w:b w:val="0"/>
                <w:bCs w:val="0"/>
                <w:color w:val="000000"/>
                <w:kern w:val="0"/>
                <w:sz w:val="18"/>
                <w:szCs w:val="18"/>
                <w:lang w:bidi="ar"/>
              </w:rPr>
              <w:sym w:font="Wingdings 2" w:char="00A3"/>
            </w:r>
          </w:p>
        </w:tc>
        <w:tc>
          <w:tcPr>
            <w:tcW w:w="1059"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615" w:hRule="atLeast"/>
        </w:trPr>
        <w:tc>
          <w:tcPr>
            <w:tcW w:w="2468" w:type="dxa"/>
            <w:gridSpan w:val="3"/>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企业类型</w:t>
            </w: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Fonts w:hint="eastAsia" w:ascii="宋体" w:hAnsi="宋体" w:cs="宋体"/>
                <w:b w:val="0"/>
                <w:bCs w:val="0"/>
                <w:color w:val="000000"/>
                <w:kern w:val="0"/>
                <w:sz w:val="16"/>
                <w:szCs w:val="16"/>
                <w:lang w:bidi="ar"/>
              </w:rPr>
              <w:sym w:font="Wingdings 2" w:char="00A3"/>
            </w:r>
            <w:r>
              <w:rPr>
                <w:rFonts w:hint="eastAsia" w:ascii="宋体" w:hAnsi="宋体" w:cs="宋体"/>
                <w:b w:val="0"/>
                <w:bCs w:val="0"/>
                <w:color w:val="000000"/>
                <w:kern w:val="0"/>
                <w:sz w:val="16"/>
                <w:szCs w:val="16"/>
                <w:lang w:bidi="ar"/>
              </w:rPr>
              <w:t xml:space="preserve"> 一般贸易区</w:t>
            </w:r>
          </w:p>
        </w:tc>
        <w:tc>
          <w:tcPr>
            <w:tcW w:w="5396"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自由贸易试验区（非特殊监管）</w:t>
            </w:r>
          </w:p>
        </w:tc>
        <w:tc>
          <w:tcPr>
            <w:tcW w:w="1059"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保税区</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出口加工区</w:t>
            </w: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保税物流中心B型</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保税物流园区</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钻石交易所</w:t>
            </w:r>
          </w:p>
        </w:tc>
        <w:tc>
          <w:tcPr>
            <w:tcW w:w="1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保税港区</w:t>
            </w:r>
          </w:p>
        </w:tc>
        <w:tc>
          <w:tcPr>
            <w:tcW w:w="9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综合保税区</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跨境工业园区</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保税物流中心A型</w:t>
            </w: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出口监管仓库</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进口保税仓库</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自由贸易试验区（特殊监管）</w:t>
            </w: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其他</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1360"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申报方式</w:t>
            </w:r>
          </w:p>
        </w:tc>
        <w:tc>
          <w:tcPr>
            <w:tcW w:w="6700"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纸质申报 □ （选择本方式后仅可通过银行柜台填写纸质凭证或电子凭证方式来完成国际收支统计申报）                                                          开通网上申报 </w:t>
            </w:r>
            <w:r>
              <w:rPr>
                <w:rFonts w:hint="eastAsia" w:ascii="宋体" w:hAnsi="宋体" w:cs="宋体"/>
                <w:b w:val="0"/>
                <w:bCs w:val="0"/>
                <w:color w:val="000000"/>
                <w:kern w:val="0"/>
                <w:sz w:val="18"/>
                <w:szCs w:val="18"/>
                <w:lang w:bidi="ar"/>
              </w:rPr>
              <w:sym w:font="Wingdings 2" w:char="0052"/>
            </w:r>
            <w:r>
              <w:rPr>
                <w:rFonts w:hint="eastAsia" w:ascii="宋体" w:hAnsi="宋体" w:cs="宋体"/>
                <w:b w:val="0"/>
                <w:bCs w:val="0"/>
                <w:color w:val="000000"/>
                <w:kern w:val="0"/>
                <w:sz w:val="18"/>
                <w:szCs w:val="18"/>
                <w:lang w:bidi="ar"/>
              </w:rPr>
              <w:t xml:space="preserve"> （选择本方式后可通过互联网完成国际收支统计申报或通过银行柜台进行纸质申报）                                                         关闭网上申报 □ （已开通网上申报的客户如需关闭网上申报功能应选择本项）</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机构地址</w:t>
            </w:r>
          </w:p>
        </w:tc>
        <w:tc>
          <w:tcPr>
            <w:tcW w:w="444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邮政编码</w:t>
            </w:r>
          </w:p>
        </w:tc>
        <w:tc>
          <w:tcPr>
            <w:tcW w:w="9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638"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联系用Email地址</w:t>
            </w:r>
          </w:p>
        </w:tc>
        <w:tc>
          <w:tcPr>
            <w:tcW w:w="6700"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备注</w:t>
            </w:r>
          </w:p>
        </w:tc>
        <w:tc>
          <w:tcPr>
            <w:tcW w:w="6700"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经办行名称</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机构联系人</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机构联系电话</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建表日期</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405" w:hRule="atLeast"/>
        </w:trPr>
        <w:tc>
          <w:tcPr>
            <w:tcW w:w="2380"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机构经办人员签章：</w:t>
            </w: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65"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239" w:type="dxa"/>
            <w:gridSpan w:val="2"/>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927"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217"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银行签章：</w:t>
            </w:r>
          </w:p>
        </w:tc>
        <w:tc>
          <w:tcPr>
            <w:tcW w:w="1296"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956"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bl>
    <w:p>
      <w:pPr>
        <w:spacing w:line="360" w:lineRule="auto"/>
        <w:rPr>
          <w:rFonts w:hint="eastAsia" w:ascii="华文仿宋" w:hAnsi="华文仿宋" w:eastAsia="华文仿宋" w:cs="华文仿宋"/>
          <w:sz w:val="28"/>
          <w:szCs w:val="28"/>
        </w:rPr>
      </w:pPr>
    </w:p>
    <w:p>
      <w:pPr>
        <w:spacing w:line="360" w:lineRule="auto"/>
        <w:rPr>
          <w:rFonts w:hint="eastAsia" w:ascii="华文仿宋" w:hAnsi="华文仿宋" w:eastAsia="华文仿宋" w:cs="华文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NzJhODllY2EzOTYzNjlhNjY2ZTdiNjQ1YzE1M2UifQ=="/>
  </w:docVars>
  <w:rsids>
    <w:rsidRoot w:val="00000000"/>
    <w:rsid w:val="03960557"/>
    <w:rsid w:val="064C75F3"/>
    <w:rsid w:val="0AF26E65"/>
    <w:rsid w:val="0EA77ABC"/>
    <w:rsid w:val="0EE400EC"/>
    <w:rsid w:val="0FCE1079"/>
    <w:rsid w:val="11B63AEE"/>
    <w:rsid w:val="11FB7096"/>
    <w:rsid w:val="14706BA3"/>
    <w:rsid w:val="158F12AA"/>
    <w:rsid w:val="1D7A45EE"/>
    <w:rsid w:val="1FF22B62"/>
    <w:rsid w:val="2039253E"/>
    <w:rsid w:val="210B3EDB"/>
    <w:rsid w:val="260929B3"/>
    <w:rsid w:val="272A0E33"/>
    <w:rsid w:val="2C9254B0"/>
    <w:rsid w:val="2E06729D"/>
    <w:rsid w:val="2E975000"/>
    <w:rsid w:val="30FF50DE"/>
    <w:rsid w:val="319E66A5"/>
    <w:rsid w:val="339F2029"/>
    <w:rsid w:val="393910E9"/>
    <w:rsid w:val="3EE55913"/>
    <w:rsid w:val="409E221E"/>
    <w:rsid w:val="41EE4D08"/>
    <w:rsid w:val="42AD499A"/>
    <w:rsid w:val="42ED123B"/>
    <w:rsid w:val="43FD54AD"/>
    <w:rsid w:val="45852B2D"/>
    <w:rsid w:val="47BC742D"/>
    <w:rsid w:val="4A946440"/>
    <w:rsid w:val="4EFB4CDF"/>
    <w:rsid w:val="4F642884"/>
    <w:rsid w:val="4F7725B8"/>
    <w:rsid w:val="50A0169A"/>
    <w:rsid w:val="51DA283B"/>
    <w:rsid w:val="521F0CE5"/>
    <w:rsid w:val="522D1654"/>
    <w:rsid w:val="56625644"/>
    <w:rsid w:val="568B4B9B"/>
    <w:rsid w:val="593B4656"/>
    <w:rsid w:val="596C1B85"/>
    <w:rsid w:val="5A67147B"/>
    <w:rsid w:val="5C1669D8"/>
    <w:rsid w:val="5CD3370F"/>
    <w:rsid w:val="5D6323CD"/>
    <w:rsid w:val="5D9B67A3"/>
    <w:rsid w:val="63584057"/>
    <w:rsid w:val="63AD43A2"/>
    <w:rsid w:val="65FC2575"/>
    <w:rsid w:val="67584625"/>
    <w:rsid w:val="69270753"/>
    <w:rsid w:val="6F540935"/>
    <w:rsid w:val="73E84F83"/>
    <w:rsid w:val="76DB6113"/>
    <w:rsid w:val="77E85551"/>
    <w:rsid w:val="78BB2C66"/>
    <w:rsid w:val="79192DA5"/>
    <w:rsid w:val="7ACA53E2"/>
    <w:rsid w:val="7B2464B8"/>
    <w:rsid w:val="7BFD3595"/>
    <w:rsid w:val="7D5B4A17"/>
    <w:rsid w:val="7DE60785"/>
    <w:rsid w:val="7FD9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1886</Words>
  <Characters>1938</Characters>
  <Lines>0</Lines>
  <Paragraphs>0</Paragraphs>
  <TotalTime>0</TotalTime>
  <ScaleCrop>false</ScaleCrop>
  <LinksUpToDate>false</LinksUpToDate>
  <CharactersWithSpaces>2290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183253</dc:creator>
  <cp:lastModifiedBy>mac-</cp:lastModifiedBy>
  <dcterms:modified xsi:type="dcterms:W3CDTF">2023-12-01T02:48:53Z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29DA8DAD84174020A55D895E02279355</vt:lpwstr>
  </property>
</Properties>
</file>