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cs="楷体"/>
          <w:b/>
          <w:sz w:val="36"/>
          <w:szCs w:val="36"/>
        </w:rPr>
      </w:pPr>
      <w:bookmarkStart w:id="0" w:name="_Hlk523735664"/>
      <w:r>
        <w:rPr>
          <w:rFonts w:hint="eastAsia" w:ascii="楷体" w:hAnsi="楷体" w:eastAsia="楷体" w:cs="楷体"/>
          <w:b/>
          <w:sz w:val="36"/>
          <w:szCs w:val="36"/>
          <w:lang w:val="en-US" w:eastAsia="zh-CN"/>
        </w:rPr>
        <w:t>2023年物流装卸配送</w:t>
      </w:r>
      <w:r>
        <w:rPr>
          <w:rFonts w:hint="eastAsia" w:ascii="楷体" w:hAnsi="楷体" w:eastAsia="楷体" w:cs="楷体"/>
          <w:b/>
          <w:sz w:val="36"/>
          <w:szCs w:val="36"/>
          <w:lang w:eastAsia="zh-CN"/>
        </w:rPr>
        <w:t>合同</w:t>
      </w:r>
    </w:p>
    <w:p>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20231001</w:t>
      </w:r>
    </w:p>
    <w:p>
      <w:pPr>
        <w:spacing w:line="360" w:lineRule="auto"/>
        <w:rPr>
          <w:rFonts w:hint="eastAsia" w:ascii="楷体" w:hAnsi="楷体" w:eastAsia="楷体" w:cs="楷体"/>
          <w:b/>
          <w:sz w:val="28"/>
          <w:szCs w:val="28"/>
          <w:u w:val="single"/>
          <w:lang w:val="en-US" w:eastAsia="zh-CN"/>
        </w:rPr>
      </w:pPr>
      <w:r>
        <w:rPr>
          <w:rFonts w:hint="eastAsia" w:ascii="楷体" w:hAnsi="楷体" w:eastAsia="楷体" w:cs="楷体"/>
          <w:b/>
          <w:sz w:val="28"/>
          <w:szCs w:val="28"/>
        </w:rPr>
        <w:t>甲方：</w:t>
      </w:r>
      <w:r>
        <w:rPr>
          <w:rFonts w:hint="eastAsia" w:ascii="楷体" w:hAnsi="楷体" w:eastAsia="楷体" w:cs="楷体"/>
          <w:b/>
          <w:sz w:val="28"/>
          <w:szCs w:val="28"/>
          <w:lang w:eastAsia="zh-CN"/>
        </w:rPr>
        <w:t>潍坊光华荣昌汽车技术有限公司</w:t>
      </w:r>
    </w:p>
    <w:p>
      <w:pPr>
        <w:spacing w:line="360" w:lineRule="auto"/>
        <w:rPr>
          <w:rFonts w:hint="eastAsia" w:ascii="楷体" w:hAnsi="楷体" w:eastAsia="楷体" w:cs="楷体"/>
          <w:b/>
          <w:sz w:val="28"/>
          <w:szCs w:val="28"/>
          <w:u w:val="single"/>
          <w:lang w:eastAsia="zh-CN"/>
        </w:rPr>
      </w:pPr>
      <w:r>
        <w:rPr>
          <w:rFonts w:hint="eastAsia" w:ascii="楷体" w:hAnsi="楷体" w:eastAsia="楷体" w:cs="楷体"/>
          <w:b/>
          <w:sz w:val="28"/>
          <w:szCs w:val="28"/>
        </w:rPr>
        <w:t>乙方：</w:t>
      </w:r>
      <w:r>
        <w:rPr>
          <w:rFonts w:hint="eastAsia" w:ascii="楷体" w:hAnsi="楷体" w:eastAsia="楷体" w:cs="楷体"/>
          <w:b/>
          <w:sz w:val="28"/>
          <w:szCs w:val="28"/>
          <w:lang w:eastAsia="zh-CN"/>
        </w:rPr>
        <w:t>潍坊鑫腾物流有限公司</w:t>
      </w:r>
    </w:p>
    <w:p>
      <w:pPr>
        <w:pStyle w:val="2"/>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甲方根据经营需要，委托乙方对来料卸车、入库以及</w:t>
      </w:r>
      <w:r>
        <w:rPr>
          <w:rFonts w:hint="eastAsia" w:ascii="楷体" w:hAnsi="楷体" w:eastAsia="楷体" w:cs="楷体"/>
          <w:sz w:val="24"/>
          <w:szCs w:val="24"/>
          <w:lang w:val="en-US" w:eastAsia="zh-CN"/>
        </w:rPr>
        <w:t>SKD（座椅）发运等装卸</w:t>
      </w:r>
      <w:r>
        <w:rPr>
          <w:rFonts w:hint="eastAsia" w:ascii="楷体" w:hAnsi="楷体" w:eastAsia="楷体" w:cs="楷体"/>
          <w:sz w:val="24"/>
          <w:szCs w:val="24"/>
          <w:lang w:eastAsia="zh-CN"/>
        </w:rPr>
        <w:t>服务业务，</w:t>
      </w:r>
      <w:r>
        <w:rPr>
          <w:rFonts w:hint="eastAsia" w:ascii="楷体" w:hAnsi="楷体" w:eastAsia="楷体" w:cs="楷体"/>
          <w:sz w:val="24"/>
          <w:szCs w:val="24"/>
        </w:rPr>
        <w:t>甲、乙</w:t>
      </w:r>
      <w:r>
        <w:rPr>
          <w:rFonts w:hint="eastAsia" w:ascii="楷体" w:hAnsi="楷体" w:eastAsia="楷体" w:cs="楷体"/>
          <w:sz w:val="24"/>
          <w:szCs w:val="24"/>
          <w:lang w:val="en-US" w:eastAsia="zh-CN"/>
        </w:rPr>
        <w:t>双方</w:t>
      </w:r>
      <w:r>
        <w:rPr>
          <w:rFonts w:hint="eastAsia" w:ascii="楷体" w:hAnsi="楷体" w:eastAsia="楷体" w:cs="楷体"/>
          <w:sz w:val="24"/>
          <w:szCs w:val="24"/>
        </w:rPr>
        <w:t>本着平等、自愿、互利的原则，依据《中华人民共和国合同法》等相关法律、法规的规定，经过友好协商，达成以下协议，以资双方共同信守。</w:t>
      </w:r>
    </w:p>
    <w:p>
      <w:pPr>
        <w:widowControl/>
        <w:numPr>
          <w:ilvl w:val="0"/>
          <w:numId w:val="1"/>
        </w:numPr>
        <w:spacing w:line="360" w:lineRule="auto"/>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装卸入库要求</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甲方每天来料后，乙方快速响应安排卸车服务人员对来料进行卸车,叉车作业严格按照安全流程操作，装卸设备乙方自备（乙方装卸设备紧张时可以向甲方暂借装卸设备，得到允许后方可使用）。</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乙方在卸车过程中对货物要轻拿轻放，严谨出现蛮力扔砸等现象。</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乙方按甲方要求对货物进行摆放、上货架、办理入库。</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乙方装卸前发现来料变形、挤压、破损要及时通知甲方确认。</w:t>
      </w:r>
    </w:p>
    <w:p>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lang w:val="en-US" w:eastAsia="zh-CN"/>
        </w:rPr>
        <w:t>甲方来料工装器具，乙方按照甲方要求进行装车回流。</w:t>
      </w:r>
    </w:p>
    <w:p>
      <w:pPr>
        <w:widowControl/>
        <w:numPr>
          <w:ilvl w:val="0"/>
          <w:numId w:val="1"/>
        </w:numPr>
        <w:spacing w:line="360" w:lineRule="auto"/>
        <w:ind w:left="0" w:leftChars="0" w:firstLine="0" w:firstLineChars="0"/>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KD业务配送要求</w:t>
      </w:r>
    </w:p>
    <w:p>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甲方KD业务交付时，乙方根据甲方要求进行配送、入库。</w:t>
      </w:r>
    </w:p>
    <w:p>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乙方安排装车人员对KD座椅码放工装、装车、运输、卸车、工装回流运输等。</w:t>
      </w:r>
    </w:p>
    <w:p>
      <w:pPr>
        <w:widowControl/>
        <w:numPr>
          <w:ilvl w:val="0"/>
          <w:numId w:val="1"/>
        </w:numPr>
        <w:spacing w:line="360" w:lineRule="auto"/>
        <w:ind w:left="0" w:leftChars="0" w:firstLine="0" w:firstLine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质量标准</w:t>
      </w:r>
    </w:p>
    <w:p>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乙方在货物运输、装卸期间，必须按甲方的要求对货物进行认真防护。</w:t>
      </w:r>
    </w:p>
    <w:p>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乙方根据甲方包装、码放标准执行，如不执行标准造成的损坏，由乙方负责。</w:t>
      </w:r>
    </w:p>
    <w:p>
      <w:pPr>
        <w:numPr>
          <w:ilvl w:val="0"/>
          <w:numId w:val="1"/>
        </w:numPr>
        <w:spacing w:after="0" w:line="360" w:lineRule="auto"/>
        <w:ind w:left="0" w:leftChars="0" w:firstLine="0" w:firstLineChars="0"/>
        <w:rPr>
          <w:rFonts w:hint="eastAsia" w:ascii="楷体" w:hAnsi="楷体" w:eastAsia="楷体" w:cs="楷体"/>
          <w:b/>
          <w:bCs/>
          <w:sz w:val="24"/>
          <w:szCs w:val="32"/>
          <w:lang w:val="en-US" w:eastAsia="zh-CN"/>
        </w:rPr>
      </w:pPr>
      <w:r>
        <w:rPr>
          <w:rFonts w:hint="eastAsia" w:ascii="楷体" w:hAnsi="楷体" w:eastAsia="楷体" w:cs="楷体"/>
          <w:b/>
          <w:bCs/>
          <w:sz w:val="28"/>
          <w:szCs w:val="36"/>
          <w:lang w:val="en-US" w:eastAsia="zh-CN"/>
        </w:rPr>
        <w:t>合同费用标准</w:t>
      </w:r>
    </w:p>
    <w:tbl>
      <w:tblPr>
        <w:tblStyle w:val="6"/>
        <w:tblW w:w="10417"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1464"/>
        <w:gridCol w:w="1156"/>
        <w:gridCol w:w="885"/>
        <w:gridCol w:w="333"/>
        <w:gridCol w:w="1082"/>
        <w:gridCol w:w="63"/>
        <w:gridCol w:w="727"/>
        <w:gridCol w:w="1303"/>
        <w:gridCol w:w="294"/>
        <w:gridCol w:w="1735"/>
        <w:gridCol w:w="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物流卸车费用标准</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车型</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物料</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运输方式</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原价/未税/元</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lang w:val="en-US"/>
              </w:rPr>
            </w:pPr>
            <w:r>
              <w:rPr>
                <w:rFonts w:hint="eastAsia" w:ascii="楷体" w:hAnsi="楷体" w:eastAsia="楷体" w:cs="楷体"/>
                <w:b/>
                <w:bCs/>
                <w:i w:val="0"/>
                <w:iCs w:val="0"/>
                <w:color w:val="000000"/>
                <w:kern w:val="0"/>
                <w:sz w:val="24"/>
                <w:szCs w:val="24"/>
                <w:u w:val="none"/>
                <w:lang w:val="en-US" w:eastAsia="zh-CN" w:bidi="ar"/>
              </w:rPr>
              <w:t>新价格/未税/元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13M半挂</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kern w:val="0"/>
                <w:sz w:val="24"/>
                <w:szCs w:val="24"/>
                <w:u w:val="none"/>
                <w:lang w:val="en-US" w:eastAsia="zh-CN" w:bidi="ar"/>
              </w:rPr>
              <w:t>发泡/骨架器具/托盘</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500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400</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316" w:type="dxa"/>
            <w:vMerge w:val="continue"/>
            <w:tcBorders>
              <w:left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9.6M箱货</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发泡/骨架器具/托盘</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车</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450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3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6.8M高栏</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全部器具</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sz w:val="24"/>
                <w:szCs w:val="24"/>
                <w:u w:val="none"/>
                <w:lang w:val="en-US" w:eastAsia="zh-CN"/>
              </w:rPr>
              <w:t>整车</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车</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2"/>
                <w:sz w:val="24"/>
                <w:szCs w:val="24"/>
                <w:u w:val="none"/>
                <w:lang w:val="en-US" w:eastAsia="zh-CN" w:bidi="ar-SA"/>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417" w:hRule="atLeast"/>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lang w:val="en-US" w:eastAsia="zh-CN"/>
              </w:rPr>
            </w:pPr>
            <w:r>
              <w:rPr>
                <w:rFonts w:hint="eastAsia" w:ascii="楷体" w:hAnsi="楷体" w:eastAsia="楷体" w:cs="楷体"/>
                <w:b/>
                <w:bCs/>
                <w:i w:val="0"/>
                <w:iCs w:val="0"/>
                <w:color w:val="000000"/>
                <w:sz w:val="22"/>
                <w:szCs w:val="22"/>
                <w:u w:val="none"/>
                <w:lang w:val="en-US" w:eastAsia="zh-CN"/>
              </w:rPr>
              <w:t>KD运输费用标准</w:t>
            </w: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KD库区</w:t>
            </w:r>
          </w:p>
        </w:tc>
        <w:tc>
          <w:tcPr>
            <w:tcW w:w="1218"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双程/公里</w:t>
            </w:r>
          </w:p>
        </w:tc>
        <w:tc>
          <w:tcPr>
            <w:tcW w:w="114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车型</w:t>
            </w:r>
          </w:p>
        </w:tc>
        <w:tc>
          <w:tcPr>
            <w:tcW w:w="203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2"/>
                <w:szCs w:val="22"/>
                <w:u w:val="none"/>
                <w:lang w:val="en-US" w:eastAsia="zh-CN" w:bidi="ar"/>
              </w:rPr>
            </w:pPr>
            <w:r>
              <w:rPr>
                <w:rFonts w:hint="eastAsia" w:ascii="楷体" w:hAnsi="楷体" w:eastAsia="楷体" w:cs="楷体"/>
                <w:b/>
                <w:bCs/>
                <w:i w:val="0"/>
                <w:iCs w:val="0"/>
                <w:color w:val="000000"/>
                <w:kern w:val="0"/>
                <w:sz w:val="22"/>
                <w:szCs w:val="22"/>
                <w:u w:val="none"/>
                <w:lang w:val="en-US" w:eastAsia="zh-CN" w:bidi="ar"/>
              </w:rPr>
              <w:t>原价/未税（元）</w:t>
            </w:r>
          </w:p>
        </w:tc>
        <w:tc>
          <w:tcPr>
            <w:tcW w:w="2029"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lang w:eastAsia="zh-CN"/>
              </w:rPr>
            </w:pPr>
            <w:r>
              <w:rPr>
                <w:rFonts w:hint="eastAsia" w:ascii="楷体" w:hAnsi="楷体" w:eastAsia="楷体" w:cs="楷体"/>
                <w:b/>
                <w:bCs/>
                <w:i w:val="0"/>
                <w:iCs w:val="0"/>
                <w:color w:val="000000"/>
                <w:kern w:val="0"/>
                <w:sz w:val="22"/>
                <w:szCs w:val="22"/>
                <w:u w:val="none"/>
                <w:lang w:val="en-US" w:eastAsia="zh-CN" w:bidi="ar"/>
              </w:rPr>
              <w:t>新价格/未税（元）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41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r>
              <w:rPr>
                <w:rFonts w:hint="eastAsia" w:ascii="楷体" w:hAnsi="楷体" w:eastAsia="楷体" w:cs="楷体"/>
                <w:b w:val="0"/>
                <w:bCs w:val="0"/>
                <w:i w:val="0"/>
                <w:iCs w:val="0"/>
                <w:color w:val="000000"/>
                <w:kern w:val="0"/>
                <w:sz w:val="22"/>
                <w:szCs w:val="22"/>
                <w:u w:val="none"/>
                <w:lang w:val="en-US" w:eastAsia="zh-CN" w:bidi="ar"/>
              </w:rPr>
              <w:t>坊子顺丰物流园</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20</w:t>
            </w:r>
          </w:p>
        </w:tc>
        <w:tc>
          <w:tcPr>
            <w:tcW w:w="11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7.8M</w:t>
            </w:r>
          </w:p>
        </w:tc>
        <w:tc>
          <w:tcPr>
            <w:tcW w:w="20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580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rPr>
            </w:pPr>
            <w:r>
              <w:rPr>
                <w:rFonts w:hint="eastAsia" w:ascii="楷体" w:hAnsi="楷体" w:eastAsia="楷体" w:cs="楷体"/>
                <w:i w:val="0"/>
                <w:iCs w:val="0"/>
                <w:color w:val="000000"/>
                <w:sz w:val="22"/>
                <w:szCs w:val="22"/>
                <w:u w:val="none"/>
                <w:lang w:val="en-US" w:eastAsia="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534" w:hRule="atLeast"/>
        </w:trPr>
        <w:tc>
          <w:tcPr>
            <w:tcW w:w="1316"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lang w:eastAsia="zh-CN"/>
              </w:rPr>
            </w:pPr>
            <w:r>
              <w:rPr>
                <w:rFonts w:hint="eastAsia" w:ascii="楷体" w:hAnsi="楷体" w:eastAsia="楷体" w:cs="楷体"/>
                <w:b w:val="0"/>
                <w:bCs w:val="0"/>
                <w:i w:val="0"/>
                <w:iCs w:val="0"/>
                <w:color w:val="000000"/>
                <w:sz w:val="22"/>
                <w:szCs w:val="22"/>
                <w:u w:val="none"/>
                <w:lang w:eastAsia="zh-CN"/>
              </w:rPr>
              <w:t>说明</w:t>
            </w:r>
          </w:p>
        </w:tc>
        <w:tc>
          <w:tcPr>
            <w:tcW w:w="9042"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2"/>
                <w:sz w:val="24"/>
                <w:szCs w:val="24"/>
                <w:u w:val="none"/>
                <w:lang w:val="en-US" w:eastAsia="zh-CN" w:bidi="ar-SA"/>
              </w:rPr>
              <w:t>原价格时间有效期为2022年10月-2023年7月,8-9月按照增补合同扣除总额的10%费用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417" w:hRule="atLeast"/>
        </w:trPr>
        <w:tc>
          <w:tcPr>
            <w:tcW w:w="1316"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9042"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2"/>
                <w:sz w:val="24"/>
                <w:szCs w:val="24"/>
                <w:u w:val="none"/>
                <w:lang w:val="en-US" w:eastAsia="zh-CN" w:bidi="ar-SA"/>
              </w:rPr>
              <w:t>新价格执行日期：2023年10月-2024年10月，</w:t>
            </w:r>
          </w:p>
        </w:tc>
      </w:tr>
    </w:tbl>
    <w:p>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第五条 结算方式</w:t>
      </w:r>
    </w:p>
    <w:p>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甲、乙双方每日确认卸车车型及运输方式，按照物流卸车费用标准计算价格，月底进行汇总提交财务</w:t>
      </w:r>
    </w:p>
    <w:p>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SKD配送根据交付计划，双方确认运输车型及车次，根据</w:t>
      </w:r>
      <w:r>
        <w:rPr>
          <w:rFonts w:hint="eastAsia" w:ascii="楷体" w:hAnsi="楷体" w:eastAsia="楷体" w:cs="楷体"/>
          <w:b w:val="0"/>
          <w:bCs/>
          <w:i w:val="0"/>
          <w:iCs w:val="0"/>
          <w:color w:val="000000"/>
          <w:sz w:val="24"/>
          <w:szCs w:val="24"/>
          <w:u w:val="none"/>
          <w:lang w:val="en-US" w:eastAsia="zh-CN"/>
        </w:rPr>
        <w:t>KD运输费用标准进行统计核算价格，月底进行汇总</w:t>
      </w:r>
    </w:p>
    <w:p>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乙方按月开具增值税专用发票，税率为3%的物流运输发票</w:t>
      </w:r>
    </w:p>
    <w:p>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甲方收到发票进行挂账，账期60天，循环付款</w:t>
      </w:r>
    </w:p>
    <w:p>
      <w:pPr>
        <w:widowControl/>
        <w:numPr>
          <w:ilvl w:val="0"/>
          <w:numId w:val="0"/>
        </w:numPr>
        <w:spacing w:line="360" w:lineRule="auto"/>
        <w:jc w:val="both"/>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i w:val="0"/>
          <w:iCs w:val="0"/>
          <w:color w:val="000000"/>
          <w:sz w:val="28"/>
          <w:szCs w:val="28"/>
          <w:u w:val="none"/>
          <w:lang w:val="en-US" w:eastAsia="zh-CN"/>
        </w:rPr>
        <w:t>第六条 违约责任</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1.乙方不按照甲方的合理要求进行搬运、保管、配送，或因乙方在搬运、 保管、配送过程中的过错，致使甲方的产品遭到破坏、丢失所产生的损失由乙方负担。</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、乙方按甲方指定客户的要求，为甲方经检验合格的产品进行分拣拆包装过程中造成的产品损坏，所产生的损失由乙方自行负担。</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3、因乙方未能动及时与甲方指定客户沟通，对送货计划理解有误，或未能及时掌握送货计划致使甲方向甲方指定客户产品供应不及时，所产生的损失或处罚由乙方自行负担。</w:t>
      </w:r>
    </w:p>
    <w:p>
      <w:pPr>
        <w:spacing w:after="0" w:line="360" w:lineRule="auto"/>
        <w:ind w:firstLine="960" w:firstLineChars="400"/>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4、乙方物流运输、卸车统计数据造假或未按照上述相关标准进行统计，一经查实按照当月费用的1.5倍进行违约罚款</w:t>
      </w:r>
    </w:p>
    <w:p>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第七条 免责条款</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pPr>
        <w:spacing w:after="0" w:line="360" w:lineRule="auto"/>
        <w:rPr>
          <w:rFonts w:hint="eastAsia" w:ascii="楷体" w:hAnsi="楷体" w:eastAsia="楷体" w:cs="楷体"/>
          <w:b/>
          <w:bCs/>
          <w:sz w:val="28"/>
          <w:szCs w:val="36"/>
          <w:lang w:val="en-US" w:eastAsia="zh-CN"/>
        </w:rPr>
      </w:pPr>
      <w:r>
        <w:rPr>
          <w:rFonts w:hint="eastAsia" w:ascii="楷体" w:hAnsi="楷体" w:eastAsia="楷体" w:cs="楷体"/>
          <w:b/>
          <w:bCs/>
          <w:sz w:val="28"/>
          <w:szCs w:val="36"/>
          <w:lang w:eastAsia="zh-CN"/>
        </w:rPr>
        <w:t>第八条</w:t>
      </w:r>
      <w:r>
        <w:rPr>
          <w:rFonts w:hint="eastAsia" w:ascii="楷体" w:hAnsi="楷体" w:eastAsia="楷体" w:cs="楷体"/>
          <w:b/>
          <w:bCs/>
          <w:sz w:val="28"/>
          <w:szCs w:val="36"/>
          <w:lang w:val="en-US" w:eastAsia="zh-CN"/>
        </w:rPr>
        <w:t xml:space="preserve"> 其他</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bCs/>
          <w:sz w:val="28"/>
          <w:szCs w:val="36"/>
          <w:lang w:val="en-US" w:eastAsia="zh-CN"/>
        </w:rPr>
        <w:t xml:space="preserve">      </w:t>
      </w:r>
      <w:r>
        <w:rPr>
          <w:rFonts w:hint="eastAsia" w:ascii="楷体" w:hAnsi="楷体" w:eastAsia="楷体" w:cs="楷体"/>
          <w:b/>
          <w:bCs/>
          <w:sz w:val="24"/>
          <w:szCs w:val="32"/>
          <w:lang w:val="en-US" w:eastAsia="zh-CN"/>
        </w:rPr>
        <w:t xml:space="preserve"> </w:t>
      </w:r>
      <w:r>
        <w:rPr>
          <w:rFonts w:hint="eastAsia" w:ascii="楷体" w:hAnsi="楷体" w:eastAsia="楷体" w:cs="楷体"/>
          <w:b w:val="0"/>
          <w:bCs w:val="0"/>
          <w:sz w:val="24"/>
          <w:szCs w:val="32"/>
          <w:lang w:val="en-US" w:eastAsia="zh-CN"/>
        </w:rPr>
        <w:t xml:space="preserve"> 1、乙方工作人员必须持国家认可的叉车驾驶证件进行叉车作业，若安监管理行政部门执法过程中发现违规问题，乙方负全责，与甲方无关。</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2、乙方工作人员进入甲方仓储、生产线及厂区作业，出现的磕碰、砸伤等伤人安全事故与甲方无关，乙方承担所有责任，甲方不承担任何责任。</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3、乙方工作人员未按甲方要求在指定吸烟区吸烟造成火灾隐患的，甲方有权考核乙方200元-1000元违规管理费</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4、乙方工作人员不按照甲方指定的叉车行驶路线，违规驾驶造成人员安全隐患的，甲方有权考核乙方200元-1000元违规管理费</w:t>
      </w:r>
    </w:p>
    <w:p>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5、乙方工作人员在装卸作业时，甲方巡检发现装卸有安全隐患，提出整改要求，乙方工作人员不服从要求，甲方有权考核乙方500元-5000元，并要求乙方立即更换工作人员</w:t>
      </w:r>
    </w:p>
    <w:p>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第九条 协议的生效、终止</w:t>
      </w:r>
    </w:p>
    <w:p>
      <w:pPr>
        <w:pStyle w:val="15"/>
        <w:numPr>
          <w:ilvl w:val="0"/>
          <w:numId w:val="0"/>
        </w:num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本合同一式两份，甲乙双方各持一份，由甲方与乙方盖章后生效，本合同期限从20</w:t>
      </w:r>
      <w:r>
        <w:rPr>
          <w:rFonts w:hint="eastAsia" w:ascii="楷体" w:hAnsi="楷体" w:eastAsia="楷体" w:cs="楷体"/>
          <w:sz w:val="24"/>
          <w:szCs w:val="32"/>
          <w:lang w:val="en-US" w:eastAsia="zh-CN"/>
        </w:rPr>
        <w:t>23</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10</w:t>
      </w:r>
      <w:r>
        <w:rPr>
          <w:rFonts w:hint="eastAsia" w:ascii="楷体" w:hAnsi="楷体" w:eastAsia="楷体" w:cs="楷体"/>
          <w:sz w:val="24"/>
          <w:szCs w:val="32"/>
          <w:lang w:eastAsia="zh-CN"/>
        </w:rPr>
        <w:t>月1日起至20</w:t>
      </w:r>
      <w:r>
        <w:rPr>
          <w:rFonts w:hint="eastAsia" w:ascii="楷体" w:hAnsi="楷体" w:eastAsia="楷体" w:cs="楷体"/>
          <w:sz w:val="24"/>
          <w:szCs w:val="32"/>
          <w:lang w:val="en-US" w:eastAsia="zh-CN"/>
        </w:rPr>
        <w:t>24</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10</w:t>
      </w:r>
      <w:r>
        <w:rPr>
          <w:rFonts w:hint="eastAsia" w:ascii="楷体" w:hAnsi="楷体" w:eastAsia="楷体" w:cs="楷体"/>
          <w:sz w:val="24"/>
          <w:szCs w:val="32"/>
          <w:lang w:eastAsia="zh-CN"/>
        </w:rPr>
        <w:t>月</w:t>
      </w: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日止。</w:t>
      </w:r>
    </w:p>
    <w:p>
      <w:pPr>
        <w:pStyle w:val="15"/>
        <w:numPr>
          <w:ilvl w:val="0"/>
          <w:numId w:val="0"/>
        </w:numPr>
        <w:spacing w:after="0" w:line="360" w:lineRule="auto"/>
        <w:ind w:firstLine="960" w:firstLineChars="400"/>
        <w:rPr>
          <w:rFonts w:hint="eastAsia" w:ascii="楷体" w:hAnsi="楷体" w:eastAsia="楷体" w:cs="楷体"/>
          <w:sz w:val="24"/>
          <w:szCs w:val="24"/>
        </w:rPr>
      </w:pPr>
      <w:r>
        <w:rPr>
          <w:rFonts w:hint="eastAsia" w:ascii="楷体" w:hAnsi="楷体" w:eastAsia="楷体" w:cs="楷体"/>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pPr>
        <w:spacing w:line="360" w:lineRule="auto"/>
        <w:rPr>
          <w:rFonts w:hint="eastAsia" w:ascii="楷体" w:hAnsi="楷体" w:eastAsia="楷体" w:cs="楷体"/>
          <w:b w:val="0"/>
          <w:bCs/>
          <w:sz w:val="24"/>
          <w:szCs w:val="24"/>
        </w:rPr>
      </w:pPr>
      <w:r>
        <w:rPr>
          <w:rFonts w:hint="eastAsia" w:ascii="楷体" w:hAnsi="楷体" w:eastAsia="楷体" w:cs="楷体"/>
          <w:b/>
          <w:bCs/>
          <w:sz w:val="24"/>
          <w:szCs w:val="24"/>
        </w:rPr>
        <w:t>甲方(盖章)：</w:t>
      </w:r>
      <w:r>
        <w:rPr>
          <w:rFonts w:hint="eastAsia" w:ascii="楷体" w:hAnsi="楷体" w:eastAsia="楷体" w:cs="楷体"/>
          <w:b w:val="0"/>
          <w:bCs/>
          <w:sz w:val="24"/>
          <w:szCs w:val="24"/>
          <w:lang w:eastAsia="zh-CN"/>
        </w:rPr>
        <w:t>潍坊光华荣昌汽车技术有限公司</w:t>
      </w:r>
      <w:r>
        <w:rPr>
          <w:rFonts w:hint="eastAsia" w:ascii="楷体" w:hAnsi="楷体" w:eastAsia="楷体" w:cs="楷体"/>
          <w:b w:val="0"/>
          <w:bCs/>
          <w:sz w:val="24"/>
          <w:szCs w:val="24"/>
          <w:lang w:val="en-US" w:eastAsia="zh-CN"/>
        </w:rPr>
        <w:t xml:space="preserve"> </w:t>
      </w:r>
      <w:r>
        <w:rPr>
          <w:rFonts w:hint="eastAsia" w:ascii="楷体" w:hAnsi="楷体" w:eastAsia="楷体" w:cs="楷体"/>
          <w:b/>
          <w:sz w:val="24"/>
          <w:szCs w:val="24"/>
          <w:lang w:val="en-US" w:eastAsia="zh-CN"/>
        </w:rPr>
        <w:t xml:space="preserve">  </w:t>
      </w:r>
      <w:r>
        <w:rPr>
          <w:rFonts w:hint="eastAsia" w:ascii="楷体" w:hAnsi="楷体" w:eastAsia="楷体" w:cs="楷体"/>
          <w:b/>
          <w:bCs/>
          <w:sz w:val="24"/>
          <w:szCs w:val="24"/>
        </w:rPr>
        <w:t>乙方(盖章)：</w:t>
      </w:r>
      <w:r>
        <w:rPr>
          <w:rFonts w:hint="eastAsia" w:ascii="楷体" w:hAnsi="楷体" w:eastAsia="楷体" w:cs="楷体"/>
          <w:b w:val="0"/>
          <w:bCs/>
          <w:sz w:val="24"/>
          <w:szCs w:val="24"/>
          <w:lang w:eastAsia="zh-CN"/>
        </w:rPr>
        <w:t>潍坊鑫腾物流有限公司</w:t>
      </w:r>
    </w:p>
    <w:p>
      <w:pPr>
        <w:spacing w:line="360" w:lineRule="auto"/>
        <w:rPr>
          <w:rFonts w:hint="eastAsia" w:ascii="楷体" w:hAnsi="楷体" w:eastAsia="楷体" w:cs="楷体"/>
          <w:sz w:val="24"/>
          <w:szCs w:val="24"/>
        </w:rPr>
      </w:pP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电      话：</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电      话：</w:t>
      </w:r>
    </w:p>
    <w:p>
      <w:pPr>
        <w:spacing w:line="360" w:lineRule="auto"/>
        <w:rPr>
          <w:rFonts w:hint="eastAsia" w:ascii="楷体" w:hAnsi="楷体" w:eastAsia="楷体" w:cs="楷体"/>
          <w:b/>
          <w:bCs/>
          <w:sz w:val="24"/>
          <w:szCs w:val="24"/>
        </w:rPr>
      </w:pP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法定代表人：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法定代表人：</w:t>
      </w:r>
    </w:p>
    <w:p>
      <w:pPr>
        <w:spacing w:line="360" w:lineRule="auto"/>
        <w:rPr>
          <w:rFonts w:hint="eastAsia" w:ascii="楷体" w:hAnsi="楷体" w:eastAsia="楷体" w:cs="楷体"/>
          <w:b/>
          <w:bCs/>
          <w:sz w:val="24"/>
          <w:szCs w:val="24"/>
        </w:rPr>
      </w:pP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委托代理人：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委托代理人：</w:t>
      </w:r>
    </w:p>
    <w:p>
      <w:pPr>
        <w:spacing w:line="360" w:lineRule="auto"/>
        <w:rPr>
          <w:rFonts w:hint="eastAsia" w:ascii="楷体" w:hAnsi="楷体" w:eastAsia="楷体" w:cs="楷体"/>
          <w:b/>
          <w:bCs/>
          <w:sz w:val="24"/>
          <w:szCs w:val="24"/>
        </w:rPr>
      </w:pPr>
    </w:p>
    <w:p>
      <w:pPr>
        <w:spacing w:line="360" w:lineRule="auto"/>
        <w:ind w:left="240" w:hanging="241" w:hangingChars="100"/>
        <w:rPr>
          <w:rFonts w:hint="eastAsia" w:ascii="楷体" w:hAnsi="楷体" w:eastAsia="楷体" w:cs="楷体"/>
          <w:color w:val="000000"/>
          <w:kern w:val="0"/>
          <w:sz w:val="24"/>
          <w:szCs w:val="24"/>
        </w:rPr>
      </w:pP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3</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 10</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1 </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3</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10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1  </w:t>
      </w:r>
      <w:r>
        <w:rPr>
          <w:rFonts w:hint="eastAsia" w:ascii="楷体" w:hAnsi="楷体" w:eastAsia="楷体" w:cs="楷体"/>
          <w:sz w:val="24"/>
          <w:szCs w:val="24"/>
        </w:rPr>
        <w:t>日</w:t>
      </w:r>
    </w:p>
    <w:p>
      <w:pPr>
        <w:widowControl/>
        <w:spacing w:line="360" w:lineRule="auto"/>
        <w:rPr>
          <w:rFonts w:hint="eastAsia" w:ascii="楷体" w:hAnsi="楷体" w:eastAsia="楷体" w:cs="楷体"/>
          <w:color w:val="000000"/>
          <w:kern w:val="0"/>
          <w:sz w:val="24"/>
          <w:szCs w:val="24"/>
        </w:rPr>
      </w:pPr>
    </w:p>
    <w:p>
      <w:pPr>
        <w:widowControl/>
        <w:spacing w:line="360" w:lineRule="auto"/>
        <w:rPr>
          <w:rFonts w:hint="eastAsia" w:ascii="楷体" w:hAnsi="楷体" w:eastAsia="楷体" w:cs="楷体"/>
          <w:sz w:val="21"/>
          <w:szCs w:val="24"/>
          <w:lang w:eastAsia="zh-CN"/>
        </w:rPr>
      </w:pPr>
      <w:r>
        <w:rPr>
          <w:rFonts w:hint="eastAsia" w:ascii="楷体" w:hAnsi="楷体" w:eastAsia="楷体" w:cs="楷体"/>
          <w:color w:val="000000"/>
          <w:kern w:val="0"/>
          <w:sz w:val="24"/>
          <w:szCs w:val="24"/>
        </w:rPr>
        <w:t>本合同签订地点：</w:t>
      </w:r>
      <w:bookmarkEnd w:id="0"/>
      <w:r>
        <w:rPr>
          <w:rFonts w:hint="eastAsia" w:ascii="楷体" w:hAnsi="楷体" w:eastAsia="楷体" w:cs="楷体"/>
          <w:color w:val="000000"/>
          <w:kern w:val="0"/>
          <w:sz w:val="24"/>
          <w:szCs w:val="24"/>
          <w:lang w:eastAsia="zh-CN"/>
        </w:rPr>
        <w:t>潍坊</w:t>
      </w:r>
    </w:p>
    <w:sectPr>
      <w:headerReference r:id="rId5" w:type="first"/>
      <w:footerReference r:id="rId7" w:type="first"/>
      <w:headerReference r:id="rId3" w:type="default"/>
      <w:headerReference r:id="rId4" w:type="even"/>
      <w:footerReference r:id="rId6" w:type="even"/>
      <w:pgSz w:w="11906" w:h="16838"/>
      <w:pgMar w:top="126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0118"/>
    <w:multiLevelType w:val="singleLevel"/>
    <w:tmpl w:val="81120118"/>
    <w:lvl w:ilvl="0" w:tentative="0">
      <w:start w:val="1"/>
      <w:numFmt w:val="decimal"/>
      <w:suff w:val="nothing"/>
      <w:lvlText w:val="%1、"/>
      <w:lvlJc w:val="left"/>
      <w:pPr>
        <w:ind w:left="843" w:leftChars="0" w:firstLine="0" w:firstLineChars="0"/>
      </w:pPr>
    </w:lvl>
  </w:abstractNum>
  <w:abstractNum w:abstractNumId="1">
    <w:nsid w:val="8C2453F0"/>
    <w:multiLevelType w:val="singleLevel"/>
    <w:tmpl w:val="8C2453F0"/>
    <w:lvl w:ilvl="0" w:tentative="0">
      <w:start w:val="1"/>
      <w:numFmt w:val="chineseCounting"/>
      <w:suff w:val="space"/>
      <w:lvlText w:val="第%1条"/>
      <w:lvlJc w:val="left"/>
      <w:rPr>
        <w:rFonts w:hint="eastAsia"/>
      </w:rPr>
    </w:lvl>
  </w:abstractNum>
  <w:abstractNum w:abstractNumId="2">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3">
    <w:nsid w:val="FA43D6AE"/>
    <w:multiLevelType w:val="singleLevel"/>
    <w:tmpl w:val="FA43D6AE"/>
    <w:lvl w:ilvl="0" w:tentative="0">
      <w:start w:val="1"/>
      <w:numFmt w:val="decimal"/>
      <w:suff w:val="nothing"/>
      <w:lvlText w:val="%1、"/>
      <w:lvlJc w:val="left"/>
      <w:pPr>
        <w:ind w:left="843" w:leftChars="0" w:firstLine="0" w:firstLineChars="0"/>
      </w:pPr>
    </w:lvl>
  </w:abstractNum>
  <w:abstractNum w:abstractNumId="4">
    <w:nsid w:val="12893A3A"/>
    <w:multiLevelType w:val="singleLevel"/>
    <w:tmpl w:val="12893A3A"/>
    <w:lvl w:ilvl="0" w:tentative="0">
      <w:start w:val="1"/>
      <w:numFmt w:val="decimal"/>
      <w:suff w:val="nothing"/>
      <w:lvlText w:val="%1、"/>
      <w:lvlJc w:val="left"/>
      <w:pPr>
        <w:ind w:left="843" w:leftChars="0" w:firstLine="0" w:firstLineChars="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01F73215"/>
    <w:rsid w:val="121E3DC1"/>
    <w:rsid w:val="17746544"/>
    <w:rsid w:val="1A3A2F9C"/>
    <w:rsid w:val="1B572444"/>
    <w:rsid w:val="1D2961E3"/>
    <w:rsid w:val="237050B3"/>
    <w:rsid w:val="239436FF"/>
    <w:rsid w:val="2BDD2D89"/>
    <w:rsid w:val="311C21CB"/>
    <w:rsid w:val="38E05844"/>
    <w:rsid w:val="3A89420B"/>
    <w:rsid w:val="3E051695"/>
    <w:rsid w:val="487369AB"/>
    <w:rsid w:val="532F3114"/>
    <w:rsid w:val="627B6844"/>
    <w:rsid w:val="6F363A14"/>
    <w:rsid w:val="77807954"/>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Words>
  <Characters>958</Characters>
  <Lines>7</Lines>
  <Paragraphs>2</Paragraphs>
  <TotalTime>21</TotalTime>
  <ScaleCrop>false</ScaleCrop>
  <LinksUpToDate>false</LinksUpToDate>
  <CharactersWithSpaces>1124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李林峰</cp:lastModifiedBy>
  <dcterms:modified xsi:type="dcterms:W3CDTF">2023-12-07T01:53:58Z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89EBA407D5EF41BDAA5D4181A5D797E6_12</vt:lpwstr>
  </property>
</Properties>
</file>