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5" w:rightChars="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FFFFFF"/>
          <w:sz w:val="24"/>
          <w:szCs w:val="24"/>
        </w:rPr>
        <w:t>#中心#标准合同文本</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汽车产品检验合同</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委托方（甲方）:  </w:t>
      </w:r>
      <w:r>
        <w:rPr>
          <w:rFonts w:hint="eastAsia" w:asciiTheme="minorEastAsia" w:hAnsiTheme="minorEastAsia" w:eastAsiaTheme="minorEastAsia" w:cstheme="minorEastAsia"/>
          <w:sz w:val="24"/>
          <w:szCs w:val="24"/>
          <w:u w:val="single"/>
        </w:rPr>
        <w:t xml:space="preserve">   </w:t>
      </w:r>
      <w:bookmarkStart w:id="0" w:name="OLE_LINK3"/>
      <w:r>
        <w:rPr>
          <w:rFonts w:hint="eastAsia" w:asciiTheme="minorEastAsia" w:hAnsiTheme="minorEastAsia" w:eastAsiaTheme="minorEastAsia" w:cstheme="minorEastAsia"/>
          <w:sz w:val="24"/>
          <w:szCs w:val="24"/>
          <w:u w:val="single"/>
        </w:rPr>
        <w:t>北京光华荣昌汽车部件有限公司</w:t>
      </w:r>
      <w:bookmarkEnd w:id="0"/>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北京市昌平区北流村600号院9号楼1至3层101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赵月强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highlight w:val="none"/>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受托方（乙方）:</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                      天津市东丽区先锋东路68号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颜燕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580" w:firstLineChars="2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甲方委托乙方对甲方提供的</w:t>
      </w:r>
      <w:r>
        <w:rPr>
          <w:rFonts w:hint="eastAsia" w:asciiTheme="minorEastAsia" w:hAnsiTheme="minorEastAsia" w:eastAsiaTheme="minorEastAsia" w:cstheme="minorEastAsia"/>
          <w:sz w:val="24"/>
          <w:szCs w:val="24"/>
          <w:u w:val="single"/>
        </w:rPr>
        <w:t xml:space="preserve"> 样品 </w:t>
      </w: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u w:val="single"/>
        </w:rPr>
        <w:t xml:space="preserve">  Q/</w:t>
      </w:r>
      <w:r>
        <w:rPr>
          <w:rFonts w:hint="eastAsia" w:asciiTheme="minorEastAsia" w:hAnsiTheme="minorEastAsia" w:eastAsiaTheme="minorEastAsia" w:cstheme="minorEastAsia"/>
          <w:sz w:val="24"/>
          <w:szCs w:val="24"/>
          <w:u w:val="single"/>
          <w:lang w:val="en-US" w:eastAsia="zh-CN"/>
        </w:rPr>
        <w:t>JLY</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J7110341D-2020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Q/</w:t>
      </w:r>
      <w:r>
        <w:rPr>
          <w:rFonts w:hint="eastAsia" w:asciiTheme="minorEastAsia" w:hAnsiTheme="minorEastAsia" w:eastAsiaTheme="minorEastAsia" w:cstheme="minorEastAsia"/>
          <w:sz w:val="24"/>
          <w:szCs w:val="24"/>
          <w:u w:val="single"/>
          <w:lang w:val="en-US" w:eastAsia="zh-CN"/>
        </w:rPr>
        <w:t>JLY</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J7110222B-2019</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u w:val="single"/>
          <w:lang w:val="en-US" w:eastAsia="zh-CN"/>
        </w:rPr>
        <w:t>雾化性</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rPr>
        <w:t>试验。试验完成后，乙方提供相应的试验报告。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试验样品的运输由甲方负责，</w:t>
      </w:r>
      <w:r>
        <w:rPr>
          <w:rFonts w:hint="eastAsia" w:asciiTheme="minorEastAsia" w:hAnsiTheme="minorEastAsia" w:eastAsiaTheme="minorEastAsia" w:cstheme="minorEastAsia"/>
          <w:color w:val="000000"/>
          <w:sz w:val="24"/>
          <w:szCs w:val="24"/>
        </w:rPr>
        <w:t>所需费用由甲方承担。甲方保证其提供的试验样品的质量符合试验要求。</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甲方承担试验样品的维修和保养所需费用和甲方人员在试验过程中发生的费用。甲方应提供充足的维修和保养所需零部件和材料，以保证试验的顺利进行。</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该委托检验在</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进行。乙方需组织一支包括项目经理、试验经理、试验员等在内的试验团队，负责整个试验过程中的内部管理、进度把控和沟通等工作。</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乙方应指定保密管理联络人，负责协调、加强甲方保密信息在乙方的管理。</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合同费用为：</w:t>
      </w:r>
      <w:r>
        <w:rPr>
          <w:rFonts w:hint="eastAsia" w:asciiTheme="minorEastAsia" w:hAnsiTheme="minorEastAsia" w:eastAsiaTheme="minorEastAsia" w:cstheme="minorEastAsia"/>
          <w:sz w:val="24"/>
          <w:szCs w:val="24"/>
          <w:u w:val="single"/>
          <w:lang w:eastAsia="zh-Hans"/>
        </w:rPr>
        <w:t xml:space="preserve"> ¥ </w:t>
      </w:r>
      <w:r>
        <w:rPr>
          <w:rFonts w:hint="eastAsia" w:asciiTheme="minorEastAsia" w:hAnsiTheme="minorEastAsia" w:eastAsiaTheme="minorEastAsia" w:cstheme="minorEastAsia"/>
          <w:sz w:val="24"/>
          <w:szCs w:val="24"/>
          <w:u w:val="single"/>
          <w:lang w:val="en-US" w:eastAsia="zh-CN"/>
        </w:rPr>
        <w:t>1500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lang w:val="en-US" w:eastAsia="zh-CN"/>
        </w:rPr>
        <w:t>仟伍佰</w:t>
      </w:r>
      <w:r>
        <w:rPr>
          <w:rFonts w:hint="eastAsia" w:asciiTheme="minorEastAsia" w:hAnsiTheme="minorEastAsia" w:eastAsiaTheme="minorEastAsia" w:cstheme="minorEastAsia"/>
          <w:sz w:val="24"/>
          <w:szCs w:val="24"/>
          <w:u w:val="single"/>
        </w:rPr>
        <w:t xml:space="preserve">圆整 </w:t>
      </w:r>
      <w:r>
        <w:rPr>
          <w:rFonts w:hint="eastAsia" w:asciiTheme="minorEastAsia" w:hAnsiTheme="minorEastAsia" w:eastAsiaTheme="minorEastAsia" w:cstheme="minorEastAsia"/>
          <w:sz w:val="24"/>
          <w:szCs w:val="24"/>
        </w:rPr>
        <w:t>），含</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增值税专用发票（若实际检验中有项目新增或者需要复测，新增或者需要复测检验项目另外协商收费），明细详见费用清单。</w:t>
      </w:r>
      <w:bookmarkStart w:id="1" w:name="_GoBack"/>
      <w:bookmarkEnd w:id="1"/>
    </w:p>
    <w:p>
      <w:pPr>
        <w:tabs>
          <w:tab w:val="left" w:pos="390"/>
        </w:tabs>
        <w:spacing w:line="600" w:lineRule="exact"/>
        <w:ind w:left="105" w:leftChars="50" w:right="25" w:rightChars="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本协议采用以下支付方式：</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试验结束后，乙方根据试验项目实际发生的工作量及收费标准制定的试验费用清单交由甲方确认。甲方在收到费用清单并核实无误后的7 日内填写《试验完工验收表》（模板见附件一），并将加盖公章及签字的《试验完工验收表》交给乙方，</w:t>
      </w:r>
      <w:r>
        <w:rPr>
          <w:rFonts w:hint="eastAsia" w:asciiTheme="minorEastAsia" w:hAnsiTheme="minorEastAsia" w:eastAsiaTheme="minorEastAsia" w:cstheme="minorEastAsia"/>
          <w:sz w:val="24"/>
          <w:szCs w:val="24"/>
          <w:lang w:eastAsia="zh-Hans"/>
        </w:rPr>
        <w:t>同时</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lang w:eastAsia="zh-Hans"/>
          <w14:textFill>
            <w14:solidFill>
              <w14:schemeClr w14:val="tx1"/>
            </w14:solidFill>
          </w14:textFill>
        </w:rPr>
        <w:t>于试验结束后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日内以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转账 </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方式支付试验费用。</w:t>
      </w:r>
      <w:r>
        <w:rPr>
          <w:rFonts w:hint="eastAsia" w:asciiTheme="minorEastAsia" w:hAnsiTheme="minorEastAsia" w:eastAsiaTheme="minorEastAsia" w:cstheme="minorEastAsia"/>
          <w:sz w:val="24"/>
          <w:szCs w:val="24"/>
        </w:rPr>
        <w:t>乙方需在甲方付款后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个工作日内给甲方开具出等额增值税专用发票。</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若甲方于收到费用清单后的30个工作日后迟迟未予以确认，且未提出异议，则视为甲方认可该笔试验费用。</w:t>
      </w:r>
    </w:p>
    <w:p>
      <w:pPr>
        <w:spacing w:line="600" w:lineRule="exact"/>
        <w:ind w:left="142" w:leftChars="68" w:right="25" w:rightChars="12"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试验费用清单另附文件提交给甲方。合同中的款项已包含所有的税费。</w:t>
      </w:r>
    </w:p>
    <w:p>
      <w:pPr>
        <w:spacing w:line="600" w:lineRule="exact"/>
        <w:ind w:left="105" w:leftChars="50" w:right="25" w:rightChars="12" w:firstLine="340" w:firstLineChars="14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乙方开户名称：中汽研汽车检验中心（天津）有限公司 </w:t>
      </w:r>
    </w:p>
    <w:p>
      <w:pPr>
        <w:tabs>
          <w:tab w:val="left" w:pos="8280"/>
        </w:tabs>
        <w:spacing w:line="600" w:lineRule="exact"/>
        <w:ind w:left="5245" w:leftChars="98" w:right="25" w:rightChars="12" w:hanging="5040" w:hangingChars="2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开户行：工商银行天津东丽开发区支行 </w:t>
      </w: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帐  号：0302042119300383573 </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乙方自甲方的样品及相关技术资料到位之日起</w:t>
      </w:r>
      <w:r>
        <w:rPr>
          <w:rFonts w:hint="eastAsia" w:asciiTheme="minorEastAsia" w:hAnsiTheme="minorEastAsia" w:eastAsiaTheme="minorEastAsia" w:cstheme="minorEastAsia"/>
          <w:sz w:val="24"/>
          <w:szCs w:val="24"/>
          <w:u w:val="single"/>
        </w:rPr>
        <w:t xml:space="preserve"> 30 </w:t>
      </w:r>
      <w:r>
        <w:rPr>
          <w:rFonts w:hint="eastAsia" w:asciiTheme="minorEastAsia" w:hAnsiTheme="minorEastAsia" w:eastAsiaTheme="minorEastAsia" w:cstheme="minorEastAsia"/>
          <w:sz w:val="24"/>
          <w:szCs w:val="24"/>
        </w:rPr>
        <w:t>个工作日内完成试验。乙方在甲方履行全部付款义务后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个工作日内向甲方提交试验报告。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试验中止：在全部试验过程中，如有样品故障或测试数据超标等原因，甲方有权依据乙方提供的试验数据中止试验，同时将派人员进行调查核实，因此导致逾期完成试验的，乙方不承担责任。</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甲方迟延付款的，每迟延一日应按合同总额的1‰支付违约金，且乙方有权暂停检测工作直至甲方付款，因此造成迟延完成试验的，乙方不承担任何责任；如乙方已经完成试验，乙方有权拒绝提供试验报告。甲方逾期超过 30 天，乙方有权解除合同。</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甲方应在试验完毕后1个月内（留样样品按留样期满后开始计算）退回相关样品，1个月内甲方未做放弃样品授权的，乙方默认甲方自动续存样品处理，乙方将收取一定超期存储费。针对提前到样的样品，要求待检时间不得超过3个月，若超期乙方将向甲方收取一定超期存储费。</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若甲方有新能源车进行碰撞试验，要求甲方于试验后一周内（自然日）安排运回；经过破坏性试验的高危电池要求甲方于1个自然日内退回；较危险的电池要求三天内（自然日）退回。</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乙方收取的超期存储费标准如下。试验车：100元/辆/天；白车身：80元/个/天；其他样件：50元/m³/天（不足1m³的样品按1m³标准计算）。</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在退样过程中根据甲方需求，乙方可按自身能力为甲方提供厂区内的样品运输、叉车装卸等相关配套服务，不额外收取费用。</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双方确定，在本合同有效期内，双方指定联系人为：</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邢焕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  xinghuan@bjghrc.com                 </w:t>
      </w:r>
    </w:p>
    <w:p>
      <w:pPr>
        <w:spacing w:line="600" w:lineRule="exact"/>
        <w:ind w:firstLine="1680" w:firstLineChars="700"/>
        <w:rPr>
          <w:rFonts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18610117246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18610117246                </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支琪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zhiqi@catarc.ac.cn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022-84379593,</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13820228579                         </w:t>
      </w:r>
    </w:p>
    <w:p>
      <w:pPr>
        <w:widowControl/>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一方变更项目联系人的，应当及时以书面形式通知另一方。变更方因未及时通知另一方而影响本合同履行，或给另一方造成损失的，变更方应承担相应的责任。</w:t>
      </w:r>
    </w:p>
    <w:p>
      <w:pPr>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乙方应按以下第</w:t>
      </w:r>
      <w:r>
        <w:rPr>
          <w:rFonts w:hint="eastAsia" w:asciiTheme="minorEastAsia" w:hAnsiTheme="minorEastAsia" w:eastAsiaTheme="minorEastAsia" w:cstheme="minorEastAsia"/>
          <w:sz w:val="24"/>
          <w:szCs w:val="24"/>
          <w:u w:val="single"/>
        </w:rPr>
        <w:t xml:space="preserve">  1,2   </w:t>
      </w:r>
      <w:r>
        <w:rPr>
          <w:rFonts w:hint="eastAsia" w:asciiTheme="minorEastAsia" w:hAnsiTheme="minorEastAsia" w:eastAsiaTheme="minorEastAsia" w:cstheme="minorEastAsia"/>
          <w:sz w:val="24"/>
          <w:szCs w:val="24"/>
        </w:rPr>
        <w:t>种方式提供符合国家相关规定的试验报告</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份纸质报告，邮寄至</w:t>
      </w:r>
      <w:r>
        <w:rPr>
          <w:rFonts w:hint="eastAsia" w:asciiTheme="minorEastAsia" w:hAnsiTheme="minorEastAsia" w:eastAsiaTheme="minorEastAsia" w:cstheme="minorEastAsia"/>
          <w:sz w:val="24"/>
          <w:szCs w:val="24"/>
          <w:u w:val="single"/>
        </w:rPr>
        <w:t xml:space="preserve">    甲方住所地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份电子报告，发至邮箱</w:t>
      </w:r>
      <w:r>
        <w:rPr>
          <w:rFonts w:hint="eastAsia" w:asciiTheme="minorEastAsia" w:hAnsiTheme="minorEastAsia" w:eastAsiaTheme="minorEastAsia" w:cstheme="minorEastAsia"/>
          <w:sz w:val="24"/>
          <w:szCs w:val="24"/>
          <w:u w:val="single"/>
        </w:rPr>
        <w:t xml:space="preserve">  xinghuan@bjghrc.com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本协议从双方签字盖章之日起生效，至甲方履行完毕全部付款义务后失效。</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本协议一式</w:t>
      </w:r>
      <w:r>
        <w:rPr>
          <w:rFonts w:hint="eastAsia" w:asciiTheme="minorEastAsia" w:hAnsiTheme="minorEastAsia" w:eastAsiaTheme="minorEastAsia" w:cstheme="minorEastAsia"/>
          <w:sz w:val="24"/>
          <w:szCs w:val="24"/>
          <w:u w:val="single"/>
        </w:rPr>
        <w:t xml:space="preserve">2 </w:t>
      </w:r>
      <w:r>
        <w:rPr>
          <w:rFonts w:hint="eastAsia" w:asciiTheme="minorEastAsia" w:hAnsiTheme="minorEastAsia" w:eastAsiaTheme="minorEastAsia" w:cstheme="minorEastAsia"/>
          <w:sz w:val="24"/>
          <w:szCs w:val="24"/>
        </w:rPr>
        <w:t>份，其中甲方执</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single"/>
        </w:rPr>
        <w:t xml:space="preserve"> 1</w:t>
      </w:r>
      <w:r>
        <w:rPr>
          <w:rFonts w:hint="eastAsia" w:asciiTheme="minorEastAsia" w:hAnsiTheme="minorEastAsia" w:eastAsiaTheme="minorEastAsia" w:cstheme="minorEastAsia"/>
          <w:sz w:val="24"/>
          <w:szCs w:val="24"/>
        </w:rPr>
        <w:t>份，具有同等法律效力。未尽事宜，经双方协商解决。</w:t>
      </w:r>
    </w:p>
    <w:p>
      <w:pPr>
        <w:spacing w:line="440" w:lineRule="exact"/>
        <w:rPr>
          <w:rFonts w:ascii="宋体"/>
          <w:sz w:val="24"/>
        </w:rPr>
      </w:pPr>
      <w:r>
        <w:rPr>
          <w:rFonts w:hint="eastAsia" w:asciiTheme="minorEastAsia" w:hAnsiTheme="minorEastAsia" w:eastAsiaTheme="minorEastAsia" w:cstheme="minorEastAsia"/>
          <w:sz w:val="24"/>
          <w:szCs w:val="24"/>
        </w:rPr>
        <w:t>15.双方因执行本合同发生的或者与本合同有关的一切争议，首先应通过友好协商解决；协商未能达成一致的，</w:t>
      </w:r>
      <w:r>
        <w:rPr>
          <w:rFonts w:hint="eastAsia" w:ascii="宋体"/>
          <w:sz w:val="24"/>
        </w:rPr>
        <w:t>双方同意选择第_</w:t>
      </w:r>
      <w:r>
        <w:rPr>
          <w:rFonts w:hint="eastAsia" w:ascii="宋体"/>
          <w:sz w:val="24"/>
          <w:u w:val="single"/>
        </w:rPr>
        <w:t>1）</w:t>
      </w:r>
      <w:r>
        <w:rPr>
          <w:rFonts w:hint="eastAsia" w:ascii="宋体"/>
          <w:sz w:val="24"/>
        </w:rPr>
        <w:t>种方式解决。</w:t>
      </w:r>
    </w:p>
    <w:p>
      <w:pPr>
        <w:spacing w:line="360" w:lineRule="auto"/>
        <w:ind w:left="-4" w:leftChars="-2" w:firstLine="139" w:firstLineChars="58"/>
        <w:rPr>
          <w:rFonts w:ascii="Arial" w:hAnsi="Arial" w:cs="Arial"/>
          <w:sz w:val="24"/>
        </w:rPr>
      </w:pPr>
      <w:r>
        <w:rPr>
          <w:rFonts w:ascii="Arial" w:hAnsi="Arial" w:cs="Arial"/>
          <w:sz w:val="24"/>
        </w:rPr>
        <w:t>1</w:t>
      </w:r>
      <w:r>
        <w:rPr>
          <w:rFonts w:hint="eastAsia" w:ascii="Arial" w:hAnsi="Arial" w:cs="Arial"/>
          <w:sz w:val="24"/>
        </w:rPr>
        <w:t>）提交甲方所在地法院诉讼；</w:t>
      </w:r>
    </w:p>
    <w:p>
      <w:pPr>
        <w:spacing w:line="360" w:lineRule="auto"/>
        <w:ind w:left="-4" w:leftChars="-2" w:firstLine="139" w:firstLineChars="58"/>
        <w:rPr>
          <w:rFonts w:ascii="Arial" w:hAnsi="Arial" w:cs="Arial"/>
          <w:sz w:val="24"/>
        </w:rPr>
      </w:pPr>
      <w:r>
        <w:rPr>
          <w:rFonts w:ascii="Arial" w:hAnsi="Arial" w:cs="Arial"/>
          <w:sz w:val="24"/>
        </w:rPr>
        <w:t>2</w:t>
      </w:r>
      <w:r>
        <w:rPr>
          <w:rFonts w:hint="eastAsia" w:ascii="Arial" w:hAnsi="Arial" w:cs="Arial"/>
          <w:sz w:val="24"/>
        </w:rPr>
        <w:t>）提交合同签订地法院诉讼；</w:t>
      </w:r>
    </w:p>
    <w:p>
      <w:pPr>
        <w:spacing w:line="360" w:lineRule="auto"/>
        <w:ind w:left="-4" w:leftChars="-2" w:firstLine="139" w:firstLineChars="58"/>
        <w:rPr>
          <w:rFonts w:asciiTheme="minorEastAsia" w:hAnsiTheme="minorEastAsia" w:eastAsiaTheme="minorEastAsia" w:cstheme="minorEastAsia"/>
          <w:sz w:val="24"/>
          <w:szCs w:val="24"/>
        </w:rPr>
      </w:pPr>
      <w:r>
        <w:rPr>
          <w:rFonts w:ascii="Arial" w:hAnsi="Arial" w:cs="Arial"/>
          <w:sz w:val="24"/>
        </w:rPr>
        <w:t>3</w:t>
      </w:r>
      <w:r>
        <w:rPr>
          <w:rFonts w:hint="eastAsia" w:ascii="Arial" w:hAnsi="Arial" w:cs="Arial"/>
          <w:sz w:val="24"/>
        </w:rPr>
        <w:t>）提交被告住所地法院诉讼。</w:t>
      </w:r>
    </w:p>
    <w:p>
      <w:pPr>
        <w:tabs>
          <w:tab w:val="left" w:pos="390"/>
        </w:tabs>
        <w:spacing w:line="600" w:lineRule="exact"/>
        <w:ind w:left="6000" w:right="25" w:rightChars="12" w:hanging="6000" w:hangingChars="25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Hans"/>
        </w:rPr>
        <w:t>甲方：</w:t>
      </w:r>
      <w:r>
        <w:rPr>
          <w:rFonts w:hint="eastAsia" w:asciiTheme="minorEastAsia" w:hAnsiTheme="minorEastAsia" w:eastAsiaTheme="minorEastAsia" w:cstheme="minorEastAsia"/>
          <w:sz w:val="24"/>
          <w:szCs w:val="24"/>
          <w:u w:val="single"/>
        </w:rPr>
        <w:t xml:space="preserve">  北京光华荣昌汽车部件有限公司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乙方：</w:t>
      </w:r>
      <w:r>
        <w:rPr>
          <w:rFonts w:hint="eastAsia" w:asciiTheme="minorEastAsia" w:hAnsiTheme="minorEastAsia" w:eastAsiaTheme="minorEastAsia" w:cstheme="minorEastAsia"/>
          <w:sz w:val="24"/>
          <w:szCs w:val="24"/>
          <w:u w:val="single"/>
          <w:lang w:eastAsia="zh-Hans"/>
        </w:rPr>
        <w:t>中汽研汽车检验中心（天津）有限公司</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               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 xml:space="preserve">日期：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日期：</w:t>
      </w: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sectPr>
      <w:headerReference r:id="rId3" w:type="default"/>
      <w:footerReference r:id="rId4" w:type="default"/>
      <w:footerReference r:id="rId5" w:type="even"/>
      <w:pgSz w:w="11906" w:h="16838"/>
      <w:pgMar w:top="1200" w:right="1701" w:bottom="1200"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154940</wp:posOffset>
              </wp:positionV>
              <wp:extent cx="6181725" cy="95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181725" cy="9525"/>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05pt;margin-top:12.2pt;height:0.75pt;width:486.75pt;z-index:251659264;mso-width-relative:page;mso-height-relative:page;" filled="f" stroked="t" coordsize="21600,21600"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v:fill on="f" focussize="0,0"/>
              <v:stroke weight="0.25pt" color="#000000" joinstyle="round"/>
              <v:imagedata o:title=""/>
              <o:lock v:ext="edit" aspectratio="f"/>
            </v:shape>
          </w:pict>
        </mc:Fallback>
      </mc:AlternateConten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339B3"/>
    <w:multiLevelType w:val="singleLevel"/>
    <w:tmpl w:val="1D0339B3"/>
    <w:lvl w:ilvl="0" w:tentative="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A5277E1"/>
    <w:rsid w:val="00256825"/>
    <w:rsid w:val="005D160C"/>
    <w:rsid w:val="00636CE1"/>
    <w:rsid w:val="00811372"/>
    <w:rsid w:val="00A03791"/>
    <w:rsid w:val="00B14A26"/>
    <w:rsid w:val="00B20822"/>
    <w:rsid w:val="00CA76B5"/>
    <w:rsid w:val="00DE1BE7"/>
    <w:rsid w:val="027A5940"/>
    <w:rsid w:val="02B72C78"/>
    <w:rsid w:val="02D65925"/>
    <w:rsid w:val="02E35293"/>
    <w:rsid w:val="03E312C3"/>
    <w:rsid w:val="04086EAA"/>
    <w:rsid w:val="042720EA"/>
    <w:rsid w:val="04A23454"/>
    <w:rsid w:val="050339CA"/>
    <w:rsid w:val="053E4A03"/>
    <w:rsid w:val="05AA653C"/>
    <w:rsid w:val="065D535C"/>
    <w:rsid w:val="073A569E"/>
    <w:rsid w:val="088920DE"/>
    <w:rsid w:val="08A76025"/>
    <w:rsid w:val="0A292E93"/>
    <w:rsid w:val="0A3F4E7A"/>
    <w:rsid w:val="0A5277E1"/>
    <w:rsid w:val="0A6D1712"/>
    <w:rsid w:val="0BAB0918"/>
    <w:rsid w:val="0C2D57D1"/>
    <w:rsid w:val="0D470AE3"/>
    <w:rsid w:val="0DE3083D"/>
    <w:rsid w:val="0E2C7C4C"/>
    <w:rsid w:val="0E96765D"/>
    <w:rsid w:val="0EF6634E"/>
    <w:rsid w:val="10093E5F"/>
    <w:rsid w:val="117C4759"/>
    <w:rsid w:val="117D2D56"/>
    <w:rsid w:val="125A3098"/>
    <w:rsid w:val="13B55BE5"/>
    <w:rsid w:val="141E0BF5"/>
    <w:rsid w:val="14423DE3"/>
    <w:rsid w:val="145926C7"/>
    <w:rsid w:val="14BE346A"/>
    <w:rsid w:val="15437B34"/>
    <w:rsid w:val="15441B82"/>
    <w:rsid w:val="1562473D"/>
    <w:rsid w:val="16F92E7F"/>
    <w:rsid w:val="18F41B50"/>
    <w:rsid w:val="19615F13"/>
    <w:rsid w:val="1A1E4BE5"/>
    <w:rsid w:val="1B124925"/>
    <w:rsid w:val="1B324BB2"/>
    <w:rsid w:val="1B3D695C"/>
    <w:rsid w:val="1D3A53FD"/>
    <w:rsid w:val="1D4B3D09"/>
    <w:rsid w:val="1E3D18A3"/>
    <w:rsid w:val="1E9811D0"/>
    <w:rsid w:val="1F881244"/>
    <w:rsid w:val="1F9A2D26"/>
    <w:rsid w:val="1FBD522A"/>
    <w:rsid w:val="1FCC137B"/>
    <w:rsid w:val="20482782"/>
    <w:rsid w:val="223E208E"/>
    <w:rsid w:val="22631AF5"/>
    <w:rsid w:val="23A4305F"/>
    <w:rsid w:val="23A74850"/>
    <w:rsid w:val="254E083A"/>
    <w:rsid w:val="263B2552"/>
    <w:rsid w:val="26B66697"/>
    <w:rsid w:val="26DB5556"/>
    <w:rsid w:val="26DE174A"/>
    <w:rsid w:val="27337CE7"/>
    <w:rsid w:val="28AD5878"/>
    <w:rsid w:val="29AE18A7"/>
    <w:rsid w:val="2AD67580"/>
    <w:rsid w:val="2B16007F"/>
    <w:rsid w:val="2B180312"/>
    <w:rsid w:val="2B8F5D6D"/>
    <w:rsid w:val="2BCE4483"/>
    <w:rsid w:val="2CC15770"/>
    <w:rsid w:val="2D624700"/>
    <w:rsid w:val="2D8748E9"/>
    <w:rsid w:val="2DE55AB4"/>
    <w:rsid w:val="2E397373"/>
    <w:rsid w:val="2E3F1484"/>
    <w:rsid w:val="2E5A0537"/>
    <w:rsid w:val="2E797FF6"/>
    <w:rsid w:val="2FEF49C8"/>
    <w:rsid w:val="2FF179AF"/>
    <w:rsid w:val="30E402A4"/>
    <w:rsid w:val="33794004"/>
    <w:rsid w:val="34476867"/>
    <w:rsid w:val="34592D57"/>
    <w:rsid w:val="34A13D47"/>
    <w:rsid w:val="34D50630"/>
    <w:rsid w:val="353F7C5C"/>
    <w:rsid w:val="3598736F"/>
    <w:rsid w:val="36243D90"/>
    <w:rsid w:val="36392E40"/>
    <w:rsid w:val="3676199F"/>
    <w:rsid w:val="38003C16"/>
    <w:rsid w:val="3A361B71"/>
    <w:rsid w:val="3A8E0902"/>
    <w:rsid w:val="3AB24F6F"/>
    <w:rsid w:val="3B653D90"/>
    <w:rsid w:val="3BCD3D5F"/>
    <w:rsid w:val="3C7F3609"/>
    <w:rsid w:val="3CA8487C"/>
    <w:rsid w:val="3D3B56F0"/>
    <w:rsid w:val="3EC76CCB"/>
    <w:rsid w:val="3FFD438D"/>
    <w:rsid w:val="40923879"/>
    <w:rsid w:val="41326E0A"/>
    <w:rsid w:val="42EB3463"/>
    <w:rsid w:val="44110F59"/>
    <w:rsid w:val="441D4F66"/>
    <w:rsid w:val="45154A79"/>
    <w:rsid w:val="45576E3F"/>
    <w:rsid w:val="45DE130F"/>
    <w:rsid w:val="45F11042"/>
    <w:rsid w:val="45F75F2C"/>
    <w:rsid w:val="468A0B4E"/>
    <w:rsid w:val="47136D96"/>
    <w:rsid w:val="473867FC"/>
    <w:rsid w:val="474351F0"/>
    <w:rsid w:val="477041E8"/>
    <w:rsid w:val="478A4FEE"/>
    <w:rsid w:val="48AF2FAE"/>
    <w:rsid w:val="48B22252"/>
    <w:rsid w:val="48C20239"/>
    <w:rsid w:val="49C820BA"/>
    <w:rsid w:val="4A0A0AE8"/>
    <w:rsid w:val="4A111CB3"/>
    <w:rsid w:val="4B6A24F1"/>
    <w:rsid w:val="4C043151"/>
    <w:rsid w:val="4D3F2693"/>
    <w:rsid w:val="4E000816"/>
    <w:rsid w:val="4E0B4A30"/>
    <w:rsid w:val="4E704ACE"/>
    <w:rsid w:val="502D24CA"/>
    <w:rsid w:val="50A0169A"/>
    <w:rsid w:val="50A54F20"/>
    <w:rsid w:val="50B27620"/>
    <w:rsid w:val="50C335DB"/>
    <w:rsid w:val="51D81308"/>
    <w:rsid w:val="525210BA"/>
    <w:rsid w:val="533E519B"/>
    <w:rsid w:val="54624E60"/>
    <w:rsid w:val="54747150"/>
    <w:rsid w:val="54ED58AB"/>
    <w:rsid w:val="54F55D2D"/>
    <w:rsid w:val="5583158B"/>
    <w:rsid w:val="55EB785C"/>
    <w:rsid w:val="561346BC"/>
    <w:rsid w:val="561623FF"/>
    <w:rsid w:val="56A31EE4"/>
    <w:rsid w:val="570021F2"/>
    <w:rsid w:val="572D1B55"/>
    <w:rsid w:val="58D33C5E"/>
    <w:rsid w:val="59752E96"/>
    <w:rsid w:val="5A7616BE"/>
    <w:rsid w:val="5AE01581"/>
    <w:rsid w:val="5CCB3F43"/>
    <w:rsid w:val="5D7C6FEB"/>
    <w:rsid w:val="5D8D744A"/>
    <w:rsid w:val="5E4571E7"/>
    <w:rsid w:val="5EC073AC"/>
    <w:rsid w:val="5FC151E4"/>
    <w:rsid w:val="608C1C3B"/>
    <w:rsid w:val="60AB20CB"/>
    <w:rsid w:val="62B31701"/>
    <w:rsid w:val="634467FD"/>
    <w:rsid w:val="65651191"/>
    <w:rsid w:val="6615104F"/>
    <w:rsid w:val="668D2269"/>
    <w:rsid w:val="67057976"/>
    <w:rsid w:val="68600E82"/>
    <w:rsid w:val="69AA26C6"/>
    <w:rsid w:val="69BD4C13"/>
    <w:rsid w:val="6A481BA2"/>
    <w:rsid w:val="6ABB046F"/>
    <w:rsid w:val="6AD93278"/>
    <w:rsid w:val="6AF9192F"/>
    <w:rsid w:val="6F1D682E"/>
    <w:rsid w:val="6FD9651F"/>
    <w:rsid w:val="6FED7DA2"/>
    <w:rsid w:val="70E76DAF"/>
    <w:rsid w:val="710122D5"/>
    <w:rsid w:val="71744751"/>
    <w:rsid w:val="72BA2638"/>
    <w:rsid w:val="74251D33"/>
    <w:rsid w:val="75226571"/>
    <w:rsid w:val="75703482"/>
    <w:rsid w:val="7772528F"/>
    <w:rsid w:val="78BE4FE9"/>
    <w:rsid w:val="78F77C1C"/>
    <w:rsid w:val="7A4741D8"/>
    <w:rsid w:val="7BBD6CF5"/>
    <w:rsid w:val="7BCC5C69"/>
    <w:rsid w:val="7DD166C6"/>
    <w:rsid w:val="7E891110"/>
    <w:rsid w:val="7EFF4703"/>
    <w:rsid w:val="7FFD92F9"/>
    <w:rsid w:val="DBFE1CE8"/>
    <w:rsid w:val="DFBFAF05"/>
    <w:rsid w:val="E7F6145D"/>
    <w:rsid w:val="EB7CABB4"/>
    <w:rsid w:val="FBFF788A"/>
    <w:rsid w:val="FEE7F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444</Words>
  <Characters>2537</Characters>
  <Lines>21</Lines>
  <Paragraphs>5</Paragraphs>
  <TotalTime>6</TotalTime>
  <ScaleCrop>false</ScaleCrop>
  <LinksUpToDate>false</LinksUpToDate>
  <CharactersWithSpaces>2976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2020-04-30T23:37:00Z</dcterms:created>
  <dc:creator>汤旖航</dc:creator>
  <cp:lastModifiedBy>特困生</cp:lastModifiedBy>
  <dcterms:modified xsi:type="dcterms:W3CDTF">2024-01-04T05:50:22Z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E732CCFF305F4C81B784EA9AAF4E847F_13</vt:lpwstr>
  </property>
</Properties>
</file>