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202401032</w:t>
      </w:r>
      <w:r>
        <w:rPr>
          <w:rFonts w:hint="eastAsia" w:asciiTheme="minorEastAsia" w:hAnsiTheme="minorEastAsia"/>
          <w:b/>
          <w:sz w:val="32"/>
          <w:szCs w:val="24"/>
          <w:u w:val="single"/>
        </w:rPr>
        <w:t xml:space="preserve">    </w:t>
      </w:r>
    </w:p>
    <w:p>
      <w:pPr>
        <w:rPr>
          <w:rFonts w:asciiTheme="minorEastAsia" w:hAnsiTheme="minorEastAsia"/>
          <w:sz w:val="22"/>
          <w:szCs w:val="24"/>
        </w:rPr>
      </w:pPr>
    </w:p>
    <w:p>
      <w:pPr>
        <w:jc w:val="center"/>
        <w:rPr>
          <w:rFonts w:asciiTheme="minorEastAsia" w:hAnsiTheme="minorEastAsia"/>
          <w:b/>
          <w:sz w:val="72"/>
          <w:szCs w:val="72"/>
        </w:rPr>
      </w:pPr>
    </w:p>
    <w:p>
      <w:pPr>
        <w:jc w:val="center"/>
        <w:rPr>
          <w:rFonts w:asciiTheme="minorEastAsia" w:hAnsiTheme="minorEastAsia"/>
          <w:b/>
          <w:sz w:val="72"/>
          <w:szCs w:val="72"/>
        </w:rPr>
      </w:pPr>
    </w:p>
    <w:p>
      <w:pPr>
        <w:jc w:val="center"/>
        <w:rPr>
          <w:rFonts w:asciiTheme="minorEastAsia" w:hAnsiTheme="minorEastAsia"/>
          <w:b/>
          <w:sz w:val="96"/>
          <w:szCs w:val="72"/>
        </w:rPr>
      </w:pPr>
      <w:r>
        <w:rPr>
          <w:rFonts w:hint="eastAsia" w:asciiTheme="minorEastAsia" w:hAnsiTheme="minorEastAsia"/>
          <w:b/>
          <w:sz w:val="96"/>
          <w:szCs w:val="72"/>
        </w:rPr>
        <w:t>质量保证协议书</w:t>
      </w:r>
    </w:p>
    <w:p>
      <w:pPr>
        <w:jc w:val="center"/>
        <w:rPr>
          <w:rFonts w:asciiTheme="minorEastAsia" w:hAnsiTheme="minorEastAsia"/>
          <w:b/>
          <w:sz w:val="72"/>
          <w:szCs w:val="72"/>
        </w:rPr>
      </w:pPr>
    </w:p>
    <w:p>
      <w:pPr>
        <w:jc w:val="center"/>
        <w:rPr>
          <w:rFonts w:asciiTheme="minorEastAsia" w:hAnsiTheme="minorEastAsia"/>
          <w:b/>
          <w:sz w:val="72"/>
          <w:szCs w:val="72"/>
        </w:rPr>
      </w:pPr>
    </w:p>
    <w:p>
      <w:pPr>
        <w:spacing w:line="360" w:lineRule="auto"/>
        <w:jc w:val="left"/>
        <w:rPr>
          <w:rFonts w:hint="eastAsia" w:asciiTheme="minorEastAsia" w:hAnsiTheme="minorEastAsia"/>
          <w:b/>
          <w:sz w:val="40"/>
          <w:szCs w:val="32"/>
        </w:rPr>
      </w:pPr>
    </w:p>
    <w:p>
      <w:pPr>
        <w:spacing w:line="360" w:lineRule="auto"/>
        <w:jc w:val="left"/>
        <w:rPr>
          <w:rFonts w:hint="eastAsia" w:asciiTheme="minorEastAsia" w:hAnsiTheme="minorEastAsia"/>
          <w:b/>
          <w:sz w:val="40"/>
          <w:szCs w:val="32"/>
        </w:rPr>
      </w:pPr>
    </w:p>
    <w:p>
      <w:pPr>
        <w:spacing w:line="360" w:lineRule="auto"/>
        <w:ind w:firstLine="402" w:firstLineChars="100"/>
        <w:jc w:val="left"/>
        <w:rPr>
          <w:rFonts w:hint="eastAsia" w:asciiTheme="minorEastAsia" w:hAnsiTheme="minorEastAsia"/>
          <w:b/>
          <w:sz w:val="40"/>
          <w:szCs w:val="32"/>
          <w:lang w:val="en-US" w:eastAsia="zh-CN"/>
        </w:rPr>
      </w:pPr>
      <w:r>
        <w:rPr>
          <w:rFonts w:hint="eastAsia" w:asciiTheme="minorEastAsia" w:hAnsiTheme="minorEastAsia"/>
          <w:b/>
          <w:sz w:val="40"/>
          <w:szCs w:val="32"/>
        </w:rPr>
        <w:t>甲    方：</w:t>
      </w:r>
      <w:r>
        <w:rPr>
          <w:rFonts w:hint="eastAsia" w:asciiTheme="minorEastAsia" w:hAnsiTheme="minorEastAsia"/>
          <w:b/>
          <w:sz w:val="40"/>
          <w:szCs w:val="32"/>
          <w:lang w:val="en-US" w:eastAsia="zh-CN"/>
        </w:rPr>
        <w:t>潍坊光华荣昌汽车技术有限公司</w:t>
      </w:r>
    </w:p>
    <w:p>
      <w:pPr>
        <w:spacing w:line="360" w:lineRule="auto"/>
        <w:jc w:val="left"/>
        <w:rPr>
          <w:rFonts w:hint="default" w:asciiTheme="minorEastAsia" w:hAnsiTheme="minorEastAsia"/>
          <w:b/>
          <w:sz w:val="40"/>
          <w:szCs w:val="32"/>
          <w:lang w:val="en-US" w:eastAsia="zh-CN"/>
        </w:rPr>
      </w:pPr>
    </w:p>
    <w:p>
      <w:pPr>
        <w:spacing w:line="360" w:lineRule="auto"/>
        <w:ind w:firstLine="402" w:firstLineChars="100"/>
        <w:jc w:val="left"/>
        <w:rPr>
          <w:rFonts w:hint="eastAsia" w:asciiTheme="minorEastAsia" w:hAnsiTheme="minorEastAsia" w:eastAsiaTheme="minorEastAsia"/>
          <w:b/>
          <w:sz w:val="40"/>
          <w:szCs w:val="32"/>
          <w:lang w:val="en-US" w:eastAsia="zh-CN"/>
        </w:rPr>
      </w:pPr>
      <w:r>
        <w:rPr>
          <w:rFonts w:hint="eastAsia" w:asciiTheme="minorEastAsia" w:hAnsiTheme="minorEastAsia"/>
          <w:b/>
          <w:sz w:val="40"/>
          <w:szCs w:val="32"/>
        </w:rPr>
        <w:t>乙    方：山东万澳汽车附件科技有限公司</w:t>
      </w:r>
    </w:p>
    <w:p>
      <w:pPr>
        <w:spacing w:line="360" w:lineRule="auto"/>
        <w:jc w:val="left"/>
        <w:rPr>
          <w:rFonts w:hint="eastAsia" w:asciiTheme="minorEastAsia" w:hAnsiTheme="minorEastAsia"/>
          <w:b/>
          <w:sz w:val="40"/>
          <w:szCs w:val="32"/>
          <w:lang w:val="en-US" w:eastAsia="zh-CN"/>
        </w:rPr>
      </w:pPr>
      <w:r>
        <w:rPr>
          <w:rFonts w:hint="eastAsia" w:asciiTheme="minorEastAsia" w:hAnsiTheme="minorEastAsia"/>
          <w:b/>
          <w:sz w:val="40"/>
          <w:szCs w:val="32"/>
          <w:lang w:val="en-US" w:eastAsia="zh-CN"/>
        </w:rPr>
        <w:t xml:space="preserve"> </w:t>
      </w:r>
    </w:p>
    <w:p>
      <w:pPr>
        <w:spacing w:line="360" w:lineRule="auto"/>
        <w:ind w:firstLine="402" w:firstLineChars="100"/>
        <w:jc w:val="left"/>
        <w:rPr>
          <w:rFonts w:hint="eastAsia" w:asciiTheme="minorEastAsia" w:hAnsiTheme="minorEastAsia"/>
          <w:b/>
          <w:sz w:val="40"/>
          <w:szCs w:val="32"/>
        </w:rPr>
      </w:pPr>
      <w:r>
        <w:rPr>
          <w:rFonts w:hint="eastAsia" w:asciiTheme="minorEastAsia" w:hAnsiTheme="minorEastAsia"/>
          <w:b/>
          <w:sz w:val="40"/>
          <w:szCs w:val="32"/>
        </w:rPr>
        <w:t>签订时间：</w:t>
      </w:r>
      <w:r>
        <w:rPr>
          <w:rFonts w:hint="eastAsia" w:asciiTheme="minorEastAsia" w:hAnsiTheme="minorEastAsia"/>
          <w:b/>
          <w:sz w:val="40"/>
          <w:szCs w:val="32"/>
          <w:lang w:val="en-US" w:eastAsia="zh-CN"/>
        </w:rPr>
        <w:t xml:space="preserve">  2024</w:t>
      </w:r>
      <w:r>
        <w:rPr>
          <w:rFonts w:hint="eastAsia" w:asciiTheme="minorEastAsia" w:hAnsiTheme="minorEastAsia"/>
          <w:b/>
          <w:sz w:val="40"/>
          <w:szCs w:val="32"/>
        </w:rPr>
        <w:t xml:space="preserve">年 </w:t>
      </w:r>
      <w:r>
        <w:rPr>
          <w:rFonts w:hint="eastAsia" w:asciiTheme="minorEastAsia" w:hAnsiTheme="minorEastAsia"/>
          <w:b/>
          <w:sz w:val="40"/>
          <w:szCs w:val="32"/>
          <w:lang w:val="en-US" w:eastAsia="zh-CN"/>
        </w:rPr>
        <w:t>1</w:t>
      </w:r>
      <w:r>
        <w:rPr>
          <w:rFonts w:hint="eastAsia" w:asciiTheme="minorEastAsia" w:hAnsiTheme="minorEastAsia"/>
          <w:b/>
          <w:sz w:val="40"/>
          <w:szCs w:val="32"/>
        </w:rPr>
        <w:t xml:space="preserve">月 </w:t>
      </w:r>
      <w:r>
        <w:rPr>
          <w:rFonts w:hint="eastAsia" w:asciiTheme="minorEastAsia" w:hAnsiTheme="minorEastAsia"/>
          <w:b/>
          <w:sz w:val="40"/>
          <w:szCs w:val="32"/>
          <w:lang w:val="en-US" w:eastAsia="zh-CN"/>
        </w:rPr>
        <w:t>1</w:t>
      </w:r>
      <w:r>
        <w:rPr>
          <w:rFonts w:hint="eastAsia" w:asciiTheme="minorEastAsia" w:hAnsiTheme="minorEastAsia"/>
          <w:b/>
          <w:sz w:val="40"/>
          <w:szCs w:val="32"/>
        </w:rPr>
        <w:t>日</w:t>
      </w:r>
    </w:p>
    <w:p>
      <w:pPr>
        <w:spacing w:line="360" w:lineRule="auto"/>
        <w:jc w:val="left"/>
        <w:rPr>
          <w:rFonts w:hint="eastAsia" w:asciiTheme="minorEastAsia" w:hAnsiTheme="minorEastAsia"/>
          <w:b/>
          <w:sz w:val="40"/>
          <w:szCs w:val="32"/>
        </w:rPr>
      </w:pPr>
    </w:p>
    <w:p>
      <w:pPr>
        <w:ind w:firstLine="402" w:firstLineChars="100"/>
        <w:jc w:val="left"/>
        <w:rPr>
          <w:rFonts w:hint="default" w:asciiTheme="minorEastAsia" w:hAnsiTheme="minorEastAsia" w:eastAsiaTheme="minorEastAsia"/>
          <w:b/>
          <w:sz w:val="40"/>
          <w:szCs w:val="32"/>
          <w:lang w:val="en-US" w:eastAsia="zh-CN"/>
        </w:rPr>
      </w:pPr>
      <w:r>
        <w:rPr>
          <w:rFonts w:hint="eastAsia" w:asciiTheme="minorEastAsia" w:hAnsiTheme="minorEastAsia"/>
          <w:b/>
          <w:sz w:val="40"/>
          <w:szCs w:val="32"/>
          <w:lang w:val="en-US" w:eastAsia="zh-CN"/>
        </w:rPr>
        <w:t>有效时间：2024年1月1日至2024年12月31日</w:t>
      </w:r>
    </w:p>
    <w:p>
      <w:pPr>
        <w:ind w:firstLine="984" w:firstLineChars="245"/>
        <w:jc w:val="left"/>
        <w:rPr>
          <w:rFonts w:asciiTheme="minorEastAsia" w:hAnsiTheme="minorEastAsia"/>
          <w:b/>
          <w:sz w:val="40"/>
          <w:szCs w:val="32"/>
        </w:rPr>
      </w:pPr>
    </w:p>
    <w:p>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pPr>
        <w:ind w:firstLine="590" w:firstLineChars="245"/>
        <w:jc w:val="left"/>
        <w:rPr>
          <w:rFonts w:asciiTheme="minorEastAsia" w:hAnsiTheme="minorEastAsia"/>
          <w:b/>
          <w:sz w:val="24"/>
          <w:szCs w:val="24"/>
        </w:rPr>
      </w:pPr>
    </w:p>
    <w:p>
      <w:pPr>
        <w:ind w:firstLine="590" w:firstLineChars="245"/>
        <w:jc w:val="left"/>
        <w:rPr>
          <w:rFonts w:asciiTheme="minorEastAsia" w:hAnsiTheme="minorEastAsia"/>
          <w:b/>
          <w:sz w:val="24"/>
          <w:szCs w:val="24"/>
        </w:rPr>
      </w:pPr>
      <w:r>
        <w:rPr>
          <w:rFonts w:hint="eastAsia" w:asciiTheme="minorEastAsia" w:hAnsiTheme="minorEastAsia"/>
          <w:b/>
          <w:sz w:val="24"/>
          <w:szCs w:val="24"/>
        </w:rPr>
        <w:t>1．名词定义</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原材料：指甲方为了生产产品而购买的所有直接和间接材料，包括但不限于注塑原料、发泡原料、化工料、包装材料、辅助材料、布料等的统称。</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零部件：指甲方为了生产产品而购买的所有直接和间接部件，包括但不限于调角器、滑道、升降机构、镜片、调整机构、加热片、座椅骨架、镜座、镜杆、标准件等的统称。</w:t>
      </w:r>
    </w:p>
    <w:p>
      <w:pPr>
        <w:ind w:firstLine="590" w:firstLineChars="245"/>
        <w:jc w:val="left"/>
        <w:rPr>
          <w:rFonts w:asciiTheme="minorEastAsia" w:hAnsiTheme="minorEastAsia"/>
          <w:b/>
          <w:sz w:val="24"/>
          <w:szCs w:val="24"/>
        </w:rPr>
      </w:pPr>
    </w:p>
    <w:p>
      <w:pPr>
        <w:ind w:firstLine="590" w:firstLineChars="245"/>
        <w:jc w:val="left"/>
        <w:rPr>
          <w:rFonts w:asciiTheme="minorEastAsia" w:hAnsiTheme="minorEastAsia"/>
          <w:b/>
          <w:sz w:val="24"/>
          <w:szCs w:val="24"/>
        </w:rPr>
      </w:pPr>
      <w:r>
        <w:rPr>
          <w:rFonts w:hint="eastAsia" w:asciiTheme="minorEastAsia" w:hAnsiTheme="minorEastAsia"/>
          <w:b/>
          <w:sz w:val="24"/>
          <w:szCs w:val="24"/>
        </w:rPr>
        <w:t>2．使用范围</w:t>
      </w:r>
    </w:p>
    <w:p>
      <w:pPr>
        <w:jc w:val="left"/>
        <w:rPr>
          <w:rFonts w:asciiTheme="minorEastAsia" w:hAnsiTheme="minorEastAsia"/>
          <w:b/>
          <w:sz w:val="24"/>
          <w:szCs w:val="24"/>
        </w:rPr>
      </w:pPr>
      <w:r>
        <w:rPr>
          <w:rFonts w:hint="eastAsia" w:asciiTheme="minorEastAsia" w:hAnsiTheme="minorEastAsia"/>
          <w:b/>
          <w:sz w:val="24"/>
          <w:szCs w:val="24"/>
        </w:rPr>
        <w:t xml:space="preserve">     此协议适用于为甲方提供生产性原材料、零部件的供应商。</w:t>
      </w:r>
    </w:p>
    <w:p>
      <w:pPr>
        <w:jc w:val="left"/>
        <w:rPr>
          <w:rFonts w:asciiTheme="minorEastAsia" w:hAnsiTheme="minorEastAsia"/>
          <w:b/>
          <w:sz w:val="24"/>
          <w:szCs w:val="24"/>
        </w:rPr>
      </w:pPr>
    </w:p>
    <w:p>
      <w:pPr>
        <w:ind w:firstLine="590" w:firstLineChars="245"/>
        <w:jc w:val="left"/>
        <w:rPr>
          <w:rFonts w:asciiTheme="minorEastAsia" w:hAnsiTheme="minorEastAsia"/>
          <w:b/>
          <w:sz w:val="24"/>
          <w:szCs w:val="24"/>
        </w:rPr>
      </w:pPr>
      <w:r>
        <w:rPr>
          <w:rFonts w:hint="eastAsia" w:asciiTheme="minorEastAsia" w:hAnsiTheme="minorEastAsia"/>
          <w:b/>
          <w:sz w:val="24"/>
          <w:szCs w:val="24"/>
        </w:rPr>
        <w:t>3．质量要求</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pPr>
        <w:ind w:firstLine="585" w:firstLineChars="243"/>
        <w:jc w:val="left"/>
        <w:rPr>
          <w:rFonts w:asciiTheme="minorEastAsia" w:hAnsiTheme="minorEastAsia"/>
          <w:b/>
          <w:sz w:val="24"/>
          <w:szCs w:val="24"/>
        </w:rPr>
      </w:pPr>
      <w:r>
        <w:rPr>
          <w:rFonts w:hint="eastAsia" w:asciiTheme="minorEastAsia" w:hAnsiTheme="minorEastAsia"/>
          <w:b/>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3.3 乙方的产品包装必须满足甲方要求，包装方案需经甲方认可。</w:t>
      </w:r>
    </w:p>
    <w:p>
      <w:pPr>
        <w:jc w:val="left"/>
        <w:rPr>
          <w:rFonts w:asciiTheme="minorEastAsia" w:hAnsiTheme="minorEastAsia"/>
          <w:b/>
          <w:sz w:val="24"/>
          <w:szCs w:val="24"/>
        </w:rPr>
      </w:pPr>
      <w:r>
        <w:rPr>
          <w:rFonts w:hint="eastAsia" w:asciiTheme="minorEastAsia" w:hAnsiTheme="minorEastAsia"/>
          <w:b/>
          <w:sz w:val="24"/>
          <w:szCs w:val="24"/>
        </w:rPr>
        <w:t xml:space="preserve">     3.4 乙方必须向甲方提供每批产品的检验合格证明。</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4．质量保证</w:t>
      </w:r>
    </w:p>
    <w:p>
      <w:pPr>
        <w:ind w:left="541" w:hanging="590" w:hangingChars="245"/>
        <w:jc w:val="left"/>
        <w:rPr>
          <w:rFonts w:asciiTheme="minorEastAsia" w:hAnsiTheme="minorEastAsia"/>
          <w:b/>
          <w:sz w:val="24"/>
          <w:szCs w:val="24"/>
        </w:rPr>
      </w:pPr>
      <w:r>
        <w:rPr>
          <w:rFonts w:hint="eastAsia" w:asciiTheme="minorEastAsia" w:hAnsiTheme="minorEastAsia"/>
          <w:b/>
          <w:sz w:val="24"/>
          <w:szCs w:val="24"/>
        </w:rPr>
        <w:t xml:space="preserve">     4.1 乙方应接受甲方对乙方产品的质量评审工作，并配合提交有关资料，并根据</w:t>
      </w:r>
    </w:p>
    <w:p>
      <w:pPr>
        <w:ind w:left="541" w:hanging="590" w:hangingChars="245"/>
        <w:jc w:val="left"/>
        <w:rPr>
          <w:rFonts w:asciiTheme="minorEastAsia" w:hAnsiTheme="minorEastAsia"/>
          <w:b/>
          <w:color w:val="FF0000"/>
          <w:sz w:val="24"/>
          <w:szCs w:val="24"/>
        </w:rPr>
      </w:pPr>
      <w:r>
        <w:rPr>
          <w:rFonts w:hint="eastAsia" w:asciiTheme="minorEastAsia" w:hAnsiTheme="minorEastAsia"/>
          <w:b/>
          <w:sz w:val="24"/>
          <w:szCs w:val="24"/>
        </w:rPr>
        <w:t xml:space="preserve">甲方的评审结果，按照甲方要求进行整改。   </w:t>
      </w:r>
      <w:r>
        <w:rPr>
          <w:rFonts w:hint="eastAsia" w:asciiTheme="minorEastAsia" w:hAnsiTheme="minorEastAsia"/>
          <w:b/>
          <w:color w:val="FF0000"/>
          <w:sz w:val="24"/>
          <w:szCs w:val="24"/>
        </w:rPr>
        <w:t xml:space="preserve">  </w:t>
      </w:r>
    </w:p>
    <w:p>
      <w:pPr>
        <w:jc w:val="left"/>
        <w:rPr>
          <w:rFonts w:asciiTheme="minorEastAsia" w:hAnsiTheme="minorEastAsia"/>
          <w:b/>
          <w:sz w:val="24"/>
          <w:szCs w:val="24"/>
        </w:rPr>
      </w:pPr>
      <w:r>
        <w:rPr>
          <w:rFonts w:hint="eastAsia" w:asciiTheme="minorEastAsia" w:hAnsiTheme="minorEastAsia"/>
          <w:b/>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pPr>
        <w:jc w:val="left"/>
        <w:rPr>
          <w:rFonts w:asciiTheme="minorEastAsia" w:hAnsiTheme="minorEastAsia"/>
          <w:b/>
          <w:sz w:val="24"/>
          <w:szCs w:val="24"/>
        </w:rPr>
      </w:pPr>
      <w:r>
        <w:rPr>
          <w:rFonts w:hint="eastAsia" w:asciiTheme="minorEastAsia" w:hAnsiTheme="minorEastAsia"/>
          <w:b/>
          <w:sz w:val="24"/>
          <w:szCs w:val="24"/>
        </w:rPr>
        <w:t xml:space="preserve">     4.3 乙方应按要求参加甲方质量部门组织的质量改进会议、质量培训等活动。</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5．质量确认及记录</w:t>
      </w:r>
    </w:p>
    <w:p>
      <w:pPr>
        <w:jc w:val="left"/>
        <w:rPr>
          <w:rFonts w:asciiTheme="minorEastAsia" w:hAnsiTheme="minorEastAsia"/>
          <w:b/>
          <w:sz w:val="24"/>
          <w:szCs w:val="24"/>
        </w:rPr>
      </w:pPr>
      <w:r>
        <w:rPr>
          <w:rFonts w:hint="eastAsia" w:asciiTheme="minorEastAsia" w:hAnsiTheme="minorEastAsia"/>
          <w:b/>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pPr>
        <w:jc w:val="left"/>
        <w:rPr>
          <w:rFonts w:asciiTheme="minorEastAsia" w:hAnsiTheme="minorEastAsia"/>
          <w:b/>
          <w:sz w:val="24"/>
          <w:szCs w:val="24"/>
        </w:rPr>
      </w:pPr>
      <w:r>
        <w:rPr>
          <w:rFonts w:hint="eastAsia" w:asciiTheme="minorEastAsia" w:hAnsiTheme="minorEastAsia"/>
          <w:b/>
          <w:sz w:val="24"/>
          <w:szCs w:val="24"/>
        </w:rPr>
        <w:t xml:space="preserve">     5.2 乙方关于订货产品检查、试验等结果的记录，至少应在</w:t>
      </w:r>
      <w:r>
        <w:rPr>
          <w:rFonts w:hint="eastAsia" w:asciiTheme="minorEastAsia" w:hAnsiTheme="minorEastAsia"/>
          <w:b/>
          <w:color w:val="000000" w:themeColor="text1"/>
          <w:sz w:val="24"/>
          <w:szCs w:val="24"/>
          <w14:textFill>
            <w14:solidFill>
              <w14:schemeClr w14:val="tx1"/>
            </w14:solidFill>
          </w14:textFill>
        </w:rPr>
        <w:t>产品质量保证期限</w:t>
      </w:r>
      <w:r>
        <w:rPr>
          <w:rFonts w:hint="eastAsia" w:asciiTheme="minorEastAsia" w:hAnsiTheme="minorEastAsia"/>
          <w:b/>
          <w:sz w:val="24"/>
          <w:szCs w:val="24"/>
        </w:rPr>
        <w:t>内妥善保管。甲方要求时，应允许甲方阅览或提交其副本。</w:t>
      </w:r>
    </w:p>
    <w:p>
      <w:pPr>
        <w:jc w:val="left"/>
        <w:rPr>
          <w:rFonts w:asciiTheme="minorEastAsia" w:hAnsiTheme="minorEastAsia"/>
          <w:b/>
          <w:sz w:val="24"/>
          <w:szCs w:val="24"/>
        </w:rPr>
      </w:pPr>
      <w:r>
        <w:rPr>
          <w:rFonts w:hint="eastAsia" w:asciiTheme="minorEastAsia" w:hAnsiTheme="minorEastAsia"/>
          <w:b/>
          <w:sz w:val="24"/>
          <w:szCs w:val="24"/>
        </w:rPr>
        <w:t xml:space="preserve">     5.3 为了达到订货产品批量追踪的目的，乙方应根据甲乙双方另行商定的办法，进行生产批次的可追溯性管理。</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6．质量责任</w:t>
      </w:r>
    </w:p>
    <w:p>
      <w:pPr>
        <w:jc w:val="left"/>
        <w:rPr>
          <w:rFonts w:asciiTheme="minorEastAsia" w:hAnsiTheme="minorEastAsia"/>
          <w:b/>
          <w:sz w:val="24"/>
          <w:szCs w:val="24"/>
        </w:rPr>
      </w:pPr>
      <w:r>
        <w:rPr>
          <w:rFonts w:hint="eastAsia" w:asciiTheme="minorEastAsia" w:hAnsiTheme="minorEastAsia"/>
          <w:b/>
          <w:sz w:val="24"/>
          <w:szCs w:val="24"/>
        </w:rPr>
        <w:t xml:space="preserve">     6.1 甲方对质量问题的事实和损失情况负有举证责任，乙方承担证明该产品合格的举证责任。</w:t>
      </w:r>
    </w:p>
    <w:p>
      <w:pPr>
        <w:jc w:val="left"/>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sz w:val="24"/>
          <w:szCs w:val="24"/>
        </w:rPr>
        <w:t xml:space="preserve">     6.2 甲方对于原材料、零部件的品质控制采用委托乙方检验的方式，即使不做任何检验和测试也能直接投入生产，但并不因此免除乙方的产品质量责任。</w:t>
      </w:r>
      <w:r>
        <w:rPr>
          <w:rFonts w:hint="eastAsia" w:asciiTheme="minorEastAsia" w:hAnsiTheme="minorEastAsia"/>
          <w:b/>
          <w:color w:val="000000" w:themeColor="text1"/>
          <w:sz w:val="24"/>
          <w:szCs w:val="24"/>
          <w14:textFill>
            <w14:solidFill>
              <w14:schemeClr w14:val="tx1"/>
            </w14:solidFill>
          </w14:textFill>
        </w:rPr>
        <w:t>甲方进行材料、性能等年度强制性试验所产生的费用需由乙方承担。</w:t>
      </w:r>
    </w:p>
    <w:p>
      <w:pPr>
        <w:jc w:val="left"/>
        <w:rPr>
          <w:rFonts w:asciiTheme="minorEastAsia" w:hAnsiTheme="minorEastAsia"/>
          <w:b/>
          <w:sz w:val="24"/>
          <w:szCs w:val="24"/>
        </w:rPr>
      </w:pPr>
      <w:r>
        <w:rPr>
          <w:rFonts w:hint="eastAsia" w:asciiTheme="minorEastAsia" w:hAnsiTheme="minorEastAsia"/>
          <w:b/>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Theme="minorEastAsia" w:hAnsiTheme="minorEastAsia"/>
          <w:b/>
          <w:sz w:val="24"/>
          <w:szCs w:val="24"/>
        </w:rPr>
        <w:t>存进货检验的原始记录。</w:t>
      </w:r>
    </w:p>
    <w:p>
      <w:pPr>
        <w:jc w:val="left"/>
        <w:rPr>
          <w:rFonts w:asciiTheme="minorEastAsia" w:hAnsiTheme="minorEastAsia"/>
          <w:b/>
          <w:sz w:val="24"/>
          <w:szCs w:val="24"/>
        </w:rPr>
      </w:pPr>
      <w:r>
        <w:rPr>
          <w:rFonts w:hint="eastAsia" w:asciiTheme="minorEastAsia" w:hAnsiTheme="minorEastAsia"/>
          <w:b/>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pPr>
        <w:jc w:val="left"/>
        <w:rPr>
          <w:rFonts w:asciiTheme="minorEastAsia" w:hAnsiTheme="minorEastAsia"/>
          <w:b/>
          <w:sz w:val="24"/>
          <w:szCs w:val="24"/>
        </w:rPr>
      </w:pPr>
      <w:r>
        <w:rPr>
          <w:rFonts w:hint="eastAsia" w:asciiTheme="minorEastAsia" w:hAnsiTheme="minorEastAsia"/>
          <w:b/>
          <w:sz w:val="24"/>
          <w:szCs w:val="24"/>
        </w:rPr>
        <w:t xml:space="preserve">     6.5 乙方应使生产过程或采购过程完全受控，如有失控，应及时查明原因并采取纠正措施，并通知甲方采取相应的措施，否则一切后果由乙方承担。</w:t>
      </w:r>
      <w:r>
        <w:rPr>
          <w:rFonts w:hint="eastAsia" w:asciiTheme="minorEastAsia" w:hAnsiTheme="minorEastAsia"/>
          <w:b/>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Theme="minorEastAsia" w:hAnsiTheme="minorEastAsia"/>
          <w:b/>
          <w:sz w:val="24"/>
          <w:szCs w:val="24"/>
        </w:rPr>
        <w:t>定情形的，经甲方指出后，乙方须及时进行有效整改，对未整改或整改情况不符合甲方要求的，视为乙方违约，甲方有权终止供货关系，并要求乙方对甲方因此发生的损失承担赔偿责任。</w:t>
      </w:r>
    </w:p>
    <w:p>
      <w:pPr>
        <w:jc w:val="left"/>
        <w:rPr>
          <w:rFonts w:asciiTheme="minorEastAsia" w:hAnsiTheme="minorEastAsia"/>
          <w:b/>
          <w:sz w:val="24"/>
          <w:szCs w:val="24"/>
        </w:rPr>
      </w:pPr>
      <w:r>
        <w:rPr>
          <w:rFonts w:hint="eastAsia" w:asciiTheme="minorEastAsia" w:hAnsiTheme="minorEastAsia"/>
          <w:b/>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pPr>
        <w:jc w:val="left"/>
        <w:rPr>
          <w:rFonts w:asciiTheme="minorEastAsia" w:hAnsiTheme="minorEastAsia"/>
          <w:b/>
          <w:sz w:val="24"/>
          <w:szCs w:val="24"/>
        </w:rPr>
      </w:pPr>
      <w:r>
        <w:rPr>
          <w:rFonts w:hint="eastAsia" w:asciiTheme="minorEastAsia" w:hAnsiTheme="minorEastAsia"/>
          <w:b/>
          <w:sz w:val="24"/>
          <w:szCs w:val="24"/>
        </w:rPr>
        <w:t xml:space="preserve">     6.7 发生以下情形，乙方应承担相应的违约责任</w:t>
      </w:r>
    </w:p>
    <w:p>
      <w:pPr>
        <w:jc w:val="left"/>
        <w:rPr>
          <w:rFonts w:asciiTheme="minorEastAsia" w:hAnsiTheme="minorEastAsia"/>
          <w:b/>
          <w:sz w:val="24"/>
          <w:szCs w:val="24"/>
        </w:rPr>
      </w:pPr>
      <w:r>
        <w:rPr>
          <w:rFonts w:hint="eastAsia" w:asciiTheme="minorEastAsia" w:hAnsiTheme="minorEastAsia"/>
          <w:b/>
          <w:sz w:val="24"/>
          <w:szCs w:val="24"/>
        </w:rPr>
        <w:t xml:space="preserve">     6.7.1 乙方交货时间超出订单合约交期（交期延误）。</w:t>
      </w:r>
    </w:p>
    <w:p>
      <w:pPr>
        <w:jc w:val="left"/>
        <w:rPr>
          <w:rFonts w:asciiTheme="minorEastAsia" w:hAnsiTheme="minorEastAsia"/>
          <w:b/>
          <w:sz w:val="24"/>
          <w:szCs w:val="24"/>
        </w:rPr>
      </w:pPr>
      <w:r>
        <w:rPr>
          <w:rFonts w:hint="eastAsia" w:asciiTheme="minorEastAsia" w:hAnsiTheme="minorEastAsia"/>
          <w:b/>
          <w:sz w:val="24"/>
          <w:szCs w:val="24"/>
        </w:rPr>
        <w:t xml:space="preserve">     6.7.2</w:t>
      </w:r>
      <w:r>
        <w:rPr>
          <w:rFonts w:hint="eastAsia" w:asciiTheme="minorEastAsia" w:hAnsiTheme="minorEastAsia"/>
          <w:b/>
          <w:color w:val="FF0000"/>
          <w:sz w:val="24"/>
          <w:szCs w:val="24"/>
        </w:rPr>
        <w:t xml:space="preserve"> </w:t>
      </w:r>
      <w:r>
        <w:rPr>
          <w:rFonts w:hint="eastAsia" w:asciiTheme="minorEastAsia" w:hAnsiTheme="minorEastAsia"/>
          <w:b/>
          <w:sz w:val="24"/>
          <w:szCs w:val="24"/>
        </w:rPr>
        <w:t>乙方原材料、零部件因包装、运输品质问题导致甲方生产线停线。</w:t>
      </w:r>
    </w:p>
    <w:p>
      <w:pPr>
        <w:jc w:val="left"/>
        <w:rPr>
          <w:rFonts w:asciiTheme="minorEastAsia" w:hAnsiTheme="minorEastAsia"/>
          <w:b/>
          <w:sz w:val="24"/>
          <w:szCs w:val="24"/>
        </w:rPr>
      </w:pPr>
      <w:r>
        <w:rPr>
          <w:rFonts w:hint="eastAsia" w:asciiTheme="minorEastAsia" w:hAnsiTheme="minorEastAsia"/>
          <w:b/>
          <w:sz w:val="24"/>
          <w:szCs w:val="24"/>
        </w:rPr>
        <w:t xml:space="preserve">     6.7.3 乙方原材料、零部件在甲方入厂检验时因品质问题乙方不能及时处理而造成甲方停线。</w:t>
      </w:r>
    </w:p>
    <w:p>
      <w:pPr>
        <w:jc w:val="left"/>
        <w:rPr>
          <w:rFonts w:asciiTheme="minorEastAsia" w:hAnsiTheme="minorEastAsia"/>
          <w:b/>
          <w:sz w:val="24"/>
          <w:szCs w:val="24"/>
        </w:rPr>
      </w:pPr>
      <w:r>
        <w:rPr>
          <w:rFonts w:hint="eastAsia" w:asciiTheme="minorEastAsia" w:hAnsiTheme="minorEastAsia"/>
          <w:b/>
          <w:sz w:val="24"/>
          <w:szCs w:val="24"/>
        </w:rPr>
        <w:t xml:space="preserve">     6.7.4 乙方原材料、零部件在甲方生产过程中发生品质异常造成甲方生产线停线，或导致甲方已生产的产品返工、返修。</w:t>
      </w:r>
    </w:p>
    <w:p>
      <w:pPr>
        <w:jc w:val="left"/>
        <w:rPr>
          <w:rFonts w:asciiTheme="minorEastAsia" w:hAnsiTheme="minorEastAsia"/>
          <w:b/>
          <w:sz w:val="24"/>
          <w:szCs w:val="24"/>
        </w:rPr>
      </w:pPr>
      <w:r>
        <w:rPr>
          <w:rFonts w:hint="eastAsia" w:asciiTheme="minorEastAsia" w:hAnsiTheme="minorEastAsia"/>
          <w:b/>
          <w:sz w:val="24"/>
          <w:szCs w:val="24"/>
        </w:rPr>
        <w:t xml:space="preserve">     6.7.5 因乙方原材料、零部件质量问题造成甲方产品出厂后发生批量质量事故（如退货等）。</w:t>
      </w:r>
    </w:p>
    <w:p>
      <w:pPr>
        <w:jc w:val="left"/>
        <w:rPr>
          <w:rFonts w:asciiTheme="minorEastAsia" w:hAnsiTheme="minorEastAsia"/>
          <w:b/>
          <w:sz w:val="24"/>
          <w:szCs w:val="24"/>
        </w:rPr>
      </w:pPr>
      <w:r>
        <w:rPr>
          <w:rFonts w:hint="eastAsia" w:asciiTheme="minorEastAsia" w:hAnsiTheme="minorEastAsia"/>
          <w:b/>
          <w:sz w:val="24"/>
          <w:szCs w:val="24"/>
        </w:rPr>
        <w:t xml:space="preserve">     6.7.6 因乙方原材料、零部件质量问题造成产品用户在使用中出现危及人身、财产安全或丧失使用价值的情形。</w:t>
      </w:r>
    </w:p>
    <w:p>
      <w:pPr>
        <w:jc w:val="left"/>
        <w:rPr>
          <w:rFonts w:asciiTheme="minorEastAsia" w:hAnsiTheme="minorEastAsia"/>
          <w:b/>
          <w:sz w:val="24"/>
          <w:szCs w:val="24"/>
        </w:rPr>
      </w:pPr>
      <w:r>
        <w:rPr>
          <w:rFonts w:hint="eastAsia" w:asciiTheme="minorEastAsia" w:hAnsiTheme="minorEastAsia"/>
          <w:b/>
          <w:sz w:val="24"/>
          <w:szCs w:val="24"/>
        </w:rPr>
        <w:t xml:space="preserve">     6.7.7 乙方原材料、零部件在装配直到用户使用过程中发现有质量问题且造成损失。</w:t>
      </w:r>
    </w:p>
    <w:p>
      <w:pPr>
        <w:jc w:val="left"/>
        <w:rPr>
          <w:rFonts w:asciiTheme="minorEastAsia" w:hAnsiTheme="minorEastAsia"/>
          <w:b/>
          <w:sz w:val="24"/>
          <w:szCs w:val="24"/>
        </w:rPr>
      </w:pPr>
      <w:r>
        <w:rPr>
          <w:rFonts w:hint="eastAsia" w:asciiTheme="minorEastAsia" w:hAnsiTheme="minorEastAsia"/>
          <w:b/>
          <w:sz w:val="24"/>
          <w:szCs w:val="24"/>
        </w:rPr>
        <w:t xml:space="preserve">     6.7.8 因乙方对其产品材料的技术和商业机密泄露造成的损失。</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7．交货需遵守的规则</w:t>
      </w:r>
    </w:p>
    <w:p>
      <w:pPr>
        <w:jc w:val="left"/>
        <w:rPr>
          <w:rFonts w:asciiTheme="minorEastAsia" w:hAnsiTheme="minorEastAsia"/>
          <w:b/>
          <w:sz w:val="24"/>
          <w:szCs w:val="24"/>
        </w:rPr>
      </w:pPr>
      <w:r>
        <w:rPr>
          <w:rFonts w:hint="eastAsia" w:asciiTheme="minorEastAsia" w:hAnsiTheme="minorEastAsia"/>
          <w:b/>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pPr>
        <w:jc w:val="left"/>
        <w:rPr>
          <w:rFonts w:asciiTheme="minorEastAsia" w:hAnsiTheme="minorEastAsia"/>
          <w:b/>
          <w:sz w:val="24"/>
          <w:szCs w:val="24"/>
        </w:rPr>
      </w:pPr>
      <w:r>
        <w:rPr>
          <w:rFonts w:hint="eastAsia" w:asciiTheme="minorEastAsia" w:hAnsiTheme="minorEastAsia"/>
          <w:b/>
          <w:sz w:val="24"/>
          <w:szCs w:val="24"/>
        </w:rPr>
        <w:t xml:space="preserve">     7.2 乙方初次交货时要提供可靠性试验报告，以后每年至少提供一次。</w:t>
      </w:r>
    </w:p>
    <w:p>
      <w:pPr>
        <w:jc w:val="left"/>
        <w:rPr>
          <w:rFonts w:asciiTheme="minorEastAsia" w:hAnsiTheme="minorEastAsia"/>
          <w:b/>
          <w:sz w:val="24"/>
          <w:szCs w:val="24"/>
        </w:rPr>
      </w:pPr>
      <w:r>
        <w:rPr>
          <w:rFonts w:hint="eastAsia" w:asciiTheme="minorEastAsia" w:hAnsiTheme="minorEastAsia"/>
          <w:b/>
          <w:sz w:val="24"/>
          <w:szCs w:val="24"/>
        </w:rPr>
        <w:t xml:space="preserve">     7.3 对于塑胶原料、化学有机溶剂等需要提供化学成份分析表、安全使用说明书。</w:t>
      </w:r>
    </w:p>
    <w:p>
      <w:pPr>
        <w:jc w:val="left"/>
        <w:rPr>
          <w:rFonts w:asciiTheme="minorEastAsia" w:hAnsiTheme="minorEastAsia"/>
          <w:b/>
          <w:sz w:val="24"/>
          <w:szCs w:val="24"/>
        </w:rPr>
      </w:pPr>
      <w:r>
        <w:rPr>
          <w:rFonts w:hint="eastAsia" w:asciiTheme="minorEastAsia" w:hAnsiTheme="minorEastAsia"/>
          <w:b/>
          <w:sz w:val="24"/>
          <w:szCs w:val="24"/>
        </w:rPr>
        <w:t xml:space="preserve">     7.4 包装箱、外包装必须标注产品合格证、产品名称、型号规格、出货日期、批号、数量、公司名称等信息。</w:t>
      </w:r>
    </w:p>
    <w:p>
      <w:pPr>
        <w:jc w:val="left"/>
        <w:rPr>
          <w:rFonts w:asciiTheme="minorEastAsia" w:hAnsiTheme="minorEastAsia"/>
          <w:b/>
          <w:sz w:val="24"/>
          <w:szCs w:val="24"/>
        </w:rPr>
      </w:pPr>
      <w:r>
        <w:rPr>
          <w:rFonts w:hint="eastAsia" w:asciiTheme="minorEastAsia" w:hAnsiTheme="minorEastAsia"/>
          <w:b/>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pPr>
        <w:jc w:val="left"/>
        <w:rPr>
          <w:rFonts w:asciiTheme="minorEastAsia" w:hAnsiTheme="minorEastAsia"/>
          <w:b/>
          <w:sz w:val="24"/>
          <w:szCs w:val="24"/>
        </w:rPr>
      </w:pPr>
    </w:p>
    <w:p>
      <w:pPr>
        <w:jc w:val="left"/>
        <w:rPr>
          <w:rFonts w:asciiTheme="minorEastAsia" w:hAnsiTheme="minorEastAsia"/>
          <w:b/>
          <w:color w:val="FF0000"/>
          <w:sz w:val="24"/>
          <w:szCs w:val="24"/>
        </w:rPr>
      </w:pPr>
      <w:r>
        <w:rPr>
          <w:rFonts w:hint="eastAsia" w:asciiTheme="minorEastAsia" w:hAnsiTheme="minorEastAsia"/>
          <w:b/>
          <w:sz w:val="24"/>
          <w:szCs w:val="24"/>
        </w:rPr>
        <w:t xml:space="preserve">     </w:t>
      </w:r>
      <w:r>
        <w:rPr>
          <w:rFonts w:hint="eastAsia" w:asciiTheme="minorEastAsia" w:hAnsiTheme="minorEastAsia"/>
          <w:b/>
          <w:color w:val="FF0000"/>
          <w:sz w:val="24"/>
          <w:szCs w:val="24"/>
        </w:rPr>
        <w:t>8．赔偿的具体要求和办法</w:t>
      </w:r>
    </w:p>
    <w:p>
      <w:pPr>
        <w:jc w:val="left"/>
        <w:rPr>
          <w:rFonts w:asciiTheme="minorEastAsia" w:hAnsiTheme="minorEastAsia"/>
          <w:b/>
          <w:sz w:val="24"/>
          <w:szCs w:val="24"/>
        </w:rPr>
      </w:pPr>
      <w:r>
        <w:rPr>
          <w:rFonts w:hint="eastAsia" w:asciiTheme="minorEastAsia" w:hAnsiTheme="minorEastAsia"/>
          <w:b/>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Theme="minorEastAsia" w:hAnsiTheme="minorEastAsia"/>
          <w:b/>
          <w:sz w:val="24"/>
          <w:szCs w:val="24"/>
        </w:rPr>
        <w:t>。</w:t>
      </w:r>
    </w:p>
    <w:p>
      <w:pPr>
        <w:jc w:val="left"/>
        <w:rPr>
          <w:rFonts w:asciiTheme="minorEastAsia" w:hAnsiTheme="minorEastAsia"/>
          <w:b/>
          <w:sz w:val="24"/>
          <w:szCs w:val="24"/>
        </w:rPr>
      </w:pPr>
      <w:r>
        <w:rPr>
          <w:rFonts w:hint="eastAsia" w:asciiTheme="minorEastAsia" w:hAnsiTheme="minorEastAsia"/>
          <w:b/>
          <w:sz w:val="24"/>
          <w:szCs w:val="24"/>
        </w:rPr>
        <w:t xml:space="preserve">     8.2 乙方不合格品的让步接收</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8.2.2 降价接收的标准为，第一次发生让步接收的产品单价下降10%，让步总金额不满500元时按500元计算；第二次发生让步接收的产品单价下降20%，让步总金额不满1000元时按1000元计算，以此类推。</w:t>
      </w:r>
    </w:p>
    <w:p>
      <w:pPr>
        <w:jc w:val="left"/>
        <w:rPr>
          <w:rFonts w:asciiTheme="minorEastAsia" w:hAnsiTheme="minorEastAsia"/>
          <w:b/>
          <w:sz w:val="24"/>
          <w:szCs w:val="24"/>
        </w:rPr>
      </w:pPr>
      <w:r>
        <w:rPr>
          <w:rFonts w:hint="eastAsia" w:asciiTheme="minorEastAsia" w:hAnsiTheme="minorEastAsia"/>
          <w:b/>
          <w:sz w:val="24"/>
          <w:szCs w:val="24"/>
        </w:rPr>
        <w:t xml:space="preserve">     </w:t>
      </w:r>
      <w:r>
        <w:rPr>
          <w:rFonts w:hint="eastAsia" w:asciiTheme="minorEastAsia" w:hAnsiTheme="minorEastAsia"/>
          <w:b/>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Theme="minorEastAsia" w:hAnsiTheme="minorEastAsia"/>
          <w:b/>
          <w:sz w:val="24"/>
          <w:szCs w:val="24"/>
        </w:rPr>
        <w:t>。</w:t>
      </w:r>
    </w:p>
    <w:p>
      <w:pPr>
        <w:jc w:val="left"/>
        <w:rPr>
          <w:rFonts w:asciiTheme="minorEastAsia" w:hAnsiTheme="minorEastAsia"/>
          <w:b/>
          <w:sz w:val="24"/>
          <w:szCs w:val="24"/>
        </w:rPr>
      </w:pPr>
      <w:r>
        <w:rPr>
          <w:rFonts w:hint="eastAsia" w:asciiTheme="minorEastAsia" w:hAnsiTheme="minorEastAsia"/>
          <w:b/>
          <w:sz w:val="24"/>
          <w:szCs w:val="24"/>
        </w:rPr>
        <w:t xml:space="preserve">    </w:t>
      </w:r>
      <w:r>
        <w:rPr>
          <w:rFonts w:hint="eastAsia" w:asciiTheme="minorEastAsia" w:hAnsiTheme="minorEastAsia"/>
          <w:b/>
          <w:color w:val="FF0000"/>
          <w:sz w:val="24"/>
          <w:szCs w:val="24"/>
        </w:rPr>
        <w:t xml:space="preserve"> 8.4 乙方原材料入厂后连续3次以上（含3次）在甲方发生品质问题，甲方有权要求乙方承担违约责任，违约金数额为5000至10000元</w:t>
      </w:r>
      <w:r>
        <w:rPr>
          <w:rFonts w:hint="eastAsia" w:asciiTheme="minorEastAsia" w:hAnsiTheme="minorEastAsia"/>
          <w:b/>
          <w:sz w:val="24"/>
          <w:szCs w:val="24"/>
        </w:rPr>
        <w:t>。</w:t>
      </w:r>
    </w:p>
    <w:p>
      <w:pPr>
        <w:jc w:val="left"/>
        <w:rPr>
          <w:rFonts w:asciiTheme="minorEastAsia" w:hAnsiTheme="minorEastAsia"/>
          <w:b/>
          <w:sz w:val="24"/>
          <w:szCs w:val="24"/>
        </w:rPr>
      </w:pPr>
      <w:r>
        <w:rPr>
          <w:rFonts w:hint="eastAsia" w:asciiTheme="minorEastAsia" w:hAnsiTheme="minorEastAsia"/>
          <w:b/>
          <w:sz w:val="24"/>
          <w:szCs w:val="24"/>
        </w:rPr>
        <w:t xml:space="preserve">    </w:t>
      </w:r>
      <w:r>
        <w:rPr>
          <w:rFonts w:hint="eastAsia" w:asciiTheme="minorEastAsia" w:hAnsiTheme="minorEastAsia"/>
          <w:color w:val="FFFF00"/>
          <w:sz w:val="24"/>
          <w:szCs w:val="24"/>
        </w:rPr>
        <w:t xml:space="preserve"> </w:t>
      </w:r>
      <w:r>
        <w:rPr>
          <w:rFonts w:hint="eastAsia" w:asciiTheme="minorEastAsia" w:hAnsiTheme="minorEastAsia"/>
          <w:b/>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Theme="minorEastAsia" w:hAnsiTheme="minorEastAsia"/>
          <w:b/>
          <w:sz w:val="24"/>
          <w:szCs w:val="24"/>
        </w:rPr>
        <w:t>。</w:t>
      </w:r>
    </w:p>
    <w:p>
      <w:pPr>
        <w:jc w:val="left"/>
        <w:rPr>
          <w:rFonts w:asciiTheme="minorEastAsia" w:hAnsiTheme="minorEastAsia"/>
          <w:b/>
          <w:sz w:val="24"/>
          <w:szCs w:val="24"/>
        </w:rPr>
      </w:pPr>
      <w:r>
        <w:rPr>
          <w:rFonts w:hint="eastAsia" w:asciiTheme="minorEastAsia" w:hAnsiTheme="minorEastAsia"/>
          <w:b/>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pPr>
        <w:jc w:val="left"/>
        <w:rPr>
          <w:rFonts w:asciiTheme="minorEastAsia" w:hAnsiTheme="minorEastAsia"/>
          <w:b/>
          <w:sz w:val="24"/>
          <w:szCs w:val="24"/>
        </w:rPr>
      </w:pPr>
      <w:r>
        <w:rPr>
          <w:rFonts w:hint="eastAsia" w:asciiTheme="minorEastAsia" w:hAnsiTheme="minorEastAsia"/>
          <w:b/>
          <w:sz w:val="24"/>
          <w:szCs w:val="24"/>
        </w:rPr>
        <w:t xml:space="preserve">     8.7 由于乙方供货或产品质量原因，影响甲方总成供货或造成主机厂停线，导致其向甲方索赔的，乙方应承担全部责任，赔偿标准以主机厂相关规定为准。</w:t>
      </w:r>
    </w:p>
    <w:p>
      <w:pPr>
        <w:jc w:val="left"/>
        <w:rPr>
          <w:rFonts w:asciiTheme="minorEastAsia" w:hAnsiTheme="minorEastAsia"/>
          <w:b/>
          <w:sz w:val="24"/>
          <w:szCs w:val="24"/>
        </w:rPr>
      </w:pPr>
      <w:r>
        <w:rPr>
          <w:rFonts w:hint="eastAsia" w:asciiTheme="minorEastAsia" w:hAnsiTheme="minorEastAsia"/>
          <w:b/>
          <w:sz w:val="24"/>
          <w:szCs w:val="24"/>
        </w:rPr>
        <w:t xml:space="preserve">     8.8 在乙方发生质量异常时，甲方将按附件一《采购零部件质量索赔及处罚标准》进行处罚。</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10．基于乙方月度评价情况，甲方采购管理部对乙方作出年度综合评价，对于全年质量稳定、售后配合良好的乙方，甲方将于年底给予奖彰，在新产品开发上享有优先供货权。</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11．协议变更：对本协议任何内容的变更或增加，均需由甲乙双方协商一致签订补充协议。</w:t>
      </w:r>
    </w:p>
    <w:p>
      <w:pPr>
        <w:jc w:val="left"/>
        <w:rPr>
          <w:rFonts w:asciiTheme="minorEastAsia" w:hAnsiTheme="minorEastAsia"/>
          <w:b/>
          <w:sz w:val="24"/>
          <w:szCs w:val="24"/>
        </w:rPr>
      </w:pPr>
    </w:p>
    <w:p>
      <w:pPr>
        <w:jc w:val="left"/>
        <w:rPr>
          <w:rFonts w:asciiTheme="minorEastAsia" w:hAnsiTheme="minorEastAsia"/>
          <w:b/>
          <w:color w:val="FF0000"/>
          <w:sz w:val="24"/>
          <w:szCs w:val="24"/>
        </w:rPr>
      </w:pPr>
      <w:r>
        <w:rPr>
          <w:rFonts w:hint="eastAsia" w:asciiTheme="minorEastAsia" w:hAnsiTheme="minorEastAsia"/>
          <w:b/>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pPr>
        <w:jc w:val="left"/>
        <w:rPr>
          <w:rFonts w:asciiTheme="minorEastAsia" w:hAnsiTheme="minorEastAsia"/>
          <w:b/>
          <w:color w:val="FF0000"/>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w:t>
      </w:r>
      <w:r>
        <w:rPr>
          <w:rFonts w:hint="eastAsia" w:asciiTheme="minorEastAsia" w:hAnsiTheme="minorEastAsia"/>
          <w:b/>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pPr>
        <w:jc w:val="left"/>
        <w:rPr>
          <w:rFonts w:asciiTheme="minorEastAsia" w:hAnsiTheme="minorEastAsia"/>
          <w:b/>
          <w:sz w:val="24"/>
          <w:szCs w:val="24"/>
        </w:rPr>
      </w:pPr>
    </w:p>
    <w:p>
      <w:pPr>
        <w:jc w:val="left"/>
        <w:rPr>
          <w:rFonts w:asciiTheme="minorEastAsia" w:hAnsiTheme="minorEastAsia"/>
          <w:b/>
          <w:sz w:val="24"/>
          <w:szCs w:val="20"/>
        </w:rPr>
      </w:pPr>
      <w:r>
        <w:rPr>
          <w:rFonts w:hint="eastAsia" w:asciiTheme="minorEastAsia" w:hAnsiTheme="minorEastAsia"/>
          <w:b/>
          <w:sz w:val="24"/>
          <w:szCs w:val="24"/>
        </w:rPr>
        <w:t xml:space="preserve">     14．本协议一式二份，甲乙双方各保留一份。</w:t>
      </w: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ind w:left="1124" w:leftChars="134" w:hanging="843" w:hangingChars="300"/>
        <w:jc w:val="left"/>
        <w:rPr>
          <w:rFonts w:hint="eastAsia" w:asciiTheme="minorEastAsia" w:hAnsiTheme="minorEastAsia"/>
          <w:b/>
          <w:sz w:val="28"/>
          <w:szCs w:val="20"/>
          <w:lang w:val="en-US" w:eastAsia="zh-CN"/>
        </w:rPr>
      </w:pPr>
      <w:r>
        <w:rPr>
          <w:rFonts w:hint="eastAsia" w:asciiTheme="minorEastAsia" w:hAnsiTheme="minorEastAsia"/>
          <w:b/>
          <w:sz w:val="28"/>
          <w:szCs w:val="20"/>
        </w:rPr>
        <w:t>甲 方：</w:t>
      </w:r>
      <w:r>
        <w:rPr>
          <w:rFonts w:hint="eastAsia" w:asciiTheme="minorEastAsia" w:hAnsiTheme="minorEastAsia"/>
          <w:b/>
          <w:sz w:val="28"/>
          <w:szCs w:val="20"/>
          <w:lang w:val="en-US" w:eastAsia="zh-CN"/>
        </w:rPr>
        <w:t xml:space="preserve">潍坊光华荣昌汽车技术有限公司  </w:t>
      </w:r>
    </w:p>
    <w:p>
      <w:pPr>
        <w:ind w:left="1124" w:leftChars="134" w:hanging="843" w:hangingChars="300"/>
        <w:jc w:val="left"/>
        <w:rPr>
          <w:rFonts w:hint="default" w:asciiTheme="minorEastAsia" w:hAnsiTheme="minorEastAsia"/>
          <w:b/>
          <w:sz w:val="28"/>
          <w:szCs w:val="20"/>
          <w:lang w:val="en-US" w:eastAsia="zh-CN"/>
        </w:rPr>
      </w:pPr>
    </w:p>
    <w:p>
      <w:pPr>
        <w:ind w:firstLine="281" w:firstLineChars="100"/>
        <w:jc w:val="left"/>
        <w:rPr>
          <w:rFonts w:hint="eastAsia" w:asciiTheme="minorEastAsia" w:hAnsiTheme="minorEastAsia"/>
          <w:b/>
          <w:sz w:val="28"/>
          <w:szCs w:val="20"/>
        </w:rPr>
      </w:pPr>
      <w:r>
        <w:rPr>
          <w:rFonts w:hint="eastAsia" w:asciiTheme="minorEastAsia" w:hAnsiTheme="minorEastAsia"/>
          <w:b/>
          <w:sz w:val="28"/>
          <w:szCs w:val="20"/>
        </w:rPr>
        <w:t>地 址：</w:t>
      </w:r>
      <w:r>
        <w:rPr>
          <w:rFonts w:hint="eastAsia" w:asciiTheme="minorEastAsia" w:hAnsiTheme="minorEastAsia"/>
          <w:b/>
          <w:sz w:val="28"/>
          <w:szCs w:val="20"/>
          <w:lang w:val="en-US" w:eastAsia="zh-CN"/>
        </w:rPr>
        <w:t xml:space="preserve">                  </w:t>
      </w:r>
      <w:r>
        <w:rPr>
          <w:rFonts w:hint="eastAsia" w:asciiTheme="minorEastAsia" w:hAnsiTheme="minorEastAsia"/>
          <w:b/>
          <w:sz w:val="28"/>
          <w:szCs w:val="20"/>
        </w:rPr>
        <w:t xml:space="preserve">  </w:t>
      </w:r>
      <w:r>
        <w:rPr>
          <w:rFonts w:hint="eastAsia" w:asciiTheme="minorEastAsia" w:hAnsiTheme="minorEastAsia"/>
          <w:b/>
          <w:sz w:val="28"/>
          <w:szCs w:val="20"/>
          <w:lang w:val="en-US" w:eastAsia="zh-CN"/>
        </w:rPr>
        <w:t xml:space="preserve">             </w:t>
      </w:r>
      <w:r>
        <w:rPr>
          <w:rFonts w:hint="eastAsia" w:asciiTheme="minorEastAsia" w:hAnsiTheme="minorEastAsia"/>
          <w:b/>
          <w:sz w:val="28"/>
          <w:szCs w:val="20"/>
        </w:rPr>
        <w:t xml:space="preserve">       </w:t>
      </w:r>
    </w:p>
    <w:p>
      <w:pPr>
        <w:jc w:val="left"/>
        <w:rPr>
          <w:rFonts w:hint="eastAsia" w:asciiTheme="minorEastAsia" w:hAnsiTheme="minorEastAsia"/>
          <w:b/>
          <w:sz w:val="28"/>
          <w:szCs w:val="20"/>
        </w:rPr>
      </w:pPr>
    </w:p>
    <w:p>
      <w:pPr>
        <w:ind w:firstLine="281" w:firstLineChars="100"/>
        <w:jc w:val="left"/>
        <w:rPr>
          <w:rFonts w:asciiTheme="minorEastAsia" w:hAnsiTheme="minorEastAsia"/>
          <w:b/>
          <w:sz w:val="24"/>
          <w:szCs w:val="20"/>
        </w:rPr>
      </w:pPr>
      <w:r>
        <w:rPr>
          <w:rFonts w:hint="eastAsia" w:asciiTheme="minorEastAsia" w:hAnsiTheme="minorEastAsia"/>
          <w:b/>
          <w:sz w:val="28"/>
          <w:szCs w:val="20"/>
        </w:rPr>
        <w:t>日 期</w:t>
      </w:r>
      <w:r>
        <w:rPr>
          <w:rFonts w:hint="eastAsia" w:asciiTheme="minorEastAsia" w:hAnsiTheme="minorEastAsia"/>
          <w:b/>
          <w:sz w:val="28"/>
          <w:szCs w:val="20"/>
          <w:lang w:eastAsia="zh-CN"/>
        </w:rPr>
        <w:t>：</w:t>
      </w:r>
      <w:r>
        <w:rPr>
          <w:rFonts w:hint="eastAsia" w:asciiTheme="minorEastAsia" w:hAnsiTheme="minorEastAsia"/>
          <w:b/>
          <w:sz w:val="28"/>
          <w:szCs w:val="20"/>
        </w:rPr>
        <w:t xml:space="preserve"> </w:t>
      </w:r>
      <w:r>
        <w:rPr>
          <w:rFonts w:hint="eastAsia" w:asciiTheme="minorEastAsia" w:hAnsiTheme="minorEastAsia"/>
          <w:b/>
          <w:sz w:val="28"/>
          <w:szCs w:val="20"/>
          <w:lang w:val="en-US" w:eastAsia="zh-CN"/>
        </w:rPr>
        <w:t>2024年1月1日</w:t>
      </w:r>
      <w:r>
        <w:rPr>
          <w:rFonts w:hint="eastAsia" w:asciiTheme="minorEastAsia" w:hAnsiTheme="minorEastAsia"/>
          <w:b/>
          <w:sz w:val="28"/>
          <w:szCs w:val="20"/>
        </w:rPr>
        <w:t xml:space="preserve">    </w:t>
      </w:r>
      <w:r>
        <w:rPr>
          <w:rFonts w:hint="eastAsia" w:asciiTheme="minorEastAsia" w:hAnsiTheme="minorEastAsia"/>
          <w:b/>
          <w:sz w:val="28"/>
          <w:szCs w:val="20"/>
          <w:lang w:val="en-US" w:eastAsia="zh-CN"/>
        </w:rPr>
        <w:t xml:space="preserve"> </w:t>
      </w:r>
    </w:p>
    <w:p>
      <w:pPr>
        <w:jc w:val="left"/>
        <w:rPr>
          <w:rFonts w:asciiTheme="minorEastAsia" w:hAnsiTheme="minorEastAsia"/>
          <w:b/>
          <w:sz w:val="24"/>
          <w:szCs w:val="20"/>
        </w:rPr>
      </w:pPr>
    </w:p>
    <w:p>
      <w:pPr>
        <w:jc w:val="left"/>
        <w:rPr>
          <w:rFonts w:asciiTheme="minorEastAsia" w:hAnsiTheme="minorEastAsia"/>
          <w:b/>
          <w:sz w:val="24"/>
          <w:szCs w:val="20"/>
        </w:rPr>
      </w:pPr>
    </w:p>
    <w:p>
      <w:pPr>
        <w:ind w:left="1124" w:leftChars="134" w:hanging="843" w:hangingChars="300"/>
        <w:jc w:val="left"/>
        <w:rPr>
          <w:rFonts w:hint="default" w:asciiTheme="minorEastAsia" w:hAnsiTheme="minorEastAsia" w:eastAsiaTheme="minorEastAsia"/>
          <w:b/>
          <w:sz w:val="28"/>
          <w:szCs w:val="20"/>
          <w:lang w:val="en-US" w:eastAsia="zh-CN"/>
        </w:rPr>
      </w:pPr>
      <w:r>
        <w:rPr>
          <w:rFonts w:hint="eastAsia" w:asciiTheme="minorEastAsia" w:hAnsiTheme="minorEastAsia"/>
          <w:b/>
          <w:sz w:val="28"/>
          <w:szCs w:val="20"/>
        </w:rPr>
        <w:t>乙 方：山东万澳汽车附件科技有限公司</w:t>
      </w:r>
      <w:r>
        <w:rPr>
          <w:rFonts w:hint="eastAsia" w:asciiTheme="minorEastAsia" w:hAnsiTheme="minorEastAsia"/>
          <w:b/>
          <w:sz w:val="28"/>
          <w:szCs w:val="20"/>
          <w:lang w:val="en-US" w:eastAsia="zh-CN"/>
        </w:rPr>
        <w:t xml:space="preserve">                    </w:t>
      </w: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hint="eastAsia" w:asciiTheme="minorEastAsia" w:hAnsiTheme="minorEastAsia" w:eastAsiaTheme="minorEastAsia"/>
          <w:b/>
          <w:sz w:val="28"/>
          <w:szCs w:val="20"/>
          <w:lang w:eastAsia="zh-CN"/>
        </w:rPr>
      </w:pPr>
      <w:r>
        <w:rPr>
          <w:rFonts w:hint="eastAsia" w:asciiTheme="minorEastAsia" w:hAnsiTheme="minorEastAsia"/>
          <w:b/>
          <w:sz w:val="28"/>
          <w:szCs w:val="20"/>
          <w:lang w:val="en-US" w:eastAsia="zh-CN"/>
        </w:rPr>
        <w:t xml:space="preserve">  </w:t>
      </w:r>
      <w:r>
        <w:rPr>
          <w:rFonts w:hint="eastAsia" w:asciiTheme="minorEastAsia" w:hAnsiTheme="minorEastAsia"/>
          <w:b/>
          <w:sz w:val="28"/>
          <w:szCs w:val="20"/>
        </w:rPr>
        <w:t>地 址</w:t>
      </w:r>
      <w:r>
        <w:rPr>
          <w:rFonts w:hint="eastAsia" w:asciiTheme="minorEastAsia" w:hAnsiTheme="minorEastAsia"/>
          <w:b/>
          <w:sz w:val="28"/>
          <w:szCs w:val="20"/>
          <w:lang w:eastAsia="zh-CN"/>
        </w:rPr>
        <w:t>：</w:t>
      </w:r>
    </w:p>
    <w:p>
      <w:pPr>
        <w:jc w:val="left"/>
        <w:rPr>
          <w:rFonts w:hint="eastAsia" w:asciiTheme="minorEastAsia" w:hAnsiTheme="minorEastAsia"/>
          <w:b/>
          <w:sz w:val="28"/>
          <w:szCs w:val="20"/>
        </w:rPr>
      </w:pPr>
    </w:p>
    <w:p>
      <w:pPr>
        <w:jc w:val="left"/>
        <w:rPr>
          <w:rFonts w:asciiTheme="minorEastAsia" w:hAnsiTheme="minorEastAsia"/>
          <w:b/>
          <w:sz w:val="24"/>
          <w:szCs w:val="20"/>
        </w:rPr>
      </w:pPr>
    </w:p>
    <w:p>
      <w:pPr>
        <w:ind w:firstLine="281" w:firstLineChars="100"/>
        <w:jc w:val="left"/>
        <w:rPr>
          <w:rFonts w:asciiTheme="minorEastAsia" w:hAnsiTheme="minorEastAsia"/>
          <w:b/>
          <w:sz w:val="24"/>
          <w:szCs w:val="20"/>
        </w:rPr>
      </w:pPr>
      <w:r>
        <w:rPr>
          <w:rFonts w:hint="eastAsia" w:asciiTheme="minorEastAsia" w:hAnsiTheme="minorEastAsia"/>
          <w:b/>
          <w:sz w:val="28"/>
          <w:szCs w:val="20"/>
        </w:rPr>
        <w:t>代 表：</w:t>
      </w:r>
    </w:p>
    <w:p>
      <w:pPr>
        <w:jc w:val="left"/>
        <w:rPr>
          <w:rFonts w:asciiTheme="minorEastAsia" w:hAnsiTheme="minorEastAsia"/>
          <w:b/>
          <w:sz w:val="24"/>
          <w:szCs w:val="20"/>
        </w:rPr>
      </w:pPr>
    </w:p>
    <w:p>
      <w:pPr>
        <w:jc w:val="left"/>
        <w:rPr>
          <w:rFonts w:asciiTheme="minorEastAsia" w:hAnsiTheme="minorEastAsia"/>
          <w:b/>
          <w:sz w:val="24"/>
          <w:szCs w:val="20"/>
        </w:rPr>
      </w:pPr>
    </w:p>
    <w:p>
      <w:pPr>
        <w:ind w:firstLine="281" w:firstLineChars="100"/>
        <w:jc w:val="left"/>
        <w:rPr>
          <w:rFonts w:asciiTheme="minorEastAsia" w:hAnsiTheme="minorEastAsia"/>
          <w:b/>
          <w:sz w:val="24"/>
          <w:szCs w:val="20"/>
        </w:rPr>
      </w:pPr>
      <w:r>
        <w:rPr>
          <w:rFonts w:hint="eastAsia" w:asciiTheme="minorEastAsia" w:hAnsiTheme="minorEastAsia"/>
          <w:b/>
          <w:sz w:val="28"/>
          <w:szCs w:val="20"/>
        </w:rPr>
        <w:t>日 期：</w:t>
      </w:r>
      <w:r>
        <w:rPr>
          <w:rFonts w:hint="eastAsia" w:asciiTheme="minorEastAsia" w:hAnsiTheme="minorEastAsia"/>
          <w:b/>
          <w:sz w:val="28"/>
          <w:szCs w:val="20"/>
          <w:lang w:val="en-US" w:eastAsia="zh-CN"/>
        </w:rPr>
        <w:t>2024年1月1日</w:t>
      </w:r>
      <w:r>
        <w:rPr>
          <w:rFonts w:hint="eastAsia" w:asciiTheme="minorEastAsia" w:hAnsiTheme="minorEastAsia"/>
          <w:b/>
          <w:sz w:val="28"/>
          <w:szCs w:val="20"/>
        </w:rPr>
        <w:t xml:space="preserve">    </w:t>
      </w:r>
      <w:r>
        <w:rPr>
          <w:rFonts w:hint="eastAsia" w:asciiTheme="minorEastAsia" w:hAnsiTheme="minorEastAsia"/>
          <w:b/>
          <w:sz w:val="28"/>
          <w:szCs w:val="20"/>
          <w:lang w:val="en-US" w:eastAsia="zh-CN"/>
        </w:rPr>
        <w:t xml:space="preserve"> </w:t>
      </w:r>
    </w:p>
    <w:p>
      <w:pPr>
        <w:jc w:val="left"/>
        <w:rPr>
          <w:rFonts w:asciiTheme="minorEastAsia" w:hAnsiTheme="minorEastAsia"/>
          <w:b/>
          <w:sz w:val="24"/>
          <w:szCs w:val="20"/>
        </w:rPr>
      </w:pPr>
    </w:p>
    <w:p>
      <w:pPr>
        <w:ind w:firstLine="241" w:firstLineChars="100"/>
        <w:jc w:val="left"/>
        <w:rPr>
          <w:rFonts w:asciiTheme="minorEastAsia" w:hAnsiTheme="minorEastAsia"/>
          <w:b/>
          <w:sz w:val="24"/>
          <w:szCs w:val="20"/>
        </w:rPr>
      </w:pPr>
    </w:p>
    <w:p>
      <w:pPr>
        <w:jc w:val="left"/>
        <w:rPr>
          <w:rFonts w:asciiTheme="minorEastAsia" w:hAnsiTheme="minorEastAsia"/>
          <w:b/>
          <w:sz w:val="24"/>
          <w:szCs w:val="20"/>
        </w:rPr>
      </w:pPr>
    </w:p>
    <w:p>
      <w:pPr>
        <w:rPr>
          <w:rFonts w:hint="eastAsia"/>
          <w:b/>
          <w:sz w:val="22"/>
          <w:szCs w:val="24"/>
        </w:rPr>
      </w:pPr>
    </w:p>
    <w:p>
      <w:pPr>
        <w:rPr>
          <w:b/>
          <w:sz w:val="22"/>
          <w:szCs w:val="24"/>
        </w:rPr>
      </w:pPr>
      <w:r>
        <w:rPr>
          <w:rFonts w:hint="eastAsia"/>
          <w:b/>
          <w:sz w:val="22"/>
          <w:szCs w:val="24"/>
        </w:rPr>
        <w:t>附件一</w:t>
      </w:r>
    </w:p>
    <w:p>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jc w:val="center"/>
              <w:rPr>
                <w:b/>
                <w:sz w:val="22"/>
                <w:szCs w:val="24"/>
              </w:rPr>
            </w:pPr>
            <w:r>
              <w:rPr>
                <w:rFonts w:hint="eastAsia"/>
                <w:b/>
                <w:sz w:val="22"/>
                <w:szCs w:val="24"/>
              </w:rPr>
              <w:t>序号</w:t>
            </w:r>
          </w:p>
        </w:tc>
        <w:tc>
          <w:tcPr>
            <w:tcW w:w="1145" w:type="dxa"/>
            <w:vAlign w:val="center"/>
          </w:tcPr>
          <w:p>
            <w:pPr>
              <w:jc w:val="center"/>
              <w:rPr>
                <w:b/>
                <w:sz w:val="22"/>
                <w:szCs w:val="24"/>
              </w:rPr>
            </w:pPr>
            <w:r>
              <w:rPr>
                <w:rFonts w:hint="eastAsia"/>
                <w:b/>
                <w:sz w:val="22"/>
                <w:szCs w:val="24"/>
              </w:rPr>
              <w:t>考核项目</w:t>
            </w:r>
          </w:p>
        </w:tc>
        <w:tc>
          <w:tcPr>
            <w:tcW w:w="4149" w:type="dxa"/>
            <w:vAlign w:val="center"/>
          </w:tcPr>
          <w:p>
            <w:pPr>
              <w:jc w:val="center"/>
              <w:rPr>
                <w:b/>
                <w:sz w:val="22"/>
                <w:szCs w:val="24"/>
              </w:rPr>
            </w:pPr>
            <w:r>
              <w:rPr>
                <w:rFonts w:hint="eastAsia"/>
                <w:b/>
                <w:sz w:val="22"/>
                <w:szCs w:val="24"/>
              </w:rPr>
              <w:t>采购质量激励类型</w:t>
            </w:r>
          </w:p>
        </w:tc>
        <w:tc>
          <w:tcPr>
            <w:tcW w:w="4721" w:type="dxa"/>
            <w:vAlign w:val="center"/>
          </w:tcPr>
          <w:p>
            <w:pPr>
              <w:jc w:val="center"/>
              <w:rPr>
                <w:b/>
                <w:sz w:val="22"/>
                <w:szCs w:val="24"/>
              </w:rPr>
            </w:pPr>
            <w:r>
              <w:rPr>
                <w:rFonts w:hint="eastAsia"/>
                <w:b/>
                <w:sz w:val="22"/>
                <w:szCs w:val="24"/>
              </w:rPr>
              <w:t>考核标准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pPr>
              <w:rPr>
                <w:b/>
                <w:sz w:val="22"/>
                <w:szCs w:val="24"/>
              </w:rPr>
            </w:pPr>
            <w:r>
              <w:rPr>
                <w:rFonts w:hint="eastAsia"/>
                <w:b/>
                <w:sz w:val="22"/>
                <w:szCs w:val="24"/>
              </w:rPr>
              <w:t>实物质量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pPr>
              <w:jc w:val="center"/>
              <w:rPr>
                <w:sz w:val="22"/>
                <w:szCs w:val="24"/>
              </w:rPr>
            </w:pPr>
            <w:r>
              <w:rPr>
                <w:rFonts w:hint="eastAsia"/>
                <w:sz w:val="22"/>
                <w:szCs w:val="24"/>
              </w:rPr>
              <w:t>重大质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pPr>
              <w:pStyle w:val="11"/>
              <w:numPr>
                <w:ilvl w:val="0"/>
                <w:numId w:val="1"/>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pPr>
              <w:pStyle w:val="11"/>
              <w:numPr>
                <w:ilvl w:val="0"/>
                <w:numId w:val="1"/>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pPr>
              <w:pStyle w:val="11"/>
              <w:numPr>
                <w:ilvl w:val="0"/>
                <w:numId w:val="1"/>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因乙方零部件质量问题造成主机厂停线，4S店、主机厂各环节整车排查。</w:t>
            </w:r>
          </w:p>
        </w:tc>
        <w:tc>
          <w:tcPr>
            <w:tcW w:w="4721" w:type="dxa"/>
            <w:vAlign w:val="center"/>
          </w:tcPr>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经评审后可停止供货</w:t>
            </w:r>
          </w:p>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pPr>
              <w:jc w:val="center"/>
              <w:rPr>
                <w:sz w:val="22"/>
                <w:szCs w:val="24"/>
              </w:rPr>
            </w:pPr>
            <w:r>
              <w:rPr>
                <w:rFonts w:hint="eastAsia"/>
                <w:sz w:val="22"/>
                <w:szCs w:val="24"/>
              </w:rPr>
              <w:t>严重质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经评审后可暂停装用</w:t>
            </w:r>
          </w:p>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pPr>
              <w:jc w:val="center"/>
              <w:rPr>
                <w:sz w:val="22"/>
                <w:szCs w:val="24"/>
              </w:rPr>
            </w:pPr>
          </w:p>
        </w:tc>
        <w:tc>
          <w:tcPr>
            <w:tcW w:w="4149" w:type="dxa"/>
            <w:vAlign w:val="center"/>
          </w:tcPr>
          <w:p>
            <w:pPr>
              <w:rPr>
                <w:sz w:val="22"/>
                <w:szCs w:val="24"/>
              </w:rPr>
            </w:pPr>
            <w:r>
              <w:rPr>
                <w:rFonts w:hint="eastAsia"/>
                <w:sz w:val="22"/>
                <w:szCs w:val="24"/>
              </w:rPr>
              <w:t>乙方零部件质量问题导致甲方甩件生产，或成品批量更换、返修。</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pPr>
              <w:jc w:val="center"/>
              <w:rPr>
                <w:sz w:val="22"/>
                <w:szCs w:val="24"/>
              </w:rPr>
            </w:pPr>
            <w:r>
              <w:rPr>
                <w:rFonts w:hint="eastAsia"/>
                <w:sz w:val="22"/>
                <w:szCs w:val="24"/>
              </w:rPr>
              <w:t>一般质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乙方零部件质量问题造成甲方生产、物流抱怨，严重影响甲方正常生产秩序。</w:t>
            </w:r>
          </w:p>
        </w:tc>
        <w:tc>
          <w:tcPr>
            <w:tcW w:w="4721" w:type="dxa"/>
            <w:vAlign w:val="center"/>
          </w:tcPr>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pPr>
              <w:jc w:val="center"/>
              <w:rPr>
                <w:sz w:val="22"/>
                <w:szCs w:val="24"/>
              </w:rPr>
            </w:pPr>
            <w:r>
              <w:rPr>
                <w:rFonts w:hint="eastAsia"/>
                <w:sz w:val="22"/>
                <w:szCs w:val="24"/>
              </w:rPr>
              <w:t>市场三包</w:t>
            </w:r>
          </w:p>
        </w:tc>
        <w:tc>
          <w:tcPr>
            <w:tcW w:w="4149" w:type="dxa"/>
            <w:vAlign w:val="center"/>
          </w:tcPr>
          <w:p>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pPr>
              <w:pStyle w:val="11"/>
              <w:numPr>
                <w:ilvl w:val="0"/>
                <w:numId w:val="5"/>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pPr>
              <w:pStyle w:val="11"/>
              <w:numPr>
                <w:ilvl w:val="0"/>
                <w:numId w:val="0"/>
              </w:numPr>
              <w:ind w:leftChars="0"/>
              <w:rPr>
                <w:rFonts w:asciiTheme="minorEastAsia" w:hAnsiTheme="minorEastAsia"/>
                <w:color w:val="FF0000"/>
                <w:sz w:val="22"/>
                <w:szCs w:val="24"/>
              </w:rPr>
            </w:pPr>
          </w:p>
          <w:p>
            <w:pPr>
              <w:pStyle w:val="11"/>
              <w:numPr>
                <w:ilvl w:val="0"/>
                <w:numId w:val="5"/>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pPr>
              <w:jc w:val="center"/>
              <w:rPr>
                <w:sz w:val="22"/>
                <w:szCs w:val="24"/>
              </w:rPr>
            </w:pPr>
            <w:r>
              <w:rPr>
                <w:rFonts w:hint="eastAsia"/>
                <w:sz w:val="22"/>
                <w:szCs w:val="24"/>
              </w:rPr>
              <w:t>质量改进</w:t>
            </w:r>
          </w:p>
        </w:tc>
        <w:tc>
          <w:tcPr>
            <w:tcW w:w="4149" w:type="dxa"/>
            <w:vAlign w:val="center"/>
          </w:tcPr>
          <w:p>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同类问题整改验收后半年内重复发生。</w:t>
            </w:r>
          </w:p>
        </w:tc>
        <w:tc>
          <w:tcPr>
            <w:tcW w:w="4721" w:type="dxa"/>
            <w:vAlign w:val="center"/>
          </w:tcPr>
          <w:p>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可以停止供货</w:t>
            </w:r>
          </w:p>
          <w:p>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pPr>
              <w:rPr>
                <w:sz w:val="22"/>
                <w:szCs w:val="24"/>
              </w:rPr>
            </w:pPr>
            <w:r>
              <w:rPr>
                <w:rFonts w:hint="eastAsia"/>
                <w:sz w:val="22"/>
                <w:szCs w:val="24"/>
              </w:rPr>
              <w:t>响应速度</w:t>
            </w:r>
          </w:p>
        </w:tc>
        <w:tc>
          <w:tcPr>
            <w:tcW w:w="4149" w:type="dxa"/>
            <w:vAlign w:val="center"/>
          </w:tcPr>
          <w:p>
            <w:pPr>
              <w:rPr>
                <w:sz w:val="22"/>
                <w:szCs w:val="24"/>
              </w:rPr>
            </w:pPr>
            <w:r>
              <w:rPr>
                <w:rFonts w:hint="eastAsia"/>
                <w:sz w:val="22"/>
                <w:szCs w:val="24"/>
              </w:rPr>
              <w:t>零部件出现质量问题，要求到甲方现场确认，而没有及时到现场。</w:t>
            </w:r>
          </w:p>
        </w:tc>
        <w:tc>
          <w:tcPr>
            <w:tcW w:w="4721" w:type="dxa"/>
            <w:vMerge w:val="restart"/>
            <w:vAlign w:val="center"/>
          </w:tcPr>
          <w:p>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供应商现场服务不配合质量问题处理，不良品返修、周转不及时。</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甲方邀请参加的质量会议、专题汇报会议，供应商未按时参加。</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pPr>
              <w:rPr>
                <w:sz w:val="22"/>
                <w:szCs w:val="24"/>
              </w:rPr>
            </w:pPr>
            <w:r>
              <w:rPr>
                <w:rFonts w:hint="eastAsia"/>
                <w:sz w:val="22"/>
                <w:szCs w:val="24"/>
              </w:rPr>
              <w:t>4M变更</w:t>
            </w:r>
          </w:p>
        </w:tc>
        <w:tc>
          <w:tcPr>
            <w:tcW w:w="4149" w:type="dxa"/>
            <w:vAlign w:val="center"/>
          </w:tcPr>
          <w:p>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关键件考核20万/次</w:t>
            </w:r>
          </w:p>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pPr>
              <w:rPr>
                <w:sz w:val="22"/>
                <w:szCs w:val="24"/>
              </w:rPr>
            </w:pPr>
            <w:r>
              <w:rPr>
                <w:rFonts w:hint="eastAsia"/>
                <w:sz w:val="22"/>
                <w:szCs w:val="24"/>
              </w:rPr>
              <w:t>定期试验</w:t>
            </w:r>
          </w:p>
        </w:tc>
        <w:tc>
          <w:tcPr>
            <w:tcW w:w="4149" w:type="dxa"/>
            <w:vAlign w:val="center"/>
          </w:tcPr>
          <w:p>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关键件考核3万/次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一般件考核2万/次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pPr>
              <w:jc w:val="center"/>
              <w:rPr>
                <w:sz w:val="22"/>
                <w:szCs w:val="24"/>
              </w:rPr>
            </w:pPr>
          </w:p>
        </w:tc>
        <w:tc>
          <w:tcPr>
            <w:tcW w:w="4110" w:type="dxa"/>
            <w:vAlign w:val="center"/>
          </w:tcPr>
          <w:p>
            <w:pPr>
              <w:rPr>
                <w:sz w:val="22"/>
                <w:szCs w:val="24"/>
              </w:rPr>
            </w:pPr>
            <w:r>
              <w:rPr>
                <w:rFonts w:hint="eastAsia"/>
                <w:sz w:val="22"/>
                <w:szCs w:val="24"/>
              </w:rPr>
              <w:t>供应商PPM值目标见附件三，PPM值超标，且改善不积极。</w:t>
            </w:r>
          </w:p>
        </w:tc>
        <w:tc>
          <w:tcPr>
            <w:tcW w:w="4678" w:type="dxa"/>
            <w:vAlign w:val="center"/>
          </w:tcPr>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超标≤10%，不考核</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10%＜超标≤50% 考核500元</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50%＜超标≤100% 考核1仟元</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100%＜超标≤200% 考核3仟元</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因供应商零部件质量问题造成主机厂PPM值超标。</w:t>
            </w:r>
          </w:p>
        </w:tc>
        <w:tc>
          <w:tcPr>
            <w:tcW w:w="4678" w:type="dxa"/>
            <w:vAlign w:val="center"/>
          </w:tcPr>
          <w:p>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pPr>
              <w:rPr>
                <w:rFonts w:asciiTheme="minorEastAsia" w:hAnsiTheme="minorEastAsia"/>
                <w:b/>
                <w:sz w:val="22"/>
                <w:szCs w:val="24"/>
              </w:rPr>
            </w:pPr>
            <w:r>
              <w:rPr>
                <w:rFonts w:hint="eastAsia" w:asciiTheme="minorEastAsia" w:hAnsiTheme="minorEastAsia"/>
                <w:b/>
                <w:sz w:val="22"/>
                <w:szCs w:val="24"/>
              </w:rPr>
              <w:t>质量体系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3C</w:t>
            </w:r>
          </w:p>
          <w:p>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考核2万元/次</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3C件、环保法规件认证文件到期未及时更新。</w:t>
            </w:r>
          </w:p>
        </w:tc>
        <w:tc>
          <w:tcPr>
            <w:tcW w:w="4678" w:type="dxa"/>
            <w:vAlign w:val="center"/>
          </w:tcPr>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考核5万元/次</w:t>
            </w:r>
          </w:p>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pPr>
              <w:rPr>
                <w:sz w:val="22"/>
                <w:szCs w:val="24"/>
              </w:rPr>
            </w:pPr>
          </w:p>
        </w:tc>
        <w:tc>
          <w:tcPr>
            <w:tcW w:w="4110" w:type="dxa"/>
            <w:vAlign w:val="center"/>
          </w:tcPr>
          <w:p>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考核3万元/次</w:t>
            </w:r>
          </w:p>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pPr>
              <w:rPr>
                <w:sz w:val="22"/>
                <w:szCs w:val="24"/>
              </w:rPr>
            </w:pPr>
          </w:p>
        </w:tc>
        <w:tc>
          <w:tcPr>
            <w:tcW w:w="4110" w:type="dxa"/>
            <w:vAlign w:val="center"/>
          </w:tcPr>
          <w:p>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pPr>
              <w:jc w:val="center"/>
              <w:rPr>
                <w:sz w:val="22"/>
                <w:szCs w:val="24"/>
              </w:rPr>
            </w:pPr>
            <w:r>
              <w:rPr>
                <w:rFonts w:hint="eastAsia"/>
                <w:sz w:val="22"/>
                <w:szCs w:val="24"/>
              </w:rPr>
              <w:t>体系质量审核</w:t>
            </w:r>
          </w:p>
        </w:tc>
        <w:tc>
          <w:tcPr>
            <w:tcW w:w="4110" w:type="dxa"/>
            <w:vAlign w:val="center"/>
          </w:tcPr>
          <w:p>
            <w:pPr>
              <w:rPr>
                <w:sz w:val="22"/>
                <w:szCs w:val="24"/>
              </w:rPr>
            </w:pPr>
            <w:r>
              <w:rPr>
                <w:rFonts w:hint="eastAsia"/>
                <w:sz w:val="22"/>
                <w:szCs w:val="24"/>
              </w:rPr>
              <w:t>供应商体系、质量审核，现场与改善措施严重不符、弄虚作假。</w:t>
            </w:r>
          </w:p>
        </w:tc>
        <w:tc>
          <w:tcPr>
            <w:tcW w:w="4678" w:type="dxa"/>
            <w:vAlign w:val="center"/>
          </w:tcPr>
          <w:p>
            <w:pPr>
              <w:pStyle w:val="11"/>
              <w:numPr>
                <w:ilvl w:val="0"/>
                <w:numId w:val="17"/>
              </w:numPr>
              <w:ind w:firstLineChars="0"/>
              <w:rPr>
                <w:sz w:val="22"/>
                <w:szCs w:val="24"/>
              </w:rPr>
            </w:pPr>
            <w:r>
              <w:rPr>
                <w:rFonts w:hint="eastAsia"/>
                <w:sz w:val="22"/>
                <w:szCs w:val="24"/>
              </w:rPr>
              <w:t>考核5仟元/次</w:t>
            </w:r>
          </w:p>
          <w:p>
            <w:pPr>
              <w:pStyle w:val="11"/>
              <w:numPr>
                <w:ilvl w:val="0"/>
                <w:numId w:val="17"/>
              </w:numPr>
              <w:ind w:firstLineChars="0"/>
              <w:rPr>
                <w:sz w:val="22"/>
                <w:szCs w:val="24"/>
              </w:rPr>
            </w:pPr>
            <w:r>
              <w:rPr>
                <w:rFonts w:hint="eastAsia"/>
                <w:sz w:val="22"/>
                <w:szCs w:val="24"/>
              </w:rPr>
              <w:t>限期整改再验收仍不合格，可停止供货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pPr>
              <w:jc w:val="center"/>
              <w:rPr>
                <w:sz w:val="22"/>
                <w:szCs w:val="24"/>
                <w:highlight w:val="none"/>
              </w:rPr>
            </w:pPr>
            <w:r>
              <w:rPr>
                <w:rFonts w:hint="eastAsia"/>
                <w:sz w:val="22"/>
                <w:szCs w:val="24"/>
                <w:highlight w:val="none"/>
              </w:rPr>
              <w:t>质量体系认证</w:t>
            </w:r>
          </w:p>
        </w:tc>
        <w:tc>
          <w:tcPr>
            <w:tcW w:w="4110" w:type="dxa"/>
            <w:vAlign w:val="center"/>
          </w:tcPr>
          <w:p>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pPr>
              <w:pStyle w:val="11"/>
              <w:numPr>
                <w:ilvl w:val="0"/>
                <w:numId w:val="18"/>
              </w:numPr>
              <w:ind w:firstLineChars="0"/>
              <w:rPr>
                <w:sz w:val="22"/>
                <w:szCs w:val="24"/>
                <w:highlight w:val="none"/>
              </w:rPr>
            </w:pPr>
            <w:r>
              <w:rPr>
                <w:rFonts w:hint="eastAsia"/>
                <w:sz w:val="22"/>
                <w:szCs w:val="24"/>
                <w:highlight w:val="none"/>
              </w:rPr>
              <w:t>考核5仟元/次</w:t>
            </w:r>
          </w:p>
          <w:p>
            <w:pPr>
              <w:pStyle w:val="11"/>
              <w:numPr>
                <w:ilvl w:val="0"/>
                <w:numId w:val="18"/>
              </w:numPr>
              <w:ind w:firstLineChars="0"/>
              <w:rPr>
                <w:sz w:val="22"/>
                <w:szCs w:val="24"/>
                <w:highlight w:val="none"/>
              </w:rPr>
            </w:pPr>
            <w:r>
              <w:rPr>
                <w:rFonts w:hint="eastAsia"/>
                <w:sz w:val="22"/>
                <w:szCs w:val="24"/>
                <w:highlight w:val="none"/>
              </w:rPr>
              <w:t>限期仍未通过质量体系认证的，取消供货资格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pPr>
              <w:rPr>
                <w:b/>
                <w:sz w:val="22"/>
                <w:szCs w:val="24"/>
              </w:rPr>
            </w:pPr>
            <w:r>
              <w:rPr>
                <w:rFonts w:hint="eastAsia"/>
                <w:b/>
                <w:sz w:val="22"/>
                <w:szCs w:val="24"/>
              </w:rPr>
              <w:t>物流管理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pPr>
              <w:jc w:val="center"/>
              <w:rPr>
                <w:sz w:val="22"/>
                <w:szCs w:val="24"/>
              </w:rPr>
            </w:pPr>
            <w:r>
              <w:rPr>
                <w:rFonts w:hint="eastAsia"/>
                <w:sz w:val="22"/>
                <w:szCs w:val="24"/>
              </w:rPr>
              <w:t>不良品管理</w:t>
            </w:r>
          </w:p>
        </w:tc>
        <w:tc>
          <w:tcPr>
            <w:tcW w:w="4110" w:type="dxa"/>
            <w:vAlign w:val="center"/>
          </w:tcPr>
          <w:p>
            <w:pPr>
              <w:rPr>
                <w:sz w:val="22"/>
                <w:szCs w:val="24"/>
              </w:rPr>
            </w:pPr>
            <w:r>
              <w:rPr>
                <w:rFonts w:hint="eastAsia"/>
                <w:sz w:val="22"/>
                <w:szCs w:val="24"/>
              </w:rPr>
              <w:t>因供应商物流管理缺失，将荣昌退货的不合格品再次发货。</w:t>
            </w:r>
          </w:p>
        </w:tc>
        <w:tc>
          <w:tcPr>
            <w:tcW w:w="4678" w:type="dxa"/>
            <w:vAlign w:val="center"/>
          </w:tcPr>
          <w:p>
            <w:pPr>
              <w:pStyle w:val="11"/>
              <w:numPr>
                <w:ilvl w:val="0"/>
                <w:numId w:val="19"/>
              </w:numPr>
              <w:ind w:firstLineChars="0"/>
              <w:rPr>
                <w:sz w:val="22"/>
                <w:szCs w:val="24"/>
              </w:rPr>
            </w:pPr>
            <w:r>
              <w:rPr>
                <w:rFonts w:hint="eastAsia"/>
                <w:sz w:val="22"/>
                <w:szCs w:val="24"/>
              </w:rPr>
              <w:t>考核1万元/次</w:t>
            </w:r>
          </w:p>
          <w:p>
            <w:pPr>
              <w:pStyle w:val="11"/>
              <w:numPr>
                <w:ilvl w:val="0"/>
                <w:numId w:val="19"/>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pPr>
              <w:jc w:val="center"/>
              <w:rPr>
                <w:sz w:val="22"/>
                <w:szCs w:val="24"/>
              </w:rPr>
            </w:pPr>
            <w:r>
              <w:rPr>
                <w:rFonts w:hint="eastAsia"/>
                <w:sz w:val="22"/>
                <w:szCs w:val="24"/>
              </w:rPr>
              <w:t>标识</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先入先出或标识管理混乱，影响荣昌正常生产秩序。</w:t>
            </w:r>
          </w:p>
        </w:tc>
        <w:tc>
          <w:tcPr>
            <w:tcW w:w="4678" w:type="dxa"/>
            <w:vAlign w:val="center"/>
          </w:tcPr>
          <w:p>
            <w:pPr>
              <w:pStyle w:val="11"/>
              <w:numPr>
                <w:ilvl w:val="0"/>
                <w:numId w:val="20"/>
              </w:numPr>
              <w:ind w:firstLineChars="0"/>
              <w:rPr>
                <w:sz w:val="22"/>
                <w:szCs w:val="24"/>
              </w:rPr>
            </w:pPr>
            <w:r>
              <w:rPr>
                <w:rFonts w:hint="eastAsia"/>
                <w:sz w:val="22"/>
                <w:szCs w:val="24"/>
              </w:rPr>
              <w:t>考核5仟元/次</w:t>
            </w:r>
          </w:p>
          <w:p>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pPr>
              <w:jc w:val="center"/>
              <w:rPr>
                <w:sz w:val="22"/>
                <w:szCs w:val="24"/>
              </w:rPr>
            </w:pPr>
            <w:r>
              <w:rPr>
                <w:rFonts w:hint="eastAsia"/>
                <w:sz w:val="22"/>
                <w:szCs w:val="24"/>
              </w:rPr>
              <w:t>包装</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随意更换包装形式，物流过程中包装破损，影响产品正常使用</w:t>
            </w:r>
          </w:p>
        </w:tc>
        <w:tc>
          <w:tcPr>
            <w:tcW w:w="4678" w:type="dxa"/>
            <w:vAlign w:val="center"/>
          </w:tcPr>
          <w:p>
            <w:pPr>
              <w:pStyle w:val="11"/>
              <w:numPr>
                <w:ilvl w:val="0"/>
                <w:numId w:val="21"/>
              </w:numPr>
              <w:ind w:firstLineChars="0"/>
              <w:rPr>
                <w:sz w:val="22"/>
                <w:szCs w:val="24"/>
              </w:rPr>
            </w:pPr>
            <w:r>
              <w:rPr>
                <w:rFonts w:hint="eastAsia"/>
                <w:sz w:val="22"/>
                <w:szCs w:val="24"/>
              </w:rPr>
              <w:t>来料拒检，直接退货</w:t>
            </w:r>
          </w:p>
          <w:p>
            <w:pPr>
              <w:pStyle w:val="11"/>
              <w:numPr>
                <w:ilvl w:val="0"/>
                <w:numId w:val="21"/>
              </w:numPr>
              <w:ind w:firstLineChars="0"/>
              <w:rPr>
                <w:sz w:val="22"/>
                <w:szCs w:val="24"/>
              </w:rPr>
            </w:pPr>
            <w:r>
              <w:rPr>
                <w:rFonts w:hint="eastAsia"/>
                <w:sz w:val="22"/>
                <w:szCs w:val="24"/>
              </w:rPr>
              <w:t>造成的停线损失由供应商承担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pPr>
              <w:rPr>
                <w:b/>
                <w:sz w:val="22"/>
                <w:szCs w:val="24"/>
              </w:rPr>
            </w:pPr>
            <w:r>
              <w:rPr>
                <w:rFonts w:hint="eastAsia"/>
                <w:b/>
                <w:sz w:val="22"/>
                <w:szCs w:val="24"/>
              </w:rPr>
              <w:t>售后服务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pPr>
              <w:jc w:val="center"/>
              <w:rPr>
                <w:sz w:val="22"/>
                <w:szCs w:val="24"/>
              </w:rPr>
            </w:pPr>
            <w:r>
              <w:rPr>
                <w:rFonts w:hint="eastAsia"/>
                <w:sz w:val="22"/>
                <w:szCs w:val="24"/>
              </w:rPr>
              <w:t>配合</w:t>
            </w:r>
          </w:p>
          <w:p>
            <w:pPr>
              <w:jc w:val="center"/>
              <w:rPr>
                <w:sz w:val="22"/>
                <w:szCs w:val="24"/>
              </w:rPr>
            </w:pPr>
            <w:r>
              <w:rPr>
                <w:rFonts w:hint="eastAsia"/>
                <w:sz w:val="22"/>
                <w:szCs w:val="24"/>
              </w:rPr>
              <w:t>态度</w:t>
            </w:r>
          </w:p>
        </w:tc>
        <w:tc>
          <w:tcPr>
            <w:tcW w:w="4110" w:type="dxa"/>
            <w:vAlign w:val="center"/>
          </w:tcPr>
          <w:p>
            <w:pPr>
              <w:rPr>
                <w:sz w:val="22"/>
                <w:szCs w:val="24"/>
              </w:rPr>
            </w:pPr>
            <w:r>
              <w:rPr>
                <w:rFonts w:hint="eastAsia"/>
                <w:sz w:val="22"/>
                <w:szCs w:val="24"/>
              </w:rPr>
              <w:t>供应商多次在沟通、响应、合作方面配合消极，态度恶劣。</w:t>
            </w:r>
          </w:p>
        </w:tc>
        <w:tc>
          <w:tcPr>
            <w:tcW w:w="4678" w:type="dxa"/>
            <w:vAlign w:val="center"/>
          </w:tcPr>
          <w:p>
            <w:pPr>
              <w:pStyle w:val="11"/>
              <w:numPr>
                <w:ilvl w:val="0"/>
                <w:numId w:val="22"/>
              </w:numPr>
              <w:ind w:firstLineChars="0"/>
              <w:rPr>
                <w:sz w:val="22"/>
                <w:szCs w:val="24"/>
              </w:rPr>
            </w:pPr>
            <w:r>
              <w:rPr>
                <w:rFonts w:hint="eastAsia"/>
                <w:sz w:val="22"/>
                <w:szCs w:val="24"/>
              </w:rPr>
              <w:t>考核1仟元</w:t>
            </w:r>
          </w:p>
          <w:p>
            <w:pPr>
              <w:pStyle w:val="11"/>
              <w:numPr>
                <w:ilvl w:val="0"/>
                <w:numId w:val="22"/>
              </w:numPr>
              <w:ind w:firstLineChars="0"/>
              <w:rPr>
                <w:sz w:val="22"/>
                <w:szCs w:val="24"/>
              </w:rPr>
            </w:pPr>
            <w:r>
              <w:rPr>
                <w:rFonts w:hint="eastAsia"/>
                <w:sz w:val="22"/>
                <w:szCs w:val="24"/>
              </w:rPr>
              <w:t>影响严重时可停止供货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pPr>
              <w:jc w:val="center"/>
              <w:rPr>
                <w:sz w:val="22"/>
                <w:szCs w:val="24"/>
              </w:rPr>
            </w:pPr>
            <w:r>
              <w:rPr>
                <w:rFonts w:hint="eastAsia"/>
                <w:sz w:val="22"/>
                <w:szCs w:val="24"/>
              </w:rPr>
              <w:t>现场</w:t>
            </w:r>
          </w:p>
          <w:p>
            <w:pPr>
              <w:jc w:val="center"/>
              <w:rPr>
                <w:sz w:val="22"/>
                <w:szCs w:val="24"/>
              </w:rPr>
            </w:pPr>
            <w:r>
              <w:rPr>
                <w:rFonts w:hint="eastAsia"/>
                <w:sz w:val="22"/>
                <w:szCs w:val="24"/>
              </w:rPr>
              <w:t>服务</w:t>
            </w:r>
          </w:p>
        </w:tc>
        <w:tc>
          <w:tcPr>
            <w:tcW w:w="4110" w:type="dxa"/>
            <w:vAlign w:val="center"/>
          </w:tcPr>
          <w:p>
            <w:pPr>
              <w:rPr>
                <w:sz w:val="22"/>
                <w:szCs w:val="24"/>
              </w:rPr>
            </w:pPr>
            <w:r>
              <w:rPr>
                <w:rFonts w:hint="eastAsia"/>
                <w:sz w:val="22"/>
                <w:szCs w:val="24"/>
              </w:rPr>
              <w:t>供应商产品质量不稳定，且不按荣昌要求派驻现场服务。</w:t>
            </w:r>
          </w:p>
        </w:tc>
        <w:tc>
          <w:tcPr>
            <w:tcW w:w="4678" w:type="dxa"/>
            <w:vAlign w:val="center"/>
          </w:tcPr>
          <w:p>
            <w:pPr>
              <w:pStyle w:val="11"/>
              <w:numPr>
                <w:ilvl w:val="0"/>
                <w:numId w:val="23"/>
              </w:numPr>
              <w:ind w:firstLineChars="0"/>
              <w:rPr>
                <w:sz w:val="22"/>
                <w:szCs w:val="24"/>
              </w:rPr>
            </w:pPr>
            <w:r>
              <w:rPr>
                <w:rFonts w:hint="eastAsia"/>
                <w:sz w:val="22"/>
                <w:szCs w:val="24"/>
              </w:rPr>
              <w:t>考核3仟元</w:t>
            </w:r>
          </w:p>
          <w:p>
            <w:pPr>
              <w:pStyle w:val="11"/>
              <w:numPr>
                <w:ilvl w:val="0"/>
                <w:numId w:val="23"/>
              </w:numPr>
              <w:ind w:firstLineChars="0"/>
              <w:rPr>
                <w:sz w:val="22"/>
                <w:szCs w:val="24"/>
              </w:rPr>
            </w:pPr>
            <w:r>
              <w:rPr>
                <w:rFonts w:hint="eastAsia"/>
                <w:sz w:val="22"/>
                <w:szCs w:val="24"/>
              </w:rPr>
              <w:t>影响荣昌正常生产时可停止供货</w:t>
            </w:r>
          </w:p>
        </w:tc>
      </w:tr>
    </w:tbl>
    <w:p>
      <w:pPr>
        <w:jc w:val="center"/>
        <w:rPr>
          <w:b/>
          <w:sz w:val="28"/>
          <w:szCs w:val="24"/>
        </w:rPr>
      </w:pPr>
    </w:p>
    <w:p>
      <w:pPr>
        <w:rPr>
          <w:b/>
          <w:sz w:val="22"/>
          <w:szCs w:val="22"/>
        </w:rPr>
      </w:pPr>
    </w:p>
    <w:p>
      <w:pPr>
        <w:rPr>
          <w:b/>
          <w:sz w:val="22"/>
          <w:szCs w:val="22"/>
        </w:rPr>
      </w:pPr>
    </w:p>
    <w:p>
      <w:pPr>
        <w:rPr>
          <w:b/>
          <w:sz w:val="22"/>
          <w:szCs w:val="22"/>
        </w:rPr>
      </w:pPr>
      <w:r>
        <w:rPr>
          <w:rFonts w:hint="eastAsia"/>
          <w:b/>
          <w:sz w:val="22"/>
          <w:szCs w:val="22"/>
        </w:rPr>
        <w:t>附件二</w:t>
      </w:r>
    </w:p>
    <w:p>
      <w:pPr>
        <w:jc w:val="center"/>
        <w:rPr>
          <w:b/>
          <w:sz w:val="32"/>
          <w:szCs w:val="24"/>
        </w:rPr>
      </w:pPr>
      <w:r>
        <w:rPr>
          <w:rFonts w:hint="eastAsia"/>
          <w:b/>
          <w:sz w:val="32"/>
          <w:szCs w:val="24"/>
        </w:rPr>
        <w:t>零部件重要度分类</w:t>
      </w:r>
    </w:p>
    <w:p>
      <w:pPr>
        <w:spacing w:before="156" w:beforeLines="50" w:after="156" w:afterLines="50"/>
        <w:rPr>
          <w:b/>
          <w:sz w:val="28"/>
          <w:szCs w:val="24"/>
        </w:rPr>
      </w:pPr>
    </w:p>
    <w:p>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pPr>
              <w:spacing w:before="156" w:beforeLines="50" w:after="156" w:afterLines="50"/>
              <w:jc w:val="center"/>
              <w:rPr>
                <w:b/>
                <w:sz w:val="24"/>
                <w:szCs w:val="24"/>
              </w:rPr>
            </w:pPr>
            <w:r>
              <w:rPr>
                <w:rFonts w:hint="eastAsia"/>
                <w:b/>
                <w:sz w:val="24"/>
                <w:szCs w:val="24"/>
              </w:rPr>
              <w:t>序号</w:t>
            </w:r>
          </w:p>
        </w:tc>
        <w:tc>
          <w:tcPr>
            <w:tcW w:w="1562" w:type="dxa"/>
            <w:vAlign w:val="center"/>
          </w:tcPr>
          <w:p>
            <w:pPr>
              <w:spacing w:before="156" w:beforeLines="50" w:after="156" w:afterLines="50"/>
              <w:jc w:val="center"/>
              <w:rPr>
                <w:b/>
                <w:sz w:val="24"/>
                <w:szCs w:val="24"/>
              </w:rPr>
            </w:pPr>
            <w:r>
              <w:rPr>
                <w:rFonts w:hint="eastAsia"/>
                <w:b/>
                <w:sz w:val="24"/>
                <w:szCs w:val="24"/>
              </w:rPr>
              <w:t>重要度分类</w:t>
            </w:r>
          </w:p>
        </w:tc>
        <w:tc>
          <w:tcPr>
            <w:tcW w:w="3594" w:type="dxa"/>
            <w:vAlign w:val="center"/>
          </w:tcPr>
          <w:p>
            <w:pPr>
              <w:spacing w:before="156" w:beforeLines="50" w:after="156" w:afterLines="50"/>
              <w:jc w:val="center"/>
              <w:rPr>
                <w:b/>
                <w:sz w:val="24"/>
                <w:szCs w:val="24"/>
              </w:rPr>
            </w:pPr>
            <w:r>
              <w:rPr>
                <w:rFonts w:hint="eastAsia"/>
                <w:b/>
                <w:sz w:val="24"/>
                <w:szCs w:val="24"/>
              </w:rPr>
              <w:t>分类标准</w:t>
            </w:r>
          </w:p>
        </w:tc>
        <w:tc>
          <w:tcPr>
            <w:tcW w:w="4220" w:type="dxa"/>
            <w:vAlign w:val="center"/>
          </w:tcPr>
          <w:p>
            <w:pPr>
              <w:spacing w:before="156" w:beforeLines="50" w:after="156" w:afterLines="50"/>
              <w:jc w:val="center"/>
              <w:rPr>
                <w:b/>
                <w:sz w:val="24"/>
                <w:szCs w:val="24"/>
              </w:rPr>
            </w:pPr>
            <w:r>
              <w:rPr>
                <w:rFonts w:hint="eastAsia"/>
                <w:b/>
                <w:sz w:val="24"/>
                <w:szCs w:val="24"/>
              </w:rPr>
              <w:t>座椅零部件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pPr>
              <w:spacing w:before="156" w:beforeLines="50" w:after="156" w:afterLines="50"/>
              <w:jc w:val="center"/>
              <w:rPr>
                <w:sz w:val="24"/>
                <w:szCs w:val="24"/>
              </w:rPr>
            </w:pPr>
            <w:r>
              <w:rPr>
                <w:rFonts w:hint="eastAsia"/>
                <w:sz w:val="24"/>
                <w:szCs w:val="24"/>
              </w:rPr>
              <w:t>重要件</w:t>
            </w:r>
          </w:p>
        </w:tc>
        <w:tc>
          <w:tcPr>
            <w:tcW w:w="3594"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pPr>
              <w:spacing w:before="156" w:beforeLines="50" w:after="156" w:afterLines="50"/>
              <w:jc w:val="center"/>
              <w:rPr>
                <w:sz w:val="24"/>
                <w:szCs w:val="24"/>
              </w:rPr>
            </w:pPr>
            <w:r>
              <w:rPr>
                <w:rFonts w:hint="eastAsia"/>
                <w:sz w:val="24"/>
                <w:szCs w:val="24"/>
              </w:rPr>
              <w:t>一般件</w:t>
            </w:r>
          </w:p>
        </w:tc>
        <w:tc>
          <w:tcPr>
            <w:tcW w:w="3594" w:type="dxa"/>
            <w:vAlign w:val="center"/>
          </w:tcPr>
          <w:p>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pPr>
              <w:spacing w:before="156" w:beforeLines="50" w:after="156" w:afterLines="50"/>
              <w:rPr>
                <w:sz w:val="24"/>
                <w:szCs w:val="24"/>
              </w:rPr>
            </w:pPr>
            <w:r>
              <w:rPr>
                <w:rFonts w:hint="eastAsia"/>
                <w:sz w:val="24"/>
                <w:szCs w:val="24"/>
              </w:rPr>
              <w:t>包装箱、防尘袋、无纺布等</w:t>
            </w:r>
          </w:p>
        </w:tc>
      </w:tr>
    </w:tbl>
    <w:p>
      <w:pPr>
        <w:spacing w:before="156" w:beforeLines="50" w:after="156" w:afterLines="50"/>
        <w:rPr>
          <w:b/>
          <w:sz w:val="28"/>
          <w:szCs w:val="24"/>
        </w:rPr>
      </w:pPr>
    </w:p>
    <w:p>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pPr>
              <w:spacing w:before="156" w:beforeLines="50" w:after="156" w:afterLines="50"/>
              <w:jc w:val="center"/>
              <w:rPr>
                <w:b/>
                <w:sz w:val="24"/>
                <w:szCs w:val="24"/>
              </w:rPr>
            </w:pPr>
            <w:r>
              <w:rPr>
                <w:rFonts w:hint="eastAsia"/>
                <w:b/>
                <w:sz w:val="24"/>
                <w:szCs w:val="24"/>
              </w:rPr>
              <w:t>序号</w:t>
            </w:r>
          </w:p>
        </w:tc>
        <w:tc>
          <w:tcPr>
            <w:tcW w:w="1574" w:type="dxa"/>
            <w:vAlign w:val="center"/>
          </w:tcPr>
          <w:p>
            <w:pPr>
              <w:spacing w:before="156" w:beforeLines="50" w:after="156" w:afterLines="50"/>
              <w:jc w:val="center"/>
              <w:rPr>
                <w:b/>
                <w:sz w:val="24"/>
                <w:szCs w:val="24"/>
              </w:rPr>
            </w:pPr>
            <w:r>
              <w:rPr>
                <w:rFonts w:hint="eastAsia"/>
                <w:b/>
                <w:sz w:val="24"/>
                <w:szCs w:val="24"/>
              </w:rPr>
              <w:t>重要度分类</w:t>
            </w:r>
          </w:p>
        </w:tc>
        <w:tc>
          <w:tcPr>
            <w:tcW w:w="3622" w:type="dxa"/>
            <w:vAlign w:val="center"/>
          </w:tcPr>
          <w:p>
            <w:pPr>
              <w:spacing w:before="156" w:beforeLines="50" w:after="156" w:afterLines="50"/>
              <w:jc w:val="center"/>
              <w:rPr>
                <w:b/>
                <w:sz w:val="24"/>
                <w:szCs w:val="24"/>
              </w:rPr>
            </w:pPr>
            <w:r>
              <w:rPr>
                <w:rFonts w:hint="eastAsia"/>
                <w:b/>
                <w:sz w:val="24"/>
                <w:szCs w:val="24"/>
              </w:rPr>
              <w:t>分类标准</w:t>
            </w:r>
          </w:p>
        </w:tc>
        <w:tc>
          <w:tcPr>
            <w:tcW w:w="4253" w:type="dxa"/>
            <w:vAlign w:val="center"/>
          </w:tcPr>
          <w:p>
            <w:pPr>
              <w:spacing w:before="156" w:beforeLines="50" w:after="156" w:afterLines="50"/>
              <w:jc w:val="center"/>
              <w:rPr>
                <w:b/>
                <w:sz w:val="24"/>
                <w:szCs w:val="24"/>
              </w:rPr>
            </w:pPr>
            <w:r>
              <w:rPr>
                <w:rFonts w:hint="eastAsia"/>
                <w:b/>
                <w:sz w:val="24"/>
                <w:szCs w:val="24"/>
              </w:rPr>
              <w:t>灯镜零部件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pPr>
              <w:spacing w:before="156" w:beforeLines="50" w:after="156" w:afterLines="50"/>
              <w:jc w:val="center"/>
              <w:rPr>
                <w:sz w:val="24"/>
                <w:szCs w:val="24"/>
              </w:rPr>
            </w:pPr>
            <w:r>
              <w:rPr>
                <w:rFonts w:hint="eastAsia"/>
                <w:sz w:val="24"/>
                <w:szCs w:val="24"/>
              </w:rPr>
              <w:t>关键件</w:t>
            </w:r>
          </w:p>
        </w:tc>
        <w:tc>
          <w:tcPr>
            <w:tcW w:w="3622" w:type="dxa"/>
            <w:vAlign w:val="center"/>
          </w:tcPr>
          <w:p>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pPr>
              <w:spacing w:before="156" w:beforeLines="50" w:after="156" w:afterLines="50"/>
              <w:rPr>
                <w:sz w:val="24"/>
                <w:szCs w:val="24"/>
              </w:rPr>
            </w:pPr>
            <w:r>
              <w:rPr>
                <w:rFonts w:hint="eastAsia"/>
                <w:sz w:val="24"/>
                <w:szCs w:val="24"/>
              </w:rPr>
              <w:t>注塑料、镜臂骨架、转轴、调节机构、镜片、弹簧、线束、双面胶、加热片等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pPr>
              <w:spacing w:before="156" w:beforeLines="50" w:after="156" w:afterLines="50"/>
              <w:jc w:val="center"/>
              <w:rPr>
                <w:sz w:val="24"/>
                <w:szCs w:val="24"/>
              </w:rPr>
            </w:pPr>
            <w:r>
              <w:rPr>
                <w:rFonts w:hint="eastAsia"/>
                <w:sz w:val="24"/>
                <w:szCs w:val="24"/>
              </w:rPr>
              <w:t>重要件</w:t>
            </w:r>
          </w:p>
        </w:tc>
        <w:tc>
          <w:tcPr>
            <w:tcW w:w="3622"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pPr>
              <w:spacing w:before="156" w:beforeLines="50" w:after="156" w:afterLines="50"/>
              <w:rPr>
                <w:sz w:val="24"/>
                <w:szCs w:val="24"/>
              </w:rPr>
            </w:pPr>
            <w:r>
              <w:rPr>
                <w:rFonts w:hint="eastAsia"/>
                <w:sz w:val="24"/>
                <w:szCs w:val="24"/>
              </w:rPr>
              <w:t>镜壳、镜托、镜杆、镜座、铰链、安装块、阻尼片、胶垫、标准件等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pPr>
              <w:spacing w:before="156" w:beforeLines="50" w:after="156" w:afterLines="50"/>
              <w:jc w:val="center"/>
              <w:rPr>
                <w:sz w:val="24"/>
                <w:szCs w:val="24"/>
              </w:rPr>
            </w:pPr>
            <w:r>
              <w:rPr>
                <w:rFonts w:hint="eastAsia"/>
                <w:sz w:val="24"/>
                <w:szCs w:val="24"/>
              </w:rPr>
              <w:t>一般件</w:t>
            </w:r>
          </w:p>
        </w:tc>
        <w:tc>
          <w:tcPr>
            <w:tcW w:w="3622" w:type="dxa"/>
            <w:vAlign w:val="center"/>
          </w:tcPr>
          <w:p>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pPr>
              <w:spacing w:before="156" w:beforeLines="50" w:after="156" w:afterLines="50"/>
              <w:rPr>
                <w:sz w:val="24"/>
                <w:szCs w:val="24"/>
              </w:rPr>
            </w:pPr>
            <w:r>
              <w:rPr>
                <w:rFonts w:hint="eastAsia"/>
                <w:sz w:val="24"/>
                <w:szCs w:val="24"/>
              </w:rPr>
              <w:t>包装箱、防尘袋、无纺布、标识等</w:t>
            </w:r>
          </w:p>
        </w:tc>
      </w:tr>
    </w:tbl>
    <w:p>
      <w:pPr>
        <w:spacing w:before="156" w:beforeLines="50" w:after="156" w:afterLines="50"/>
        <w:rPr>
          <w:b/>
          <w:sz w:val="28"/>
          <w:szCs w:val="24"/>
          <w:highlight w:val="yellow"/>
        </w:rPr>
      </w:pPr>
    </w:p>
    <w:p>
      <w:pPr>
        <w:spacing w:before="156" w:beforeLines="50" w:after="156" w:afterLines="50"/>
        <w:rPr>
          <w:b/>
          <w:sz w:val="28"/>
          <w:szCs w:val="24"/>
          <w:highlight w:val="yellow"/>
        </w:rPr>
      </w:pPr>
    </w:p>
    <w:p>
      <w:pPr>
        <w:rPr>
          <w:b/>
          <w:sz w:val="28"/>
          <w:szCs w:val="24"/>
          <w:highlight w:val="yellow"/>
        </w:rPr>
      </w:pPr>
    </w:p>
    <w:p>
      <w:pPr>
        <w:rPr>
          <w:b/>
          <w:sz w:val="28"/>
          <w:szCs w:val="24"/>
          <w:highlight w:val="yellow"/>
        </w:rPr>
      </w:pPr>
    </w:p>
    <w:p>
      <w:pPr>
        <w:rPr>
          <w:b/>
          <w:sz w:val="28"/>
          <w:szCs w:val="24"/>
          <w:highlight w:val="yellow"/>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b/>
          <w:sz w:val="28"/>
          <w:szCs w:val="24"/>
          <w:highlight w:val="none"/>
        </w:rPr>
      </w:pPr>
      <w:r>
        <w:rPr>
          <w:rFonts w:hint="eastAsia"/>
          <w:b/>
          <w:sz w:val="28"/>
          <w:szCs w:val="24"/>
          <w:highlight w:val="none"/>
        </w:rPr>
        <w:t>附件三</w:t>
      </w:r>
    </w:p>
    <w:p>
      <w:pPr>
        <w:jc w:val="center"/>
        <w:rPr>
          <w:b/>
          <w:sz w:val="28"/>
          <w:szCs w:val="24"/>
          <w:highlight w:val="none"/>
        </w:rPr>
      </w:pPr>
    </w:p>
    <w:p>
      <w:pPr>
        <w:jc w:val="center"/>
        <w:rPr>
          <w:b/>
          <w:sz w:val="28"/>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bookmarkStart w:id="0" w:name="_GoBack"/>
      <w:bookmarkEnd w:id="0"/>
    </w:p>
    <w:p>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序号</w:t>
            </w:r>
          </w:p>
        </w:tc>
        <w:tc>
          <w:tcPr>
            <w:tcW w:w="5464" w:type="dxa"/>
            <w:vAlign w:val="center"/>
          </w:tcPr>
          <w:p>
            <w:pPr>
              <w:jc w:val="center"/>
              <w:rPr>
                <w:b/>
                <w:sz w:val="28"/>
                <w:szCs w:val="24"/>
                <w:highlight w:val="none"/>
              </w:rPr>
            </w:pPr>
            <w:r>
              <w:rPr>
                <w:rFonts w:hint="eastAsia"/>
                <w:b/>
                <w:sz w:val="28"/>
                <w:szCs w:val="24"/>
                <w:highlight w:val="none"/>
              </w:rPr>
              <w:t>供货零部件类别</w:t>
            </w:r>
          </w:p>
        </w:tc>
        <w:tc>
          <w:tcPr>
            <w:tcW w:w="3287" w:type="dxa"/>
            <w:vAlign w:val="center"/>
          </w:tcPr>
          <w:p>
            <w:pPr>
              <w:jc w:val="center"/>
              <w:rPr>
                <w:b/>
                <w:sz w:val="28"/>
                <w:szCs w:val="24"/>
                <w:highlight w:val="none"/>
              </w:rPr>
            </w:pPr>
            <w:r>
              <w:rPr>
                <w:rFonts w:hint="eastAsia"/>
                <w:b/>
                <w:sz w:val="28"/>
                <w:szCs w:val="24"/>
                <w:highlight w:val="none"/>
              </w:rPr>
              <w:t>质量目标（PPM）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1</w:t>
            </w:r>
          </w:p>
        </w:tc>
        <w:tc>
          <w:tcPr>
            <w:tcW w:w="5464" w:type="dxa"/>
            <w:vAlign w:val="center"/>
          </w:tcPr>
          <w:p>
            <w:pPr>
              <w:jc w:val="center"/>
              <w:rPr>
                <w:b/>
                <w:sz w:val="28"/>
                <w:szCs w:val="24"/>
                <w:highlight w:val="none"/>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2</w:t>
            </w:r>
          </w:p>
        </w:tc>
        <w:tc>
          <w:tcPr>
            <w:tcW w:w="5464" w:type="dxa"/>
            <w:vAlign w:val="center"/>
          </w:tcPr>
          <w:p>
            <w:pPr>
              <w:jc w:val="center"/>
              <w:rPr>
                <w:b/>
                <w:sz w:val="28"/>
                <w:szCs w:val="24"/>
                <w:highlight w:val="none"/>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3</w:t>
            </w:r>
          </w:p>
        </w:tc>
        <w:tc>
          <w:tcPr>
            <w:tcW w:w="5464" w:type="dxa"/>
            <w:vAlign w:val="center"/>
          </w:tcPr>
          <w:p>
            <w:pPr>
              <w:jc w:val="center"/>
              <w:rPr>
                <w:b/>
                <w:sz w:val="28"/>
                <w:szCs w:val="24"/>
                <w:highlight w:val="none"/>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w:t>
            </w:r>
          </w:p>
        </w:tc>
        <w:tc>
          <w:tcPr>
            <w:tcW w:w="5464" w:type="dxa"/>
            <w:vAlign w:val="center"/>
          </w:tcPr>
          <w:p>
            <w:pPr>
              <w:jc w:val="center"/>
              <w:rPr>
                <w:b/>
                <w:sz w:val="28"/>
                <w:szCs w:val="24"/>
                <w:highlight w:val="none"/>
              </w:rPr>
            </w:pPr>
            <w:r>
              <w:rPr>
                <w:rFonts w:hint="eastAsia"/>
                <w:b/>
                <w:sz w:val="28"/>
                <w:szCs w:val="24"/>
                <w:highlight w:val="none"/>
              </w:rPr>
              <w:t>。。。</w:t>
            </w:r>
          </w:p>
        </w:tc>
        <w:tc>
          <w:tcPr>
            <w:tcW w:w="3287" w:type="dxa"/>
            <w:vAlign w:val="center"/>
          </w:tcPr>
          <w:p>
            <w:pPr>
              <w:jc w:val="center"/>
              <w:rPr>
                <w:b/>
                <w:sz w:val="28"/>
                <w:szCs w:val="24"/>
                <w:highlight w:val="none"/>
              </w:rPr>
            </w:pPr>
            <w:r>
              <w:rPr>
                <w:rFonts w:hint="eastAsia"/>
                <w:b/>
                <w:sz w:val="28"/>
                <w:szCs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pPr>
              <w:jc w:val="left"/>
              <w:rPr>
                <w:b/>
                <w:sz w:val="20"/>
                <w:szCs w:val="24"/>
                <w:highlight w:val="none"/>
              </w:rPr>
            </w:pPr>
            <w:r>
              <w:rPr>
                <w:rFonts w:hint="eastAsia"/>
                <w:b/>
                <w:sz w:val="20"/>
                <w:szCs w:val="24"/>
                <w:highlight w:val="none"/>
              </w:rPr>
              <w:t>注：1）PPM目标每月评价；</w:t>
            </w:r>
          </w:p>
          <w:p>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pPr>
        <w:spacing w:before="312" w:beforeLines="100" w:after="312" w:afterLines="100"/>
        <w:rPr>
          <w:b/>
          <w:sz w:val="28"/>
          <w:szCs w:val="24"/>
          <w:highlight w:val="none"/>
        </w:rPr>
      </w:pPr>
      <w:r>
        <w:rPr>
          <w:rFonts w:hint="eastAsia"/>
          <w:b/>
          <w:sz w:val="28"/>
          <w:szCs w:val="24"/>
          <w:highlight w:val="none"/>
        </w:rPr>
        <w:t>2、供应商质量体系认证</w:t>
      </w:r>
    </w:p>
    <w:p>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pPr>
        <w:spacing w:before="312" w:beforeLines="100" w:after="312" w:afterLines="100"/>
        <w:rPr>
          <w:b/>
          <w:sz w:val="28"/>
          <w:szCs w:val="24"/>
          <w:highlight w:val="none"/>
        </w:rPr>
      </w:pPr>
    </w:p>
    <w:p>
      <w:pPr>
        <w:spacing w:before="312" w:beforeLines="100" w:after="312" w:afterLines="100"/>
        <w:rPr>
          <w:b/>
          <w:sz w:val="28"/>
          <w:szCs w:val="24"/>
          <w:highlight w:val="none"/>
        </w:rPr>
      </w:pPr>
      <w:r>
        <w:rPr>
          <w:rFonts w:hint="eastAsia"/>
          <w:b/>
          <w:color w:val="FF0000"/>
          <w:sz w:val="28"/>
          <w:szCs w:val="24"/>
          <w:highlight w:val="none"/>
        </w:rPr>
        <w:t>附：质量体系证书复印件</w:t>
      </w:r>
    </w:p>
    <w:p>
      <w:pPr>
        <w:jc w:val="center"/>
        <w:rPr>
          <w:b/>
          <w:sz w:val="28"/>
          <w:szCs w:val="24"/>
          <w:highlight w:val="none"/>
        </w:rPr>
      </w:pPr>
    </w:p>
    <w:p>
      <w:pPr>
        <w:jc w:val="left"/>
        <w:rPr>
          <w:rFonts w:asciiTheme="minorEastAsia" w:hAnsiTheme="minorEastAsia"/>
          <w:b/>
          <w:sz w:val="24"/>
          <w:szCs w:val="20"/>
          <w:highlight w:val="none"/>
        </w:rPr>
      </w:pPr>
    </w:p>
    <w:p>
      <w:pPr>
        <w:jc w:val="center"/>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ZjI5ZmU4NWMwMjI1OTNkMzlhYjdiYjc3ZmYzZD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0624394B"/>
    <w:rsid w:val="16404921"/>
    <w:rsid w:val="23377E52"/>
    <w:rsid w:val="25E37C9D"/>
    <w:rsid w:val="2CEC7D13"/>
    <w:rsid w:val="325D08B2"/>
    <w:rsid w:val="3AD13623"/>
    <w:rsid w:val="49E67A53"/>
    <w:rsid w:val="5A7242AE"/>
    <w:rsid w:val="5B4014AE"/>
    <w:rsid w:val="6C7B513F"/>
    <w:rsid w:val="742E5A13"/>
    <w:rsid w:val="754F75F0"/>
    <w:rsid w:val="7AB00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paragraph" w:styleId="11">
    <w:name w:val="List Paragraph"/>
    <w:basedOn w:val="1"/>
    <w:qFormat/>
    <w:uiPriority w:val="34"/>
    <w:pPr>
      <w:ind w:firstLine="420" w:firstLineChars="200"/>
    </w:pPr>
  </w:style>
  <w:style w:type="paragraph" w:styleId="12">
    <w:name w:val="No Spacing"/>
    <w:link w:val="13"/>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6010</Words>
  <Characters>6284</Characters>
  <Lines>51</Lines>
  <Paragraphs>14</Paragraphs>
  <TotalTime>11</TotalTime>
  <ScaleCrop>false</ScaleCrop>
  <LinksUpToDate>false</LinksUpToDate>
  <CharactersWithSpaces>6907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2024-01-05T01:09:00Z</cp:lastPrinted>
  <dcterms:modified xsi:type="dcterms:W3CDTF">2024-03-06T00:25:56Z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6CD870C405294ED1A100F8F4C80FA8FB_13</vt:lpwstr>
  </property>
</Properties>
</file>