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bo-CN"/>
              </w:rPr>
              <w:t>2024年销售预算8300万元（其中出口车为6371万）：2月份销售额106.77万元，回款：39.36万元（2023年12月份提前回款）。</w:t>
            </w:r>
          </w:p>
          <w:p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豪瀚NX工装由主机厂统一厂家制作，。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2024款统帅更换面料：①产品立项定点②产品试装及定价。③批量供货。 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0" w:leftChars="0"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自适应：④提供样件做整车出口认证（2月20日），产品定价。⑤样件装车评审，问题点整改。⑥小批量验证。⑦批量供货。 </w:t>
            </w:r>
          </w:p>
          <w:p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numPr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2月27日与济南卡车公司法忠伟 正市中区吃饭  住宿费用167元。请领导确认！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2378B"/>
    <w:multiLevelType w:val="singleLevel"/>
    <w:tmpl w:val="F59237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53D7CBF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414D2811"/>
    <w:rsid w:val="45236272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13</TotalTime>
  <ScaleCrop>false</ScaleCrop>
  <LinksUpToDate>false</LinksUpToDate>
  <CharactersWithSpaces>299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2024-03-16T07:12:07Z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831EE238093C46D2A4451B747B72A753_12</vt:lpwstr>
  </property>
</Properties>
</file>