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</w:t>
            </w:r>
            <w:r>
              <w:rPr>
                <w:rFonts w:ascii="宋体" w:hAnsi="宋体"/>
                <w:kern w:val="0"/>
                <w:szCs w:val="20"/>
              </w:rPr>
              <w:t>01842</w:t>
            </w:r>
            <w:r>
              <w:rPr>
                <w:rFonts w:hint="eastAsia" w:ascii="宋体" w:hAnsi="宋体"/>
                <w:kern w:val="0"/>
                <w:szCs w:val="20"/>
              </w:rPr>
              <w:t>/SHT00</w:t>
            </w:r>
            <w:r>
              <w:rPr>
                <w:rFonts w:ascii="宋体" w:hAnsi="宋体"/>
                <w:kern w:val="0"/>
                <w:szCs w:val="20"/>
              </w:rPr>
              <w:t>16130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GB/T 6344-2008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</w:rPr>
              <w:t>背/座泡沫按照GB/T 6344-2008进行断裂伸长率检测，经检测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-353659359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≥115%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0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90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950"/>
              <w:gridCol w:w="56"/>
              <w:gridCol w:w="895"/>
              <w:gridCol w:w="111"/>
              <w:gridCol w:w="839"/>
              <w:gridCol w:w="167"/>
              <w:gridCol w:w="920"/>
              <w:gridCol w:w="86"/>
              <w:gridCol w:w="100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51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背泡沫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054-001-202404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103.06</w:t>
                  </w:r>
                </w:p>
              </w:tc>
              <w:tc>
                <w:tcPr>
                  <w:tcW w:w="951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108.68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115.14</w:t>
                  </w:r>
                </w:p>
              </w:tc>
              <w:tc>
                <w:tcPr>
                  <w:tcW w:w="1087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105.58</w:t>
                  </w:r>
                </w:p>
              </w:tc>
              <w:tc>
                <w:tcPr>
                  <w:tcW w:w="1092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121.50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108.68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座泡沫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054-002-202404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99.3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100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110.87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109.48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105.14</w:t>
                  </w:r>
                </w:p>
              </w:tc>
              <w:tc>
                <w:tcPr>
                  <w:tcW w:w="100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90.27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30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105.14</w:t>
                  </w:r>
                </w:p>
              </w:tc>
            </w:tr>
          </w:tbl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114300" distR="114300">
                  <wp:extent cx="2758440" cy="1953260"/>
                  <wp:effectExtent l="0" t="0" r="3810" b="889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37180" cy="1978025"/>
                  <wp:effectExtent l="0" t="0" r="1270" b="3175"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80" cy="19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0128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12734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D2DE5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55100"/>
    <w:rsid w:val="00E62B1E"/>
    <w:rsid w:val="00E94E15"/>
    <w:rsid w:val="00EB2A3D"/>
    <w:rsid w:val="00F26B63"/>
    <w:rsid w:val="00F528AD"/>
    <w:rsid w:val="00F53F2E"/>
    <w:rsid w:val="00F7110C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EC91389"/>
    <w:rsid w:val="1F5D7D23"/>
    <w:rsid w:val="1FD004F5"/>
    <w:rsid w:val="20653AE4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D953B3B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9CF59D7"/>
    <w:rsid w:val="3A0D261A"/>
    <w:rsid w:val="3AF15A98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D8C05C0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5307E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3C05A2C"/>
    <w:rsid w:val="75041948"/>
    <w:rsid w:val="753F5076"/>
    <w:rsid w:val="75CD2682"/>
    <w:rsid w:val="75D21A46"/>
    <w:rsid w:val="761E2EDE"/>
    <w:rsid w:val="76B21F70"/>
    <w:rsid w:val="774C5829"/>
    <w:rsid w:val="78C25DA2"/>
    <w:rsid w:val="7AA634A2"/>
    <w:rsid w:val="7AC028CA"/>
    <w:rsid w:val="7B564A57"/>
    <w:rsid w:val="7C091F3A"/>
    <w:rsid w:val="7C273CDA"/>
    <w:rsid w:val="7C287B50"/>
    <w:rsid w:val="7D603DDC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3C46-F148-4939-BF0B-6B8BED457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202</Words>
  <Characters>1152</Characters>
  <Lines>9</Lines>
  <Paragraphs>2</Paragraphs>
  <TotalTime>95</TotalTime>
  <ScaleCrop>false</ScaleCrop>
  <LinksUpToDate>false</LinksUpToDate>
  <CharactersWithSpaces>1352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2024-05-13T06:46:40Z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