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乙方：长春市天利得科技有限公司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统一社会信用代码：912201030923114975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color w:val="000000"/>
          <w:szCs w:val="24"/>
        </w:rPr>
        <w:t>春光华荣昌汽车部件有限公司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统一社会信用代码：91220101MA149JDC4T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100395.54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长春市天利得科技有限公司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color w:val="000000"/>
          <w:szCs w:val="24"/>
        </w:rPr>
        <w:t>春光华荣昌汽车部件有限公司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73A426A"/>
    <w:rsid w:val="0CE3000B"/>
    <w:rsid w:val="37F722EA"/>
    <w:rsid w:val="59BB7649"/>
    <w:rsid w:val="60467201"/>
    <w:rsid w:val="63205730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9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2024-05-20T01:59:05Z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B1401E1AC86143D0A1375CD03959280F_13</vt:lpwstr>
  </property>
</Properties>
</file>