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390"/>
        </w:tabs>
        <w:spacing w:before="240" w:line="276" w:lineRule="auto"/>
        <w:ind w:right="210"/>
        <w:jc w:val="center"/>
        <w:rPr>
          <w:rFonts w:cs="Times New Roman" w:asciiTheme="minorEastAsia" w:hAnsiTheme="minorEastAsia"/>
          <w:b/>
          <w:bCs/>
          <w:color w:val="000000" w:themeColor="text1"/>
          <w:sz w:val="32"/>
          <w:szCs w:val="32"/>
          <w:u w:val="single"/>
          <w14:textFill>
            <w14:solidFill>
              <w14:schemeClr w14:val="tx1"/>
            </w14:solidFill>
          </w14:textFill>
        </w:rPr>
      </w:pPr>
      <w:bookmarkStart w:id="0" w:name="_Hlk155619543"/>
      <w:r>
        <w:rPr>
          <w:rFonts w:hint="eastAsia" w:cs="Times New Roman" w:asciiTheme="minorEastAsia" w:hAnsiTheme="minorEastAsia"/>
          <w:b/>
          <w:bCs/>
          <w:color w:val="000000" w:themeColor="text1"/>
          <w:sz w:val="32"/>
          <w:szCs w:val="32"/>
          <w:u w:val="single"/>
          <w14:textFill>
            <w14:solidFill>
              <w14:schemeClr w14:val="tx1"/>
            </w14:solidFill>
          </w14:textFill>
        </w:rPr>
        <w:t>V</w:t>
      </w:r>
      <w:r>
        <w:rPr>
          <w:rFonts w:cs="Times New Roman" w:asciiTheme="minorEastAsia" w:hAnsiTheme="minorEastAsia"/>
          <w:b/>
          <w:bCs/>
          <w:color w:val="000000" w:themeColor="text1"/>
          <w:sz w:val="32"/>
          <w:szCs w:val="32"/>
          <w:u w:val="single"/>
          <w14:textFill>
            <w14:solidFill>
              <w14:schemeClr w14:val="tx1"/>
            </w14:solidFill>
          </w14:textFill>
        </w:rPr>
        <w:t>-R</w:t>
      </w:r>
      <w:r>
        <w:rPr>
          <w:rFonts w:hint="eastAsia" w:cs="Times New Roman" w:asciiTheme="minorEastAsia" w:hAnsiTheme="minorEastAsia"/>
          <w:b/>
          <w:bCs/>
          <w:color w:val="000000" w:themeColor="text1"/>
          <w:sz w:val="32"/>
          <w:szCs w:val="32"/>
          <w:u w:val="single"/>
          <w14:textFill>
            <w14:solidFill>
              <w14:schemeClr w14:val="tx1"/>
            </w14:solidFill>
          </w14:textFill>
        </w:rPr>
        <w:t>一体化物流模式费用补充协议</w:t>
      </w:r>
    </w:p>
    <w:p>
      <w:pPr>
        <w:widowControl/>
        <w:tabs>
          <w:tab w:val="left" w:pos="8390"/>
        </w:tabs>
        <w:spacing w:before="240" w:line="280" w:lineRule="exact"/>
        <w:ind w:left="5880" w:leftChars="2800" w:right="-90" w:rightChars="-43"/>
        <w:rPr>
          <w:rFonts w:cs="Times New Roman" w:asciiTheme="minorEastAsia" w:hAnsiTheme="minorEastAsia"/>
          <w:bCs/>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合同编号：</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p>
    <w:p>
      <w:pPr>
        <w:widowControl/>
        <w:tabs>
          <w:tab w:val="left" w:pos="8390"/>
        </w:tabs>
        <w:spacing w:before="240" w:line="280" w:lineRule="exact"/>
        <w:ind w:left="5880" w:leftChars="2800" w:right="281" w:rightChars="134"/>
        <w:rPr>
          <w:rFonts w:cs="Times New Roman" w:asciiTheme="minorEastAsia" w:hAnsiTheme="minorEastAsia"/>
          <w:bCs/>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生效日期：</w:t>
      </w:r>
      <w:r>
        <w:rPr>
          <w:rFonts w:cs="Times New Roman" w:asciiTheme="minorEastAsia" w:hAnsiTheme="minorEastAsia"/>
          <w:bCs/>
          <w:color w:val="000000" w:themeColor="text1"/>
          <w:szCs w:val="21"/>
          <w:u w:val="single"/>
          <w14:textFill>
            <w14:solidFill>
              <w14:schemeClr w14:val="tx1"/>
            </w14:solidFill>
          </w14:textFill>
        </w:rPr>
        <w:t xml:space="preserve">  </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 xml:space="preserve">2024 </w:t>
      </w:r>
      <w:r>
        <w:rPr>
          <w:rFonts w:cs="Times New Roman" w:asciiTheme="minorEastAsia" w:hAnsiTheme="minorEastAsia"/>
          <w:bCs/>
          <w:color w:val="000000" w:themeColor="text1"/>
          <w:szCs w:val="21"/>
          <w:u w:val="single"/>
          <w14:textFill>
            <w14:solidFill>
              <w14:schemeClr w14:val="tx1"/>
            </w14:solidFill>
          </w14:textFill>
        </w:rPr>
        <w:t xml:space="preserve"> </w:t>
      </w:r>
      <w:r>
        <w:rPr>
          <w:rFonts w:cs="Times New Roman" w:asciiTheme="minorEastAsia" w:hAnsiTheme="minorEastAsia"/>
          <w:bCs/>
          <w:color w:val="000000" w:themeColor="text1"/>
          <w:szCs w:val="21"/>
          <w14:textFill>
            <w14:solidFill>
              <w14:schemeClr w14:val="tx1"/>
            </w14:solidFill>
          </w14:textFill>
        </w:rPr>
        <w:t>年</w:t>
      </w:r>
      <w:r>
        <w:rPr>
          <w:rFonts w:cs="Times New Roman" w:asciiTheme="minorEastAsia" w:hAnsiTheme="minorEastAsia"/>
          <w:bCs/>
          <w:color w:val="000000" w:themeColor="text1"/>
          <w:szCs w:val="21"/>
          <w:u w:val="single"/>
          <w14:textFill>
            <w14:solidFill>
              <w14:schemeClr w14:val="tx1"/>
            </w14:solidFill>
          </w14:textFill>
        </w:rPr>
        <w:t xml:space="preserve"> </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1</w:t>
      </w:r>
      <w:r>
        <w:rPr>
          <w:rFonts w:cs="Times New Roman" w:asciiTheme="minorEastAsia" w:hAnsiTheme="minorEastAsia"/>
          <w:bCs/>
          <w:color w:val="000000" w:themeColor="text1"/>
          <w:szCs w:val="21"/>
          <w:u w:val="single"/>
          <w14:textFill>
            <w14:solidFill>
              <w14:schemeClr w14:val="tx1"/>
            </w14:solidFill>
          </w14:textFill>
        </w:rPr>
        <w:t xml:space="preserve"> </w:t>
      </w:r>
      <w:r>
        <w:rPr>
          <w:rFonts w:cs="Times New Roman" w:asciiTheme="minorEastAsia" w:hAnsiTheme="minorEastAsia"/>
          <w:bCs/>
          <w:color w:val="000000" w:themeColor="text1"/>
          <w:szCs w:val="21"/>
          <w14:textFill>
            <w14:solidFill>
              <w14:schemeClr w14:val="tx1"/>
            </w14:solidFill>
          </w14:textFill>
        </w:rPr>
        <w:t>月</w:t>
      </w:r>
      <w:r>
        <w:rPr>
          <w:rFonts w:hint="eastAsia" w:cs="Times New Roman" w:asciiTheme="minorEastAsia" w:hAnsiTheme="minorEastAsia"/>
          <w:bCs/>
          <w:color w:val="000000" w:themeColor="text1"/>
          <w:szCs w:val="21"/>
          <w:u w:val="single"/>
          <w:lang w:val="en-US" w:eastAsia="zh-CN"/>
          <w14:textFill>
            <w14:solidFill>
              <w14:schemeClr w14:val="tx1"/>
            </w14:solidFill>
          </w14:textFill>
        </w:rPr>
        <w:t>29</w:t>
      </w:r>
      <w:r>
        <w:rPr>
          <w:rFonts w:cs="Times New Roman" w:asciiTheme="minorEastAsia" w:hAnsiTheme="minorEastAsia"/>
          <w:bCs/>
          <w:color w:val="000000" w:themeColor="text1"/>
          <w:szCs w:val="21"/>
          <w14:textFill>
            <w14:solidFill>
              <w14:schemeClr w14:val="tx1"/>
            </w14:solidFill>
          </w14:textFill>
        </w:rPr>
        <w:t>日</w:t>
      </w:r>
    </w:p>
    <w:p>
      <w:pPr>
        <w:widowControl/>
        <w:tabs>
          <w:tab w:val="left" w:pos="8390"/>
        </w:tabs>
        <w:spacing w:before="240" w:line="280" w:lineRule="exact"/>
        <w:ind w:left="5880" w:leftChars="2800" w:right="50" w:rightChars="24"/>
        <w:rPr>
          <w:rFonts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bCs/>
          <w:color w:val="000000" w:themeColor="text1"/>
          <w:szCs w:val="21"/>
          <w14:textFill>
            <w14:solidFill>
              <w14:schemeClr w14:val="tx1"/>
            </w14:solidFill>
          </w14:textFill>
        </w:rPr>
        <w:t>签订地点：</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北京市怀柔区</w:t>
      </w:r>
      <w:r>
        <w:rPr>
          <w:rFonts w:cs="Times New Roman" w:asciiTheme="minorEastAsia" w:hAnsiTheme="minorEastAsia"/>
          <w:color w:val="000000" w:themeColor="text1"/>
          <w:szCs w:val="21"/>
          <w:u w:val="single"/>
          <w14:textFill>
            <w14:solidFill>
              <w14:schemeClr w14:val="tx1"/>
            </w14:solidFill>
          </w14:textFill>
        </w:rPr>
        <w:t xml:space="preserve">    </w:t>
      </w:r>
    </w:p>
    <w:p>
      <w:pPr>
        <w:widowControl/>
        <w:tabs>
          <w:tab w:val="left" w:pos="8390"/>
        </w:tabs>
        <w:spacing w:line="280" w:lineRule="exact"/>
        <w:ind w:right="-249"/>
        <w:rPr>
          <w:szCs w:val="21"/>
        </w:rPr>
      </w:pPr>
      <w:r>
        <w:rPr>
          <w:rFonts w:cs="Times New Roman" w:asciiTheme="minorEastAsia" w:hAnsiTheme="minorEastAsia"/>
          <w:color w:val="000000" w:themeColor="text1"/>
          <w:szCs w:val="21"/>
          <w14:textFill>
            <w14:solidFill>
              <w14:schemeClr w14:val="tx1"/>
            </w14:solidFill>
          </w14:textFill>
        </w:rPr>
        <w:t>甲方：</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szCs w:val="21"/>
        </w:rPr>
        <w:t>（零部件供应商）</w:t>
      </w:r>
      <w:bookmarkStart w:id="5" w:name="_GoBack"/>
      <w:bookmarkEnd w:id="5"/>
    </w:p>
    <w:p>
      <w:pPr>
        <w:spacing w:before="240" w:line="280" w:lineRule="exact"/>
        <w:rPr>
          <w:szCs w:val="21"/>
        </w:rPr>
      </w:pPr>
      <w:r>
        <w:rPr>
          <w:rFonts w:cs="Times New Roman" w:asciiTheme="minorEastAsia" w:hAnsiTheme="minorEastAsia"/>
          <w:color w:val="000000" w:themeColor="text1"/>
          <w:szCs w:val="21"/>
          <w14:textFill>
            <w14:solidFill>
              <w14:schemeClr w14:val="tx1"/>
            </w14:solidFill>
          </w14:textFill>
        </w:rPr>
        <w:t>乙方：</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szCs w:val="21"/>
        </w:rPr>
        <w:t>（物流服务公司）</w:t>
      </w:r>
    </w:p>
    <w:p>
      <w:pPr>
        <w:spacing w:line="360" w:lineRule="exact"/>
        <w:rPr>
          <w:szCs w:val="21"/>
        </w:rPr>
      </w:pPr>
      <w:r>
        <w:rPr>
          <w:rFonts w:hint="eastAsia"/>
          <w:szCs w:val="21"/>
        </w:rPr>
        <w:t>一、业务背景：</w:t>
      </w:r>
    </w:p>
    <w:p>
      <w:pPr>
        <w:spacing w:line="360" w:lineRule="exact"/>
        <w:ind w:firstLine="480" w:firstLineChars="200"/>
        <w:rPr>
          <w:rFonts w:ascii="仿宋" w:hAnsi="仿宋" w:eastAsia="仿宋" w:cs="Arial"/>
          <w:bCs/>
          <w:sz w:val="24"/>
        </w:rPr>
      </w:pPr>
      <w:r>
        <w:rPr>
          <w:rFonts w:ascii="仿宋" w:hAnsi="仿宋" w:eastAsia="仿宋" w:cs="Arial"/>
          <w:bCs/>
          <w:sz w:val="24"/>
        </w:rPr>
        <w:t>2023</w:t>
      </w:r>
      <w:r>
        <w:rPr>
          <w:rFonts w:hint="eastAsia" w:ascii="仿宋" w:hAnsi="仿宋" w:eastAsia="仿宋" w:cs="Arial"/>
          <w:bCs/>
          <w:sz w:val="24"/>
        </w:rPr>
        <w:t>年北京福田戴姆勒汽车有限公司欧曼事业部共推行9种零部件完成V</w:t>
      </w:r>
      <w:r>
        <w:rPr>
          <w:rFonts w:ascii="仿宋" w:hAnsi="仿宋" w:eastAsia="仿宋" w:cs="Arial"/>
          <w:bCs/>
          <w:sz w:val="24"/>
        </w:rPr>
        <w:t>-R</w:t>
      </w:r>
      <w:r>
        <w:rPr>
          <w:rFonts w:hint="eastAsia" w:ascii="仿宋" w:hAnsi="仿宋" w:eastAsia="仿宋" w:cs="Arial"/>
          <w:bCs/>
          <w:sz w:val="24"/>
        </w:rPr>
        <w:t>一体化物流模式变革，即：零件仓储、拣配、送货、上线各环节均由V</w:t>
      </w:r>
      <w:r>
        <w:rPr>
          <w:rFonts w:ascii="仿宋" w:hAnsi="仿宋" w:eastAsia="仿宋" w:cs="Arial"/>
          <w:bCs/>
          <w:sz w:val="24"/>
        </w:rPr>
        <w:t>MI</w:t>
      </w:r>
      <w:r>
        <w:rPr>
          <w:rFonts w:hint="eastAsia" w:ascii="仿宋" w:hAnsi="仿宋" w:eastAsia="仿宋" w:cs="Arial"/>
          <w:bCs/>
          <w:sz w:val="24"/>
        </w:rPr>
        <w:t>完成，取消或减少R</w:t>
      </w:r>
      <w:r>
        <w:rPr>
          <w:rFonts w:ascii="仿宋" w:hAnsi="仿宋" w:eastAsia="仿宋" w:cs="Arial"/>
          <w:bCs/>
          <w:sz w:val="24"/>
        </w:rPr>
        <w:t>DC</w:t>
      </w:r>
      <w:r>
        <w:rPr>
          <w:rFonts w:hint="eastAsia" w:ascii="仿宋" w:hAnsi="仿宋" w:eastAsia="仿宋" w:cs="Arial"/>
          <w:bCs/>
          <w:sz w:val="24"/>
        </w:rPr>
        <w:t>作业动作，实现全供应链成本降低。对原收费标准进行了调整，现明确：</w:t>
      </w:r>
      <w:r>
        <w:rPr>
          <w:rFonts w:hint="eastAsia" w:ascii="仿宋" w:hAnsi="仿宋" w:eastAsia="仿宋" w:cs="Arial"/>
          <w:b/>
          <w:bCs/>
          <w:sz w:val="24"/>
        </w:rPr>
        <w:t>调整后收费模式中V</w:t>
      </w:r>
      <w:r>
        <w:rPr>
          <w:rFonts w:ascii="仿宋" w:hAnsi="仿宋" w:eastAsia="仿宋" w:cs="Arial"/>
          <w:b/>
          <w:bCs/>
          <w:sz w:val="24"/>
        </w:rPr>
        <w:t>MI</w:t>
      </w:r>
      <w:r>
        <w:rPr>
          <w:rFonts w:hint="eastAsia" w:ascii="仿宋" w:hAnsi="仿宋" w:eastAsia="仿宋" w:cs="Arial"/>
          <w:b/>
          <w:bCs/>
          <w:sz w:val="24"/>
        </w:rPr>
        <w:t>部分由供应商和V</w:t>
      </w:r>
      <w:r>
        <w:rPr>
          <w:rFonts w:ascii="仿宋" w:hAnsi="仿宋" w:eastAsia="仿宋" w:cs="Arial"/>
          <w:b/>
          <w:bCs/>
          <w:sz w:val="24"/>
        </w:rPr>
        <w:t>MI</w:t>
      </w:r>
      <w:r>
        <w:rPr>
          <w:rFonts w:hint="eastAsia" w:ascii="仿宋" w:hAnsi="仿宋" w:eastAsia="仿宋" w:cs="Arial"/>
          <w:b/>
          <w:bCs/>
          <w:sz w:val="24"/>
        </w:rPr>
        <w:t>签订补充协议，由供应商向V</w:t>
      </w:r>
      <w:r>
        <w:rPr>
          <w:rFonts w:ascii="仿宋" w:hAnsi="仿宋" w:eastAsia="仿宋" w:cs="Arial"/>
          <w:b/>
          <w:bCs/>
          <w:sz w:val="24"/>
        </w:rPr>
        <w:t>MI</w:t>
      </w:r>
      <w:r>
        <w:rPr>
          <w:rFonts w:hint="eastAsia" w:ascii="仿宋" w:hAnsi="仿宋" w:eastAsia="仿宋" w:cs="Arial"/>
          <w:b/>
          <w:bCs/>
          <w:sz w:val="24"/>
        </w:rPr>
        <w:t>支付物流费用，标准不能调整。</w:t>
      </w:r>
    </w:p>
    <w:p>
      <w:pPr>
        <w:spacing w:line="360" w:lineRule="exact"/>
        <w:rPr>
          <w:szCs w:val="21"/>
        </w:rPr>
      </w:pPr>
      <w:r>
        <w:rPr>
          <w:rFonts w:hint="eastAsia"/>
          <w:szCs w:val="21"/>
        </w:rPr>
        <w:t>二、调整后标准：</w:t>
      </w:r>
    </w:p>
    <w:tbl>
      <w:tblPr>
        <w:tblStyle w:val="24"/>
        <w:tblW w:w="5000" w:type="pct"/>
        <w:tblInd w:w="0" w:type="dxa"/>
        <w:tblLayout w:type="autofit"/>
        <w:tblCellMar>
          <w:top w:w="0" w:type="dxa"/>
          <w:left w:w="108" w:type="dxa"/>
          <w:bottom w:w="0" w:type="dxa"/>
          <w:right w:w="108" w:type="dxa"/>
        </w:tblCellMar>
      </w:tblPr>
      <w:tblGrid>
        <w:gridCol w:w="741"/>
        <w:gridCol w:w="1441"/>
        <w:gridCol w:w="1441"/>
        <w:gridCol w:w="983"/>
        <w:gridCol w:w="1208"/>
        <w:gridCol w:w="1228"/>
        <w:gridCol w:w="2177"/>
        <w:gridCol w:w="743"/>
      </w:tblGrid>
      <w:tr>
        <w:tblPrEx>
          <w:tblCellMar>
            <w:top w:w="0" w:type="dxa"/>
            <w:left w:w="108" w:type="dxa"/>
            <w:bottom w:w="0" w:type="dxa"/>
            <w:right w:w="108" w:type="dxa"/>
          </w:tblCellMar>
        </w:tblPrEx>
        <w:trPr>
          <w:trHeight w:val="290" w:hRule="atLeast"/>
        </w:trPr>
        <w:tc>
          <w:tcPr>
            <w:tcW w:w="3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序号</w:t>
            </w:r>
          </w:p>
        </w:tc>
        <w:tc>
          <w:tcPr>
            <w:tcW w:w="7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零部件名称</w:t>
            </w:r>
          </w:p>
        </w:tc>
        <w:tc>
          <w:tcPr>
            <w:tcW w:w="7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原收费标准</w:t>
            </w:r>
          </w:p>
        </w:tc>
        <w:tc>
          <w:tcPr>
            <w:tcW w:w="1715" w:type="pct"/>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调整后收费标准</w:t>
            </w:r>
          </w:p>
        </w:tc>
        <w:tc>
          <w:tcPr>
            <w:tcW w:w="10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体现时间2023年</w:t>
            </w:r>
            <w:r>
              <w:rPr>
                <w:rFonts w:ascii="Calibri" w:hAnsi="Calibri" w:eastAsia="微软雅黑 Light" w:cs="Calibri"/>
                <w:b/>
                <w:color w:val="000000"/>
                <w:kern w:val="0"/>
                <w:sz w:val="18"/>
                <w:szCs w:val="18"/>
              </w:rPr>
              <w:t>/</w:t>
            </w:r>
          </w:p>
        </w:tc>
        <w:tc>
          <w:tcPr>
            <w:tcW w:w="37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备注</w:t>
            </w:r>
          </w:p>
        </w:tc>
      </w:tr>
      <w:tr>
        <w:tblPrEx>
          <w:tblCellMar>
            <w:top w:w="0" w:type="dxa"/>
            <w:left w:w="108" w:type="dxa"/>
            <w:bottom w:w="0" w:type="dxa"/>
            <w:right w:w="108" w:type="dxa"/>
          </w:tblCellMar>
        </w:tblPrEx>
        <w:trPr>
          <w:trHeight w:val="290" w:hRule="atLeast"/>
        </w:trPr>
        <w:tc>
          <w:tcPr>
            <w:tcW w:w="372"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微软雅黑 Light" w:hAnsi="微软雅黑 Light" w:eastAsia="微软雅黑 Light" w:cs="宋体"/>
                <w:color w:val="000000"/>
                <w:kern w:val="0"/>
                <w:sz w:val="18"/>
                <w:szCs w:val="18"/>
              </w:rPr>
            </w:pPr>
          </w:p>
        </w:tc>
        <w:tc>
          <w:tcPr>
            <w:tcW w:w="723"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微软雅黑 Light" w:hAnsi="微软雅黑 Light" w:eastAsia="微软雅黑 Light" w:cs="宋体"/>
                <w:color w:val="000000"/>
                <w:kern w:val="0"/>
                <w:sz w:val="18"/>
                <w:szCs w:val="18"/>
              </w:rPr>
            </w:pPr>
          </w:p>
        </w:tc>
        <w:tc>
          <w:tcPr>
            <w:tcW w:w="723"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工厂</w:t>
            </w: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供应商</w:t>
            </w: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VMI库房</w:t>
            </w:r>
          </w:p>
        </w:tc>
        <w:tc>
          <w:tcPr>
            <w:tcW w:w="1092"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微软雅黑 Light" w:hAnsi="微软雅黑 Light" w:eastAsia="微软雅黑 Light" w:cs="宋体"/>
                <w:color w:val="000000"/>
                <w:kern w:val="0"/>
                <w:sz w:val="18"/>
                <w:szCs w:val="18"/>
              </w:rPr>
            </w:pPr>
          </w:p>
        </w:tc>
        <w:tc>
          <w:tcPr>
            <w:tcW w:w="373" w:type="pct"/>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1</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座椅</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3‰</w:t>
            </w: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0.5‰</w:t>
            </w: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0.5‰</w:t>
            </w: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2‰</w:t>
            </w: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lang w:val="en-US" w:eastAsia="zh-CN" w:bidi="ar-SA"/>
              </w:rPr>
            </w:pPr>
            <w:r>
              <w:rPr>
                <w:rFonts w:hint="eastAsia" w:ascii="微软雅黑 Light" w:hAnsi="微软雅黑 Light" w:eastAsia="微软雅黑 Light" w:cs="宋体"/>
                <w:color w:val="000000"/>
                <w:kern w:val="0"/>
                <w:sz w:val="18"/>
                <w:szCs w:val="18"/>
              </w:rPr>
              <w:t>3月1日</w:t>
            </w: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2</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3</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4</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5</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6</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7</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8</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r>
        <w:tblPrEx>
          <w:tblCellMar>
            <w:top w:w="0" w:type="dxa"/>
            <w:left w:w="108" w:type="dxa"/>
            <w:bottom w:w="0" w:type="dxa"/>
            <w:right w:w="108" w:type="dxa"/>
          </w:tblCellMar>
        </w:tblPrEx>
        <w:trPr>
          <w:trHeight w:val="290" w:hRule="atLeast"/>
        </w:trPr>
        <w:tc>
          <w:tcPr>
            <w:tcW w:w="372"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r>
              <w:rPr>
                <w:rFonts w:hint="eastAsia" w:ascii="微软雅黑 Light" w:hAnsi="微软雅黑 Light" w:eastAsia="微软雅黑 Light" w:cs="宋体"/>
                <w:color w:val="000000"/>
                <w:kern w:val="0"/>
                <w:sz w:val="18"/>
                <w:szCs w:val="18"/>
              </w:rPr>
              <w:t>9</w:t>
            </w: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72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49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06"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615"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1092"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c>
          <w:tcPr>
            <w:tcW w:w="373" w:type="pct"/>
            <w:tcBorders>
              <w:top w:val="nil"/>
              <w:left w:val="nil"/>
              <w:bottom w:val="single" w:color="000000" w:sz="8" w:space="0"/>
              <w:right w:val="single" w:color="000000" w:sz="8" w:space="0"/>
            </w:tcBorders>
            <w:shd w:val="clear" w:color="auto" w:fill="auto"/>
            <w:vAlign w:val="center"/>
          </w:tcPr>
          <w:p>
            <w:pPr>
              <w:widowControl/>
              <w:jc w:val="center"/>
              <w:rPr>
                <w:rFonts w:ascii="微软雅黑 Light" w:hAnsi="微软雅黑 Light" w:eastAsia="微软雅黑 Light" w:cs="宋体"/>
                <w:color w:val="000000"/>
                <w:kern w:val="0"/>
                <w:sz w:val="18"/>
                <w:szCs w:val="18"/>
              </w:rPr>
            </w:pPr>
          </w:p>
        </w:tc>
      </w:tr>
    </w:tbl>
    <w:p>
      <w:pPr>
        <w:spacing w:line="360" w:lineRule="exact"/>
        <w:rPr>
          <w:szCs w:val="21"/>
        </w:rPr>
      </w:pPr>
    </w:p>
    <w:p>
      <w:pPr>
        <w:widowControl/>
        <w:tabs>
          <w:tab w:val="left" w:pos="8390"/>
        </w:tabs>
        <w:spacing w:line="360" w:lineRule="exact"/>
        <w:ind w:right="21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三、签订要求：</w:t>
      </w:r>
    </w:p>
    <w:p>
      <w:pPr>
        <w:widowControl/>
        <w:tabs>
          <w:tab w:val="left" w:pos="8390"/>
        </w:tabs>
        <w:spacing w:line="360" w:lineRule="exact"/>
        <w:ind w:right="210"/>
        <w:rPr>
          <w:rFonts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r>
        <w:rPr>
          <w:rFonts w:cs="Times New Roman" w:asciiTheme="minorEastAsia" w:hAnsiTheme="minorEastAsia"/>
          <w:color w:val="000000" w:themeColor="text1"/>
          <w:szCs w:val="21"/>
          <w14:textFill>
            <w14:solidFill>
              <w14:schemeClr w14:val="tx1"/>
            </w14:solidFill>
          </w14:textFill>
        </w:rPr>
        <w:t xml:space="preserve">   </w:t>
      </w:r>
      <w:r>
        <w:rPr>
          <w:rFonts w:hint="eastAsia" w:cs="Times New Roman" w:asciiTheme="minorEastAsia" w:hAnsiTheme="minorEastAsia"/>
          <w:color w:val="000000" w:themeColor="text1"/>
          <w:szCs w:val="21"/>
          <w14:textFill>
            <w14:solidFill>
              <w14:schemeClr w14:val="tx1"/>
            </w14:solidFill>
          </w14:textFill>
        </w:rPr>
        <w:t>由供应商和V</w:t>
      </w:r>
      <w:r>
        <w:rPr>
          <w:rFonts w:cs="Times New Roman" w:asciiTheme="minorEastAsia" w:hAnsiTheme="minorEastAsia"/>
          <w:color w:val="000000" w:themeColor="text1"/>
          <w:szCs w:val="21"/>
          <w14:textFill>
            <w14:solidFill>
              <w14:schemeClr w14:val="tx1"/>
            </w14:solidFill>
          </w14:textFill>
        </w:rPr>
        <w:t>MI</w:t>
      </w:r>
      <w:r>
        <w:rPr>
          <w:rFonts w:hint="eastAsia" w:cs="Times New Roman" w:asciiTheme="minorEastAsia" w:hAnsiTheme="minorEastAsia"/>
          <w:color w:val="000000" w:themeColor="text1"/>
          <w:szCs w:val="21"/>
          <w14:textFill>
            <w14:solidFill>
              <w14:schemeClr w14:val="tx1"/>
            </w14:solidFill>
          </w14:textFill>
        </w:rPr>
        <w:t>按照</w:t>
      </w:r>
      <w:r>
        <w:rPr>
          <w:rFonts w:cs="Times New Roman" w:asciiTheme="minorEastAsia" w:hAnsiTheme="minorEastAsia"/>
          <w:color w:val="000000" w:themeColor="text1"/>
          <w:szCs w:val="21"/>
          <w14:textFill>
            <w14:solidFill>
              <w14:schemeClr w14:val="tx1"/>
            </w14:solidFill>
          </w14:textFill>
        </w:rPr>
        <w:t>国家相关法律法规之规定，</w:t>
      </w:r>
      <w:r>
        <w:rPr>
          <w:rFonts w:hint="eastAsia" w:cs="Times New Roman" w:asciiTheme="minorEastAsia" w:hAnsiTheme="minorEastAsia"/>
          <w:color w:val="000000" w:themeColor="text1"/>
          <w:szCs w:val="21"/>
          <w14:textFill>
            <w14:solidFill>
              <w14:schemeClr w14:val="tx1"/>
            </w14:solidFill>
          </w14:textFill>
        </w:rPr>
        <w:t>本着友好协商、相互信任、平等互利签订协议并支付费用，双方协商一致模板可适当调整，但费用标准不可以调整。</w:t>
      </w:r>
    </w:p>
    <w:p>
      <w:pPr>
        <w:spacing w:line="360" w:lineRule="exact"/>
        <w:rPr>
          <w:rFonts w:cs="Times New Roman" w:asciiTheme="minorEastAsia" w:hAnsiTheme="minorEastAsia"/>
          <w:b/>
          <w:color w:val="000000" w:themeColor="text1"/>
          <w:szCs w:val="21"/>
          <w14:textFill>
            <w14:solidFill>
              <w14:schemeClr w14:val="tx1"/>
            </w14:solidFill>
          </w14:textFill>
        </w:rPr>
      </w:pPr>
      <w:r>
        <w:rPr>
          <w:rFonts w:hint="eastAsia" w:cs="Times New Roman" w:asciiTheme="minorEastAsia" w:hAnsiTheme="minorEastAsia"/>
          <w:b/>
          <w:color w:val="000000" w:themeColor="text1"/>
          <w:szCs w:val="21"/>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r>
        <w:rPr>
          <w:b/>
          <w:szCs w:val="21"/>
        </w:rPr>
        <w:t>本合同系由各方协商一致而达成，非任何一方提供的格式合同或格式条款，各方已充分理解合同条文的相关规定，知悉各自在合同项下的权利与义务</w:t>
      </w:r>
      <w:r>
        <w:rPr>
          <w:rFonts w:hint="eastAsia"/>
          <w:b/>
          <w:szCs w:val="21"/>
        </w:rPr>
        <w:t>。</w:t>
      </w:r>
    </w:p>
    <w:p>
      <w:pPr>
        <w:spacing w:line="360" w:lineRule="exact"/>
        <w:rPr>
          <w:rFonts w:cs="Times New Roman" w:asciiTheme="minorEastAsia" w:hAnsiTheme="minorEastAsia"/>
          <w:b/>
          <w:color w:val="000000" w:themeColor="text1"/>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 xml:space="preserve">甲方（盖章）：                                </w:t>
      </w:r>
      <w:r>
        <w:rPr>
          <w:rFonts w:hint="eastAsia" w:cs="Times New Roman" w:asciiTheme="minorEastAsia" w:hAnsiTheme="minorEastAsia"/>
          <w:b/>
          <w:color w:val="000000" w:themeColor="text1"/>
          <w:szCs w:val="21"/>
          <w:lang w:val="en-US" w:eastAsia="zh-CN"/>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乙方（盖章）：</w:t>
      </w:r>
    </w:p>
    <w:p>
      <w:pPr>
        <w:spacing w:line="360" w:lineRule="exact"/>
        <w:rPr>
          <w:rFonts w:cs="Times New Roman" w:asciiTheme="minorEastAsia" w:hAnsiTheme="minorEastAsia"/>
          <w:b/>
          <w:color w:val="000000" w:themeColor="text1"/>
          <w:szCs w:val="21"/>
          <w:u w:val="single"/>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公司名称：</w:t>
      </w:r>
      <w:r>
        <w:rPr>
          <w:rFonts w:hint="eastAsia" w:cs="Times New Roman" w:asciiTheme="minorEastAsia" w:hAnsiTheme="minorEastAsia"/>
          <w:b/>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r>
        <w:rPr>
          <w:rFonts w:hint="eastAsia" w:cs="Times New Roman" w:asciiTheme="minorEastAsia" w:hAnsiTheme="minorEastAsia"/>
          <w:b/>
          <w:color w:val="000000" w:themeColor="text1"/>
          <w:szCs w:val="21"/>
          <w:lang w:val="en-US" w:eastAsia="zh-CN"/>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公司名称：</w:t>
      </w:r>
      <w:r>
        <w:rPr>
          <w:rFonts w:hint="eastAsia" w:cs="Times New Roman" w:asciiTheme="minorEastAsia" w:hAnsiTheme="minorEastAsia"/>
          <w:color w:val="000000" w:themeColor="text1"/>
          <w:szCs w:val="21"/>
          <w:u w:val="single"/>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w:t>
      </w:r>
    </w:p>
    <w:p>
      <w:pPr>
        <w:widowControl/>
        <w:spacing w:line="360" w:lineRule="exact"/>
        <w:ind w:right="210"/>
        <w:rPr>
          <w:rFonts w:cs="Times New Roman" w:asciiTheme="minorEastAsia" w:hAnsiTheme="minorEastAsia"/>
          <w:b/>
          <w:color w:val="000000" w:themeColor="text1"/>
          <w:szCs w:val="21"/>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签约代表：</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签约代表：</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p>
    <w:p>
      <w:pPr>
        <w:widowControl/>
        <w:spacing w:line="360" w:lineRule="exact"/>
        <w:ind w:right="210"/>
        <w:rPr>
          <w:rFonts w:cs="Times New Roman" w:asciiTheme="minorEastAsia" w:hAnsiTheme="minorEastAsia"/>
          <w:color w:val="000000" w:themeColor="text1"/>
          <w:szCs w:val="21"/>
          <w:u w:val="single"/>
          <w14:textFill>
            <w14:solidFill>
              <w14:schemeClr w14:val="tx1"/>
            </w14:solidFill>
          </w14:textFill>
        </w:rPr>
      </w:pPr>
      <w:r>
        <w:rPr>
          <w:rFonts w:cs="Times New Roman" w:asciiTheme="minorEastAsia" w:hAnsiTheme="minorEastAsia"/>
          <w:b/>
          <w:color w:val="000000" w:themeColor="text1"/>
          <w:szCs w:val="21"/>
          <w14:textFill>
            <w14:solidFill>
              <w14:schemeClr w14:val="tx1"/>
            </w14:solidFill>
          </w14:textFill>
        </w:rPr>
        <w:t>签约日期：</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r>
        <w:rPr>
          <w:rFonts w:cs="Times New Roman" w:asciiTheme="minorEastAsia" w:hAnsiTheme="minorEastAsia"/>
          <w:b/>
          <w:color w:val="000000" w:themeColor="text1"/>
          <w:szCs w:val="21"/>
          <w14:textFill>
            <w14:solidFill>
              <w14:schemeClr w14:val="tx1"/>
            </w14:solidFill>
          </w14:textFill>
        </w:rPr>
        <w:t xml:space="preserve">                     签约日期：</w:t>
      </w:r>
      <w:r>
        <w:rPr>
          <w:rFonts w:cs="Times New Roman" w:asciiTheme="minorEastAsia" w:hAnsiTheme="minorEastAsia"/>
          <w:color w:val="000000" w:themeColor="text1"/>
          <w:szCs w:val="21"/>
          <w:u w:val="single"/>
          <w14:textFill>
            <w14:solidFill>
              <w14:schemeClr w14:val="tx1"/>
            </w14:solidFill>
          </w14:textFill>
        </w:rPr>
        <w:t xml:space="preserve">          </w:t>
      </w:r>
      <w:r>
        <w:rPr>
          <w:rFonts w:hint="eastAsia" w:cs="Times New Roman" w:asciiTheme="minorEastAsia" w:hAnsiTheme="minorEastAsia"/>
          <w:color w:val="000000" w:themeColor="text1"/>
          <w:szCs w:val="21"/>
          <w:u w:val="single"/>
          <w:lang w:val="en-US" w:eastAsia="zh-CN"/>
          <w14:textFill>
            <w14:solidFill>
              <w14:schemeClr w14:val="tx1"/>
            </w14:solidFill>
          </w14:textFill>
        </w:rPr>
        <w:t xml:space="preserve">          </w:t>
      </w:r>
      <w:r>
        <w:rPr>
          <w:rFonts w:cs="Times New Roman" w:asciiTheme="minorEastAsia" w:hAnsiTheme="minorEastAsia"/>
          <w:color w:val="000000" w:themeColor="text1"/>
          <w:szCs w:val="21"/>
          <w:u w:val="single"/>
          <w14:textFill>
            <w14:solidFill>
              <w14:schemeClr w14:val="tx1"/>
            </w14:solidFill>
          </w14:textFill>
        </w:rPr>
        <w:t xml:space="preserve">  </w:t>
      </w:r>
      <w:bookmarkEnd w:id="0"/>
    </w:p>
    <w:p>
      <w:pPr>
        <w:tabs>
          <w:tab w:val="left" w:pos="2340"/>
        </w:tabs>
        <w:spacing w:before="240" w:line="276" w:lineRule="auto"/>
        <w:rPr>
          <w:rFonts w:cs="Times New Roman" w:asciiTheme="minorEastAsia" w:hAnsiTheme="minorEastAsia"/>
          <w:color w:val="000000" w:themeColor="text1"/>
          <w:sz w:val="24"/>
          <w14:textFill>
            <w14:solidFill>
              <w14:schemeClr w14:val="tx1"/>
            </w14:solidFill>
          </w14:textFill>
        </w:rPr>
      </w:pPr>
    </w:p>
    <w:p>
      <w:pPr>
        <w:tabs>
          <w:tab w:val="left" w:pos="2340"/>
        </w:tabs>
        <w:spacing w:before="240" w:line="276" w:lineRule="auto"/>
        <w:rPr>
          <w:rFonts w:cs="Times New Roman" w:asciiTheme="minorEastAsia" w:hAnsiTheme="minorEastAsia"/>
          <w:color w:val="000000" w:themeColor="text1"/>
          <w:sz w:val="24"/>
          <w14:textFill>
            <w14:solidFill>
              <w14:schemeClr w14:val="tx1"/>
            </w14:solidFill>
          </w14:textFill>
        </w:rPr>
      </w:pPr>
    </w:p>
    <w:p>
      <w:pPr>
        <w:tabs>
          <w:tab w:val="left" w:pos="2340"/>
        </w:tabs>
        <w:spacing w:before="240" w:line="276" w:lineRule="auto"/>
        <w:jc w:val="center"/>
        <w:rPr>
          <w:rFonts w:cs="Times New Roman" w:asciiTheme="minorEastAsia" w:hAnsiTheme="minorEastAsia"/>
          <w:b/>
          <w:color w:val="000000" w:themeColor="text1"/>
          <w:sz w:val="24"/>
          <w14:textFill>
            <w14:solidFill>
              <w14:schemeClr w14:val="tx1"/>
            </w14:solidFill>
          </w14:textFill>
        </w:rPr>
      </w:pPr>
      <w:r>
        <w:rPr>
          <w:rFonts w:cs="Times New Roman" w:asciiTheme="minorEastAsia" w:hAnsiTheme="minorEastAsia"/>
          <w:b/>
          <w:color w:val="000000" w:themeColor="text1"/>
          <w:sz w:val="24"/>
          <w14:textFill>
            <w14:solidFill>
              <w14:schemeClr w14:val="tx1"/>
            </w14:solidFill>
          </w14:textFill>
        </w:rPr>
        <w:t>合同正文</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总则</w:t>
      </w:r>
    </w:p>
    <w:p>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项目名称：</w:t>
      </w:r>
      <w:r>
        <w:rPr>
          <w:rFonts w:hint="eastAsia" w:cs="Times New Roman" w:asciiTheme="minorEastAsia" w:hAnsiTheme="minorEastAsia"/>
          <w:b/>
          <w:bCs/>
          <w:color w:val="000000" w:themeColor="text1"/>
          <w:sz w:val="32"/>
          <w:szCs w:val="32"/>
          <w:u w:val="single"/>
          <w14:textFill>
            <w14:solidFill>
              <w14:schemeClr w14:val="tx1"/>
            </w14:solidFill>
          </w14:textFill>
        </w:rPr>
        <w:t>V</w:t>
      </w:r>
      <w:r>
        <w:rPr>
          <w:rFonts w:cs="Times New Roman" w:asciiTheme="minorEastAsia" w:hAnsiTheme="minorEastAsia"/>
          <w:b/>
          <w:bCs/>
          <w:color w:val="000000" w:themeColor="text1"/>
          <w:sz w:val="32"/>
          <w:szCs w:val="32"/>
          <w:u w:val="single"/>
          <w14:textFill>
            <w14:solidFill>
              <w14:schemeClr w14:val="tx1"/>
            </w14:solidFill>
          </w14:textFill>
        </w:rPr>
        <w:t>-R</w:t>
      </w:r>
      <w:r>
        <w:rPr>
          <w:rFonts w:hint="eastAsia" w:cs="Times New Roman" w:asciiTheme="minorEastAsia" w:hAnsiTheme="minorEastAsia"/>
          <w:b/>
          <w:bCs/>
          <w:color w:val="000000" w:themeColor="text1"/>
          <w:sz w:val="32"/>
          <w:szCs w:val="32"/>
          <w:u w:val="single"/>
          <w14:textFill>
            <w14:solidFill>
              <w14:schemeClr w14:val="tx1"/>
            </w14:solidFill>
          </w14:textFill>
        </w:rPr>
        <w:t>一体化</w:t>
      </w:r>
      <w:r>
        <w:rPr>
          <w:rFonts w:asciiTheme="minorEastAsia" w:hAnsiTheme="minorEastAsia"/>
          <w:bCs/>
          <w:color w:val="000000" w:themeColor="text1"/>
          <w:sz w:val="24"/>
          <w:u w:val="single"/>
          <w14:textFill>
            <w14:solidFill>
              <w14:schemeClr w14:val="tx1"/>
            </w14:solidFill>
          </w14:textFill>
        </w:rPr>
        <w:t>项目</w:t>
      </w:r>
      <w:r>
        <w:rPr>
          <w:rFonts w:hint="eastAsia" w:asciiTheme="minorEastAsia" w:hAnsiTheme="minorEastAsia"/>
          <w:color w:val="000000" w:themeColor="text1"/>
          <w:sz w:val="24"/>
          <w14:textFill>
            <w14:solidFill>
              <w14:schemeClr w14:val="tx1"/>
            </w14:solidFill>
          </w14:textFill>
        </w:rPr>
        <w:t>（以下简称为：“本项目”）</w:t>
      </w:r>
    </w:p>
    <w:p>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术语解释</w:t>
      </w:r>
      <w:r>
        <w:rPr>
          <w:rFonts w:hint="eastAsia" w:asciiTheme="minorEastAsia" w:hAnsi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无</w:t>
      </w:r>
    </w:p>
    <w:p>
      <w:pPr>
        <w:pStyle w:val="34"/>
        <w:numPr>
          <w:ilvl w:val="0"/>
          <w:numId w:val="2"/>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项目内容：</w:t>
      </w:r>
      <w:r>
        <w:rPr>
          <w:rFonts w:hint="eastAsia" w:ascii="仿宋" w:hAnsi="仿宋" w:eastAsia="仿宋" w:cs="Arial"/>
          <w:bCs/>
          <w:sz w:val="24"/>
        </w:rPr>
        <w:t>零件仓储、拣配、送货、上线各环节均由V</w:t>
      </w:r>
      <w:r>
        <w:rPr>
          <w:rFonts w:ascii="仿宋" w:hAnsi="仿宋" w:eastAsia="仿宋" w:cs="Arial"/>
          <w:bCs/>
          <w:sz w:val="24"/>
        </w:rPr>
        <w:t>MI</w:t>
      </w:r>
      <w:r>
        <w:rPr>
          <w:rFonts w:hint="eastAsia" w:ascii="仿宋" w:hAnsi="仿宋" w:eastAsia="仿宋" w:cs="Arial"/>
          <w:bCs/>
          <w:sz w:val="24"/>
        </w:rPr>
        <w:t>完成，取消或减少R</w:t>
      </w:r>
      <w:r>
        <w:rPr>
          <w:rFonts w:ascii="仿宋" w:hAnsi="仿宋" w:eastAsia="仿宋" w:cs="Arial"/>
          <w:bCs/>
          <w:sz w:val="24"/>
        </w:rPr>
        <w:t>DC</w:t>
      </w:r>
      <w:r>
        <w:rPr>
          <w:rFonts w:hint="eastAsia" w:ascii="仿宋" w:hAnsi="仿宋" w:eastAsia="仿宋" w:cs="Arial"/>
          <w:bCs/>
          <w:sz w:val="24"/>
        </w:rPr>
        <w:t>作业动作，实现全供应链成本降低。</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商务条款</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1、本协议有效期限： 202</w:t>
      </w:r>
      <w:r>
        <w:rPr>
          <w:rFonts w:hint="eastAsia" w:asciiTheme="minorEastAsia" w:hAnsiTheme="minorEastAsia"/>
          <w:color w:val="auto"/>
          <w:sz w:val="24"/>
          <w:highlight w:val="none"/>
          <w:lang w:val="en-US" w:eastAsia="zh-CN"/>
        </w:rPr>
        <w:t>3</w:t>
      </w:r>
      <w:r>
        <w:rPr>
          <w:rFonts w:hint="eastAsia" w:asciiTheme="minorEastAsia" w:hAnsiTheme="minorEastAsia"/>
          <w:color w:val="auto"/>
          <w:sz w:val="24"/>
          <w:highlight w:val="none"/>
        </w:rPr>
        <w:t>年</w:t>
      </w:r>
      <w:r>
        <w:rPr>
          <w:rFonts w:hint="eastAsia" w:asciiTheme="minorEastAsia" w:hAnsiTheme="minorEastAsia"/>
          <w:color w:val="auto"/>
          <w:sz w:val="24"/>
          <w:highlight w:val="none"/>
          <w:lang w:val="en-US" w:eastAsia="zh-CN"/>
        </w:rPr>
        <w:t>3</w:t>
      </w:r>
      <w:r>
        <w:rPr>
          <w:rFonts w:hint="eastAsia" w:asciiTheme="minorEastAsia" w:hAnsiTheme="minorEastAsia"/>
          <w:color w:val="auto"/>
          <w:sz w:val="24"/>
          <w:highlight w:val="none"/>
        </w:rPr>
        <w:t>月</w:t>
      </w:r>
      <w:r>
        <w:rPr>
          <w:rFonts w:hint="eastAsia" w:asciiTheme="minorEastAsia" w:hAnsiTheme="minorEastAsia"/>
          <w:color w:val="auto"/>
          <w:sz w:val="24"/>
          <w:highlight w:val="none"/>
          <w:lang w:val="en-US" w:eastAsia="zh-CN"/>
        </w:rPr>
        <w:t>1</w:t>
      </w:r>
      <w:r>
        <w:rPr>
          <w:rFonts w:hint="eastAsia" w:asciiTheme="minorEastAsia" w:hAnsiTheme="minorEastAsia"/>
          <w:color w:val="auto"/>
          <w:sz w:val="24"/>
          <w:highlight w:val="none"/>
        </w:rPr>
        <w:t>日至202</w:t>
      </w:r>
      <w:r>
        <w:rPr>
          <w:rFonts w:hint="eastAsia" w:asciiTheme="minorEastAsia" w:hAnsiTheme="minorEastAsia"/>
          <w:color w:val="auto"/>
          <w:sz w:val="24"/>
          <w:highlight w:val="none"/>
          <w:lang w:val="en-US" w:eastAsia="zh-CN"/>
        </w:rPr>
        <w:t>4</w:t>
      </w:r>
      <w:r>
        <w:rPr>
          <w:rFonts w:hint="eastAsia" w:asciiTheme="minorEastAsia" w:hAnsiTheme="minorEastAsia"/>
          <w:color w:val="auto"/>
          <w:sz w:val="24"/>
          <w:highlight w:val="none"/>
        </w:rPr>
        <w:t>年</w:t>
      </w:r>
      <w:r>
        <w:rPr>
          <w:rFonts w:asciiTheme="minorEastAsia" w:hAnsiTheme="minorEastAsia"/>
          <w:color w:val="auto"/>
          <w:sz w:val="24"/>
          <w:highlight w:val="none"/>
        </w:rPr>
        <w:t>12</w:t>
      </w:r>
      <w:r>
        <w:rPr>
          <w:rFonts w:hint="eastAsia" w:asciiTheme="minorEastAsia" w:hAnsiTheme="minorEastAsia"/>
          <w:color w:val="auto"/>
          <w:sz w:val="24"/>
          <w:highlight w:val="none"/>
        </w:rPr>
        <w:t>月</w:t>
      </w:r>
      <w:r>
        <w:rPr>
          <w:rFonts w:asciiTheme="minorEastAsia" w:hAnsiTheme="minorEastAsia"/>
          <w:color w:val="auto"/>
          <w:sz w:val="24"/>
          <w:highlight w:val="none"/>
        </w:rPr>
        <w:t>31</w:t>
      </w:r>
      <w:r>
        <w:rPr>
          <w:rFonts w:hint="eastAsia" w:asciiTheme="minorEastAsia" w:hAnsiTheme="minorEastAsia"/>
          <w:color w:val="auto"/>
          <w:sz w:val="24"/>
          <w:highlight w:val="none"/>
        </w:rPr>
        <w:t>日</w:t>
      </w:r>
      <w:r>
        <w:rPr>
          <w:rFonts w:asciiTheme="minorEastAsia" w:hAnsiTheme="minorEastAsia"/>
          <w:color w:val="auto"/>
          <w:sz w:val="24"/>
          <w:highlight w:val="none"/>
        </w:rPr>
        <w:t>。</w:t>
      </w:r>
    </w:p>
    <w:p>
      <w:pPr>
        <w:spacing w:line="360" w:lineRule="auto"/>
        <w:ind w:firstLine="480" w:firstLineChars="200"/>
        <w:rPr>
          <w:rFonts w:asciiTheme="minorEastAsia" w:hAnsi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14:textFill>
            <w14:solidFill>
              <w14:schemeClr w14:val="tx1"/>
            </w14:solidFill>
          </w14:textFill>
        </w:rPr>
        <w:t>2、费用结算标准：</w:t>
      </w:r>
    </w:p>
    <w:tbl>
      <w:tblPr>
        <w:tblStyle w:val="24"/>
        <w:tblpPr w:leftFromText="180" w:rightFromText="180" w:vertAnchor="text" w:horzAnchor="page" w:tblpX="1437" w:tblpY="686"/>
        <w:tblOverlap w:val="never"/>
        <w:tblW w:w="7653" w:type="dxa"/>
        <w:tblInd w:w="0" w:type="dxa"/>
        <w:tblLayout w:type="fixed"/>
        <w:tblCellMar>
          <w:top w:w="0" w:type="dxa"/>
          <w:left w:w="108" w:type="dxa"/>
          <w:bottom w:w="0" w:type="dxa"/>
          <w:right w:w="108" w:type="dxa"/>
        </w:tblCellMar>
      </w:tblPr>
      <w:tblGrid>
        <w:gridCol w:w="1524"/>
        <w:gridCol w:w="1699"/>
        <w:gridCol w:w="3181"/>
        <w:gridCol w:w="1249"/>
      </w:tblGrid>
      <w:tr>
        <w:tblPrEx>
          <w:tblCellMar>
            <w:top w:w="0" w:type="dxa"/>
            <w:left w:w="108" w:type="dxa"/>
            <w:bottom w:w="0" w:type="dxa"/>
            <w:right w:w="108" w:type="dxa"/>
          </w:tblCellMar>
        </w:tblPrEx>
        <w:trPr>
          <w:trHeight w:val="503"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6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名称</w:t>
            </w:r>
          </w:p>
        </w:tc>
        <w:tc>
          <w:tcPr>
            <w:tcW w:w="31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rPr>
              <w:t>费用标准</w:t>
            </w:r>
          </w:p>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（元，含税）</w:t>
            </w:r>
          </w:p>
        </w:tc>
        <w:tc>
          <w:tcPr>
            <w:tcW w:w="12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备注</w:t>
            </w:r>
          </w:p>
        </w:tc>
      </w:tr>
      <w:tr>
        <w:tblPrEx>
          <w:tblCellMar>
            <w:top w:w="0" w:type="dxa"/>
            <w:left w:w="108" w:type="dxa"/>
            <w:bottom w:w="0" w:type="dxa"/>
            <w:right w:w="108" w:type="dxa"/>
          </w:tblCellMar>
        </w:tblPrEx>
        <w:trPr>
          <w:trHeight w:val="518" w:hRule="atLeast"/>
        </w:trPr>
        <w:tc>
          <w:tcPr>
            <w:tcW w:w="15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6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r>
              <w:rPr>
                <w:rFonts w:hint="eastAsia" w:ascii="微软雅黑 Light" w:hAnsi="微软雅黑 Light" w:eastAsia="微软雅黑 Light" w:cs="宋体"/>
                <w:color w:val="000000"/>
                <w:kern w:val="0"/>
                <w:sz w:val="18"/>
                <w:szCs w:val="18"/>
              </w:rPr>
              <w:t>座椅</w:t>
            </w:r>
          </w:p>
        </w:tc>
        <w:tc>
          <w:tcPr>
            <w:tcW w:w="3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微软雅黑 Light" w:hAnsi="微软雅黑 Light" w:eastAsia="微软雅黑 Light" w:cs="宋体"/>
                <w:color w:val="000000"/>
                <w:kern w:val="0"/>
                <w:sz w:val="18"/>
                <w:szCs w:val="18"/>
              </w:rPr>
              <w:t>2‰</w:t>
            </w:r>
          </w:p>
        </w:tc>
        <w:tc>
          <w:tcPr>
            <w:tcW w:w="1249"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highlight w:val="none"/>
              </w:rPr>
            </w:pPr>
          </w:p>
        </w:tc>
      </w:tr>
    </w:tbl>
    <w:p>
      <w:pPr>
        <w:spacing w:line="360" w:lineRule="auto"/>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p>
    <w:p>
      <w:pPr>
        <w:spacing w:line="360" w:lineRule="auto"/>
        <w:ind w:firstLine="480" w:firstLineChars="200"/>
        <w:rPr>
          <w:rFonts w:ascii="宋体" w:hAnsi="宋体"/>
          <w:bCs/>
          <w:sz w:val="24"/>
          <w:highlight w:val="none"/>
        </w:rPr>
      </w:pPr>
      <w:r>
        <w:rPr>
          <w:rFonts w:ascii="宋体" w:hAnsi="宋体"/>
          <w:bCs/>
          <w:sz w:val="24"/>
          <w:highlight w:val="none"/>
        </w:rPr>
        <w:t>3.配送费：</w:t>
      </w:r>
      <w:r>
        <w:rPr>
          <w:rFonts w:hint="eastAsia" w:ascii="宋体" w:hAnsi="宋体"/>
          <w:bCs/>
          <w:sz w:val="24"/>
          <w:highlight w:val="none"/>
        </w:rPr>
        <w:t>甲乙双方通过</w:t>
      </w:r>
      <w:r>
        <w:rPr>
          <w:rFonts w:hint="eastAsia" w:ascii="宋体" w:hAnsi="宋体"/>
          <w:bCs/>
          <w:sz w:val="24"/>
          <w:highlight w:val="none"/>
          <w:lang w:val="en-US" w:eastAsia="zh-CN"/>
        </w:rPr>
        <w:t>对账单形式，依照乙方</w:t>
      </w:r>
      <w:r>
        <w:rPr>
          <w:rFonts w:hint="eastAsia" w:ascii="宋体" w:hAnsi="宋体"/>
          <w:bCs/>
          <w:sz w:val="24"/>
          <w:highlight w:val="none"/>
        </w:rPr>
        <w:t>《供应商送货单》</w:t>
      </w:r>
      <w:r>
        <w:rPr>
          <w:rFonts w:hint="eastAsia" w:ascii="宋体" w:hAnsi="宋体"/>
          <w:bCs/>
          <w:sz w:val="24"/>
          <w:highlight w:val="none"/>
          <w:lang w:val="en-US" w:eastAsia="zh-CN"/>
        </w:rPr>
        <w:t>WMS系统</w:t>
      </w:r>
      <w:r>
        <w:rPr>
          <w:rFonts w:hint="eastAsia" w:ascii="宋体" w:hAnsi="宋体"/>
          <w:bCs/>
          <w:sz w:val="24"/>
          <w:highlight w:val="none"/>
        </w:rPr>
        <w:t>确认的实际运输数量，作为结算依据；</w:t>
      </w:r>
    </w:p>
    <w:p>
      <w:pPr>
        <w:spacing w:line="360" w:lineRule="auto"/>
        <w:ind w:firstLine="480" w:firstLineChars="200"/>
        <w:rPr>
          <w:rFonts w:hint="eastAsia" w:ascii="宋体" w:hAnsi="宋体"/>
          <w:bCs/>
          <w:sz w:val="24"/>
          <w:lang w:val="en-US" w:eastAsia="zh-CN"/>
        </w:rPr>
      </w:pPr>
    </w:p>
    <w:p>
      <w:pPr>
        <w:spacing w:line="360" w:lineRule="auto"/>
        <w:ind w:firstLine="480" w:firstLineChars="200"/>
        <w:rPr>
          <w:rFonts w:asciiTheme="minorEastAsia" w:hAnsiTheme="minorEastAsia"/>
          <w:color w:val="000000" w:themeColor="text1"/>
          <w:sz w:val="24"/>
          <w14:textFill>
            <w14:solidFill>
              <w14:schemeClr w14:val="tx1"/>
            </w14:solidFill>
          </w14:textFill>
        </w:rPr>
      </w:pPr>
      <w:r>
        <w:rPr>
          <w:rFonts w:hint="eastAsia" w:ascii="宋体" w:hAnsi="宋体"/>
          <w:bCs/>
          <w:sz w:val="24"/>
          <w:lang w:val="en-US" w:eastAsia="zh-CN"/>
        </w:rPr>
        <w:t>4</w:t>
      </w:r>
      <w:r>
        <w:rPr>
          <w:rFonts w:ascii="宋体" w:hAnsi="宋体"/>
          <w:bCs/>
          <w:sz w:val="24"/>
        </w:rPr>
        <w:t>.</w:t>
      </w:r>
      <w:r>
        <w:rPr>
          <w:rFonts w:hint="eastAsia" w:ascii="宋体" w:hAnsi="宋体"/>
          <w:bCs/>
          <w:sz w:val="24"/>
          <w:lang w:val="en-US" w:eastAsia="zh-CN"/>
        </w:rPr>
        <w:t>双方以戴姆勒工厂系统发布VR一体化费用为对账时间点</w:t>
      </w:r>
      <w:r>
        <w:rPr>
          <w:rFonts w:hint="eastAsia" w:ascii="宋体" w:hAnsi="宋体"/>
          <w:bCs/>
          <w:sz w:val="24"/>
          <w:lang w:eastAsia="zh-CN"/>
        </w:rPr>
        <w:t>，</w:t>
      </w:r>
      <w:r>
        <w:rPr>
          <w:rFonts w:hint="eastAsia" w:ascii="宋体" w:hAnsi="宋体"/>
          <w:bCs/>
          <w:sz w:val="24"/>
          <w:lang w:val="en-US" w:eastAsia="zh-CN"/>
        </w:rPr>
        <w:t>双方核对无误后由乙方开具相应</w:t>
      </w:r>
      <w:r>
        <w:rPr>
          <w:rFonts w:hint="eastAsia" w:ascii="宋体" w:hAnsi="宋体"/>
          <w:bCs/>
          <w:sz w:val="24"/>
        </w:rPr>
        <w:t>的增值税专用发票，甲方收到合格发票后2</w:t>
      </w:r>
      <w:r>
        <w:rPr>
          <w:rFonts w:ascii="宋体" w:hAnsi="宋体"/>
          <w:bCs/>
          <w:sz w:val="24"/>
        </w:rPr>
        <w:t>0个工作日支付</w:t>
      </w:r>
      <w:r>
        <w:rPr>
          <w:rFonts w:hint="eastAsia" w:ascii="宋体" w:hAnsi="宋体"/>
          <w:bCs/>
          <w:sz w:val="24"/>
        </w:rPr>
        <w:t>相应费用。</w:t>
      </w:r>
      <w:r>
        <w:rPr>
          <w:rFonts w:hint="eastAsia" w:asciiTheme="minorEastAsia" w:hAnsiTheme="minorEastAsia"/>
          <w:color w:val="000000" w:themeColor="text1"/>
          <w:sz w:val="24"/>
          <w14:textFill>
            <w14:solidFill>
              <w14:schemeClr w14:val="tx1"/>
            </w14:solidFill>
          </w14:textFill>
        </w:rPr>
        <w:t>如果国家税率发生变化，甲方将基于不含税金额保持一致的条件下，按税率调整后的金额向乙方支付。</w:t>
      </w:r>
    </w:p>
    <w:p>
      <w:pPr>
        <w:spacing w:before="240" w:line="276" w:lineRule="auto"/>
        <w:ind w:firstLine="480" w:firstLineChars="200"/>
        <w:rPr>
          <w:rFonts w:ascii="宋体" w:hAnsi="宋体"/>
          <w:sz w:val="24"/>
        </w:rPr>
      </w:pPr>
      <w:r>
        <w:rPr>
          <w:rFonts w:ascii="宋体" w:hAnsi="宋体"/>
          <w:sz w:val="24"/>
        </w:rPr>
        <w:t>5、</w:t>
      </w:r>
      <w:r>
        <w:rPr>
          <w:rFonts w:hint="eastAsia" w:ascii="宋体" w:hAnsi="宋体"/>
          <w:sz w:val="24"/>
        </w:rPr>
        <w:t>乙方的银行账户信息如下：</w:t>
      </w:r>
    </w:p>
    <w:p>
      <w:pPr>
        <w:spacing w:before="240" w:line="360" w:lineRule="auto"/>
        <w:ind w:left="840" w:leftChars="400"/>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开户银行:</w:t>
      </w:r>
      <w:r>
        <w:rPr>
          <w:rFonts w:hint="eastAsia" w:cs="Times New Roman" w:asciiTheme="minorEastAsia" w:hAnsiTheme="minorEastAsia"/>
          <w:color w:val="000000" w:themeColor="text1"/>
          <w:sz w:val="24"/>
          <w14:textFill>
            <w14:solidFill>
              <w14:schemeClr w14:val="tx1"/>
            </w14:solidFill>
          </w14:textFill>
        </w:rPr>
        <w:t>中国银行股份有限公司北京怀柔支行</w:t>
      </w:r>
    </w:p>
    <w:p>
      <w:pPr>
        <w:spacing w:line="360" w:lineRule="auto"/>
        <w:ind w:left="840" w:leftChars="400"/>
        <w:rPr>
          <w:rFonts w:hint="eastAsia"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银行帐号:</w:t>
      </w:r>
      <w:r>
        <w:rPr>
          <w:rFonts w:hint="eastAsia" w:cs="Times New Roman" w:asciiTheme="minorEastAsia" w:hAnsiTheme="minorEastAsia"/>
          <w:color w:val="000000" w:themeColor="text1"/>
          <w:sz w:val="24"/>
          <w14:textFill>
            <w14:solidFill>
              <w14:schemeClr w14:val="tx1"/>
            </w14:solidFill>
          </w14:textFill>
        </w:rPr>
        <w:t>320762188295</w:t>
      </w:r>
    </w:p>
    <w:p>
      <w:pPr>
        <w:spacing w:line="360" w:lineRule="auto"/>
        <w:ind w:left="840" w:leftChars="400"/>
        <w:rPr>
          <w:rFonts w:hint="eastAsia"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税号:</w:t>
      </w:r>
      <w:r>
        <w:t xml:space="preserve"> </w:t>
      </w:r>
      <w:r>
        <w:rPr>
          <w:rFonts w:hint="eastAsia" w:cs="Times New Roman" w:asciiTheme="minorEastAsia" w:hAnsiTheme="minorEastAsia"/>
          <w:color w:val="000000" w:themeColor="text1"/>
          <w:sz w:val="24"/>
          <w14:textFill>
            <w14:solidFill>
              <w14:schemeClr w14:val="tx1"/>
            </w14:solidFill>
          </w14:textFill>
        </w:rPr>
        <w:t>91110116094874402R</w:t>
      </w:r>
    </w:p>
    <w:p>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发票单位名称:</w:t>
      </w:r>
      <w:r>
        <w:rPr>
          <w:rFonts w:hint="eastAsia" w:cs="Times New Roman" w:asciiTheme="minorEastAsia" w:hAnsiTheme="minorEastAsia"/>
          <w:color w:val="000000" w:themeColor="text1"/>
          <w:szCs w:val="21"/>
          <w:lang w:val="en-US" w:eastAsia="zh-CN"/>
          <w14:textFill>
            <w14:solidFill>
              <w14:schemeClr w14:val="tx1"/>
            </w14:solidFill>
          </w14:textFill>
        </w:rPr>
        <w:t>北京友联物流有限公司</w:t>
      </w:r>
      <w:r>
        <w:rPr>
          <w:rFonts w:hint="eastAsia" w:cs="Times New Roman" w:asciiTheme="minorEastAsia" w:hAnsiTheme="minorEastAsia"/>
          <w:color w:val="000000" w:themeColor="text1"/>
          <w:szCs w:val="21"/>
          <w14:textFill>
            <w14:solidFill>
              <w14:schemeClr w14:val="tx1"/>
            </w14:solidFill>
          </w14:textFill>
        </w:rPr>
        <w:t xml:space="preserve">  </w:t>
      </w:r>
    </w:p>
    <w:p>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pPr>
        <w:spacing w:line="360" w:lineRule="auto"/>
        <w:ind w:left="840" w:leftChars="400"/>
        <w:rPr>
          <w:rFonts w:hint="eastAsia" w:cs="Times New Roman" w:asciiTheme="minorEastAsia" w:hAnsiTheme="minorEastAsia"/>
          <w:color w:val="000000" w:themeColor="text1"/>
          <w:szCs w:val="21"/>
          <w14:textFill>
            <w14:solidFill>
              <w14:schemeClr w14:val="tx1"/>
            </w14:solidFill>
          </w14:textFill>
        </w:rPr>
      </w:pP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双方责任</w:t>
      </w:r>
    </w:p>
    <w:p>
      <w:pPr>
        <w:keepLines/>
        <w:numPr>
          <w:ilvl w:val="0"/>
          <w:numId w:val="3"/>
        </w:numPr>
        <w:spacing w:before="240" w:line="276" w:lineRule="auto"/>
        <w:ind w:firstLine="419" w:firstLineChars="174"/>
        <w:outlineLvl w:val="1"/>
        <w:rPr>
          <w:rFonts w:hint="eastAsia" w:asciiTheme="minorEastAsia" w:hAnsiTheme="minorEastAsia"/>
          <w:b/>
          <w:color w:val="000000" w:themeColor="text1"/>
          <w:sz w:val="24"/>
          <w:lang w:val="en-US" w:eastAsia="zh-CN"/>
          <w14:textFill>
            <w14:solidFill>
              <w14:schemeClr w14:val="tx1"/>
            </w14:solidFill>
          </w14:textFill>
        </w:rPr>
      </w:pPr>
      <w:r>
        <w:rPr>
          <w:rFonts w:hint="eastAsia" w:asciiTheme="minorEastAsia" w:hAnsiTheme="minorEastAsia"/>
          <w:b/>
          <w:color w:val="000000" w:themeColor="text1"/>
          <w:sz w:val="24"/>
          <w:lang w:val="en-US" w:eastAsia="zh-CN"/>
          <w14:textFill>
            <w14:solidFill>
              <w14:schemeClr w14:val="tx1"/>
            </w14:solidFill>
          </w14:textFill>
        </w:rPr>
        <w:t>甲方责任：</w:t>
      </w:r>
    </w:p>
    <w:p>
      <w:pPr>
        <w:keepLines/>
        <w:spacing w:before="240" w:line="276" w:lineRule="auto"/>
        <w:ind w:firstLine="720" w:firstLineChars="300"/>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甲方零部件至少提前一天到达VMI库房。</w:t>
      </w:r>
    </w:p>
    <w:p>
      <w:pPr>
        <w:keepLines/>
        <w:spacing w:before="240" w:line="276" w:lineRule="auto"/>
        <w:ind w:firstLine="720" w:firstLineChars="300"/>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2、甲方须向乙方提供VR一体化产品供货额，并确保数据真实性。</w:t>
      </w:r>
    </w:p>
    <w:p>
      <w:pPr>
        <w:keepLines/>
        <w:spacing w:before="240" w:line="276" w:lineRule="auto"/>
        <w:ind w:firstLine="419" w:firstLineChars="174"/>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一） </w:t>
      </w:r>
      <w:r>
        <w:rPr>
          <w:rFonts w:hint="eastAsia" w:asciiTheme="minorEastAsia" w:hAnsiTheme="minorEastAsia"/>
          <w:b/>
          <w:color w:val="000000" w:themeColor="text1"/>
          <w:sz w:val="24"/>
          <w:lang w:val="en-US" w:eastAsia="zh-CN"/>
          <w14:textFill>
            <w14:solidFill>
              <w14:schemeClr w14:val="tx1"/>
            </w14:solidFill>
          </w14:textFill>
        </w:rPr>
        <w:t>乙</w:t>
      </w:r>
      <w:r>
        <w:rPr>
          <w:rFonts w:hint="eastAsia" w:asciiTheme="minorEastAsia" w:hAnsiTheme="minorEastAsia"/>
          <w:b/>
          <w:color w:val="000000" w:themeColor="text1"/>
          <w:sz w:val="24"/>
          <w14:textFill>
            <w14:solidFill>
              <w14:schemeClr w14:val="tx1"/>
            </w14:solidFill>
          </w14:textFill>
        </w:rPr>
        <w:t xml:space="preserve">方责任：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 xml:space="preserve"> 乙</w:t>
      </w:r>
      <w:r>
        <w:rPr>
          <w:rFonts w:hint="eastAsia" w:cs="Times New Roman" w:asciiTheme="minorEastAsia" w:hAnsiTheme="minorEastAsia"/>
          <w:color w:val="000000" w:themeColor="text1"/>
          <w:sz w:val="24"/>
          <w14:textFill>
            <w14:solidFill>
              <w14:schemeClr w14:val="tx1"/>
            </w14:solidFill>
          </w14:textFill>
        </w:rPr>
        <w:t>方</w:t>
      </w:r>
      <w:r>
        <w:rPr>
          <w:rFonts w:hint="eastAsia" w:cs="Times New Roman" w:asciiTheme="minorEastAsia" w:hAnsiTheme="minorEastAsia"/>
          <w:color w:val="000000" w:themeColor="text1"/>
          <w:sz w:val="24"/>
          <w:lang w:val="en-US" w:eastAsia="zh-CN"/>
          <w14:textFill>
            <w14:solidFill>
              <w14:schemeClr w14:val="tx1"/>
            </w14:solidFill>
          </w14:textFill>
        </w:rPr>
        <w:t>在</w:t>
      </w:r>
      <w:r>
        <w:rPr>
          <w:rFonts w:hint="eastAsia" w:cs="Times New Roman" w:asciiTheme="minorEastAsia" w:hAnsiTheme="minorEastAsia"/>
          <w:color w:val="000000" w:themeColor="text1"/>
          <w:sz w:val="24"/>
          <w14:textFill>
            <w14:solidFill>
              <w14:schemeClr w14:val="tx1"/>
            </w14:solidFill>
          </w14:textFill>
        </w:rPr>
        <w:t>货物送</w:t>
      </w:r>
      <w:r>
        <w:rPr>
          <w:rFonts w:hint="eastAsia" w:cs="Times New Roman" w:asciiTheme="minorEastAsia" w:hAnsiTheme="minorEastAsia"/>
          <w:color w:val="000000" w:themeColor="text1"/>
          <w:sz w:val="24"/>
          <w:lang w:val="en-US" w:eastAsia="zh-CN"/>
          <w14:textFill>
            <w14:solidFill>
              <w14:schemeClr w14:val="tx1"/>
            </w14:solidFill>
          </w14:textFill>
        </w:rPr>
        <w:t>达工厂</w:t>
      </w:r>
      <w:r>
        <w:rPr>
          <w:rFonts w:hint="eastAsia" w:cs="Times New Roman" w:asciiTheme="minorEastAsia" w:hAnsiTheme="minorEastAsia"/>
          <w:color w:val="000000" w:themeColor="text1"/>
          <w:sz w:val="24"/>
          <w14:textFill>
            <w14:solidFill>
              <w14:schemeClr w14:val="tx1"/>
            </w14:solidFill>
          </w14:textFill>
        </w:rPr>
        <w:t>后，要及时协调有关人员办理货物验收及卸货。</w:t>
      </w:r>
    </w:p>
    <w:p>
      <w:pPr>
        <w:keepLines/>
        <w:spacing w:before="240" w:line="276" w:lineRule="auto"/>
        <w:ind w:left="1274" w:leftChars="405" w:hanging="424" w:hangingChars="177"/>
        <w:outlineLvl w:val="1"/>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 xml:space="preserve">、 </w:t>
      </w:r>
      <w:r>
        <w:rPr>
          <w:rFonts w:hint="eastAsia" w:cs="Times New Roman" w:asciiTheme="minorEastAsia" w:hAnsiTheme="minorEastAsia"/>
          <w:color w:val="000000" w:themeColor="text1"/>
          <w:sz w:val="24"/>
          <w:lang w:val="en-US" w:eastAsia="zh-CN"/>
          <w14:textFill>
            <w14:solidFill>
              <w14:schemeClr w14:val="tx1"/>
            </w14:solidFill>
          </w14:textFill>
        </w:rPr>
        <w:t>乙方负责戴姆勒工厂生产上线服务。</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 乙方</w:t>
      </w:r>
      <w:r>
        <w:rPr>
          <w:rFonts w:hint="eastAsia" w:cs="Times New Roman" w:asciiTheme="minorEastAsia" w:hAnsiTheme="minorEastAsia"/>
          <w:color w:val="000000" w:themeColor="text1"/>
          <w:sz w:val="24"/>
          <w:lang w:val="en-US" w:eastAsia="zh-CN"/>
          <w14:textFill>
            <w14:solidFill>
              <w14:schemeClr w14:val="tx1"/>
            </w14:solidFill>
          </w14:textFill>
        </w:rPr>
        <w:t>在</w:t>
      </w:r>
      <w:r>
        <w:rPr>
          <w:rFonts w:hint="eastAsia" w:cs="Times New Roman" w:asciiTheme="minorEastAsia" w:hAnsiTheme="minorEastAsia"/>
          <w:color w:val="000000" w:themeColor="text1"/>
          <w:sz w:val="24"/>
          <w14:textFill>
            <w14:solidFill>
              <w14:schemeClr w14:val="tx1"/>
            </w14:solidFill>
          </w14:textFill>
        </w:rPr>
        <w:t>完成运输任务后，</w:t>
      </w:r>
      <w:r>
        <w:rPr>
          <w:rFonts w:hint="eastAsia" w:cs="Times New Roman" w:asciiTheme="minorEastAsia" w:hAnsiTheme="minorEastAsia"/>
          <w:color w:val="000000" w:themeColor="text1"/>
          <w:sz w:val="24"/>
          <w:lang w:val="en-US" w:eastAsia="zh-CN"/>
          <w14:textFill>
            <w14:solidFill>
              <w14:schemeClr w14:val="tx1"/>
            </w14:solidFill>
          </w14:textFill>
        </w:rPr>
        <w:t>负责与工厂厂内收货人确认</w:t>
      </w:r>
      <w:r>
        <w:rPr>
          <w:rFonts w:hint="eastAsia" w:cs="Times New Roman" w:asciiTheme="minorEastAsia" w:hAnsiTheme="minorEastAsia"/>
          <w:color w:val="000000" w:themeColor="text1"/>
          <w:sz w:val="24"/>
          <w14:textFill>
            <w14:solidFill>
              <w14:schemeClr w14:val="tx1"/>
            </w14:solidFill>
          </w14:textFill>
        </w:rPr>
        <w:t>交接</w:t>
      </w:r>
      <w:r>
        <w:rPr>
          <w:rFonts w:hint="eastAsia" w:cs="Times New Roman" w:asciiTheme="minorEastAsia" w:hAnsiTheme="minorEastAsia"/>
          <w:color w:val="000000" w:themeColor="text1"/>
          <w:sz w:val="24"/>
          <w:lang w:val="en-US" w:eastAsia="zh-CN"/>
          <w14:textFill>
            <w14:solidFill>
              <w14:schemeClr w14:val="tx1"/>
            </w14:solidFill>
          </w14:textFill>
        </w:rPr>
        <w:t>并</w:t>
      </w:r>
      <w:r>
        <w:rPr>
          <w:rFonts w:hint="eastAsia" w:cs="Times New Roman" w:asciiTheme="minorEastAsia" w:hAnsiTheme="minorEastAsia"/>
          <w:color w:val="000000" w:themeColor="text1"/>
          <w:sz w:val="24"/>
          <w14:textFill>
            <w14:solidFill>
              <w14:schemeClr w14:val="tx1"/>
            </w14:solidFill>
          </w14:textFill>
        </w:rPr>
        <w:t>签字，</w:t>
      </w:r>
      <w:r>
        <w:rPr>
          <w:rFonts w:hint="eastAsia" w:cs="Times New Roman" w:asciiTheme="minorEastAsia" w:hAnsiTheme="minorEastAsia"/>
          <w:color w:val="000000" w:themeColor="text1"/>
          <w:sz w:val="24"/>
          <w:lang w:val="en-US" w:eastAsia="zh-CN"/>
          <w14:textFill>
            <w14:solidFill>
              <w14:schemeClr w14:val="tx1"/>
            </w14:solidFill>
          </w14:textFill>
        </w:rPr>
        <w:t>将纸质单据交予总装材料会计处，办理入库环节</w:t>
      </w:r>
      <w:r>
        <w:rPr>
          <w:rFonts w:hint="eastAsia" w:cs="Times New Roman" w:asciiTheme="minorEastAsia" w:hAnsiTheme="minorEastAsia"/>
          <w:color w:val="000000" w:themeColor="text1"/>
          <w:sz w:val="24"/>
          <w14:textFill>
            <w14:solidFill>
              <w14:schemeClr w14:val="tx1"/>
            </w14:solidFill>
          </w14:textFill>
        </w:rPr>
        <w:t>。</w:t>
      </w:r>
    </w:p>
    <w:p>
      <w:pPr>
        <w:keepLines/>
        <w:spacing w:before="240" w:line="276" w:lineRule="auto"/>
        <w:ind w:firstLine="240" w:firstLineChars="100"/>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二）乙方责任范围：</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1、乙方负责按甲方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 xml:space="preserve">要求时区进行运输配送。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2、乙方必须保障所运货物的运输安全，发生交通事故致使货物损失由乙方负责。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、乙方负责运输车辆的相对稳定性，便于甲方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 xml:space="preserve">进行出入厂区管理，所用运输车辆需提前备案，变更运输车辆需提前征得甲方同意。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4</w:t>
      </w:r>
      <w:r>
        <w:rPr>
          <w:rFonts w:hint="eastAsia" w:cs="Times New Roman" w:asciiTheme="minorEastAsia" w:hAnsiTheme="minorEastAsia"/>
          <w:color w:val="000000" w:themeColor="text1"/>
          <w:sz w:val="24"/>
          <w14:textFill>
            <w14:solidFill>
              <w14:schemeClr w14:val="tx1"/>
            </w14:solidFill>
          </w14:textFill>
        </w:rPr>
        <w:t xml:space="preserve">、乙方应培训运输公司司机遵守二工厂的交通管理规定。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5、乙方负责将空的工位器具拉回甲方指定地点，并协助做好数量清点工作。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6、乙方必须保证甲方零部件运输业务的所需车辆，及时响应紧急业务调度。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7</w:t>
      </w:r>
      <w:r>
        <w:rPr>
          <w:rFonts w:hint="eastAsia" w:cs="Times New Roman" w:asciiTheme="minorEastAsia" w:hAnsiTheme="minorEastAsia"/>
          <w:color w:val="000000" w:themeColor="text1"/>
          <w:sz w:val="24"/>
          <w14:textFill>
            <w14:solidFill>
              <w14:schemeClr w14:val="tx1"/>
            </w14:solidFill>
          </w14:textFill>
        </w:rPr>
        <w:t>、乙方必须保证托运零部件的安全。准时运送达到目的地，乙方因运输途中发生零部件淋雨、磕碰、划伤、变形丢失或交通事故等原因造成所有损失，必须赔偿甲方全部经济损失，并甲方有权对其进行考核，并从乙方运费中扣除相应费用。</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8</w:t>
      </w:r>
      <w:r>
        <w:rPr>
          <w:rFonts w:hint="eastAsia" w:cs="Times New Roman" w:asciiTheme="minorEastAsia" w:hAnsiTheme="minorEastAsia"/>
          <w:color w:val="000000" w:themeColor="text1"/>
          <w:sz w:val="24"/>
          <w14:textFill>
            <w14:solidFill>
              <w14:schemeClr w14:val="tx1"/>
            </w14:solidFill>
          </w14:textFill>
        </w:rPr>
        <w:t xml:space="preserve">、乙方的操作必须按照甲方相关的安全要求进行操作，如违法相关安全要求，造成的损失由乙方承担。 </w:t>
      </w:r>
    </w:p>
    <w:p>
      <w:pPr>
        <w:keepLines/>
        <w:spacing w:before="240" w:line="276" w:lineRule="auto"/>
        <w:ind w:left="1274" w:leftChars="405" w:hanging="424" w:hangingChars="177"/>
        <w:outlineLvl w:val="1"/>
        <w:rPr>
          <w:rFonts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9</w:t>
      </w:r>
      <w:r>
        <w:rPr>
          <w:rFonts w:hint="eastAsia" w:cs="Times New Roman" w:asciiTheme="minorEastAsia" w:hAnsiTheme="minorEastAsia"/>
          <w:color w:val="000000" w:themeColor="text1"/>
          <w:sz w:val="24"/>
          <w14:textFill>
            <w14:solidFill>
              <w14:schemeClr w14:val="tx1"/>
            </w14:solidFill>
          </w14:textFill>
        </w:rPr>
        <w:t xml:space="preserve">、乙方需对装车后零部件的数量及外观质量进行确认。 </w:t>
      </w:r>
    </w:p>
    <w:p>
      <w:pPr>
        <w:pStyle w:val="34"/>
        <w:keepLines/>
        <w:spacing w:before="240" w:line="276" w:lineRule="auto"/>
        <w:ind w:left="1273" w:leftChars="406" w:hanging="420" w:hangingChars="175"/>
        <w:outlineLvl w:val="1"/>
        <w:rPr>
          <w:rFonts w:asciiTheme="minorEastAsia" w:hAnsiTheme="minorEastAsia" w:eastAsiaTheme="minorEastAsia"/>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4"/>
          <w:szCs w:val="22"/>
          <w:lang w:val="en-US" w:eastAsia="zh-CN"/>
          <w14:textFill>
            <w14:solidFill>
              <w14:schemeClr w14:val="tx1"/>
            </w14:solidFill>
          </w14:textFill>
        </w:rPr>
        <w:t>10</w:t>
      </w:r>
      <w:r>
        <w:rPr>
          <w:rFonts w:hint="eastAsia" w:asciiTheme="minorEastAsia" w:hAnsiTheme="minorEastAsia" w:eastAsiaTheme="minorEastAsia"/>
          <w:color w:val="000000" w:themeColor="text1"/>
          <w:sz w:val="24"/>
          <w:szCs w:val="22"/>
          <w14:textFill>
            <w14:solidFill>
              <w14:schemeClr w14:val="tx1"/>
            </w14:solidFill>
          </w14:textFill>
        </w:rPr>
        <w:t xml:space="preserve">、物流运输过程中乙方必须采取相应防护措施确保运输途中的外观质量、安全，尤其是雨雪、风沙天气时，所运输零部件不能损坏。 </w:t>
      </w:r>
    </w:p>
    <w:p>
      <w:pPr>
        <w:pStyle w:val="34"/>
        <w:keepLines/>
        <w:spacing w:before="240" w:line="276" w:lineRule="auto"/>
        <w:ind w:left="1273" w:leftChars="406" w:hanging="420" w:hangingChars="175"/>
        <w:outlineLvl w:val="1"/>
        <w:rPr>
          <w:rFonts w:asciiTheme="minorEastAsia" w:hAnsiTheme="minorEastAsia" w:eastAsiaTheme="minorEastAsia"/>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4"/>
          <w:szCs w:val="22"/>
          <w14:textFill>
            <w14:solidFill>
              <w14:schemeClr w14:val="tx1"/>
            </w14:solidFill>
          </w14:textFill>
        </w:rPr>
        <w:t>1</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2"/>
          <w14:textFill>
            <w14:solidFill>
              <w14:schemeClr w14:val="tx1"/>
            </w14:solidFill>
          </w14:textFill>
        </w:rPr>
        <w:t>、乙方必须按照甲方</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客户</w:t>
      </w:r>
      <w:r>
        <w:rPr>
          <w:rFonts w:hint="eastAsia" w:asciiTheme="minorEastAsia" w:hAnsiTheme="minorEastAsia" w:eastAsiaTheme="minorEastAsia"/>
          <w:color w:val="000000" w:themeColor="text1"/>
          <w:sz w:val="24"/>
          <w:szCs w:val="22"/>
          <w14:textFill>
            <w14:solidFill>
              <w14:schemeClr w14:val="tx1"/>
            </w14:solidFill>
          </w14:textFill>
        </w:rPr>
        <w:t>要求，将相关零部件按时送达，因乙方原因延期送达的，因乙方原因造成甲方生产停线的，甲方有权对要求乙方</w:t>
      </w:r>
      <w:r>
        <w:rPr>
          <w:rFonts w:hint="eastAsia" w:asciiTheme="minorEastAsia" w:hAnsiTheme="minorEastAsia" w:eastAsiaTheme="minorEastAsia"/>
          <w:color w:val="000000" w:themeColor="text1"/>
          <w:sz w:val="24"/>
          <w:szCs w:val="22"/>
          <w:lang w:val="en-US" w:eastAsia="zh-CN"/>
          <w14:textFill>
            <w14:solidFill>
              <w14:schemeClr w14:val="tx1"/>
            </w14:solidFill>
          </w14:textFill>
        </w:rPr>
        <w:t>承担戴姆勒相关考核</w:t>
      </w:r>
      <w:r>
        <w:rPr>
          <w:rFonts w:hint="eastAsia" w:asciiTheme="minorEastAsia" w:hAnsiTheme="minorEastAsia" w:eastAsiaTheme="minorEastAsia"/>
          <w:color w:val="000000" w:themeColor="text1"/>
          <w:sz w:val="24"/>
          <w:szCs w:val="22"/>
          <w14:textFill>
            <w14:solidFill>
              <w14:schemeClr w14:val="tx1"/>
            </w14:solidFill>
          </w14:textFill>
        </w:rPr>
        <w:t xml:space="preserve">，金额按甲方核算金额执行。 </w:t>
      </w:r>
    </w:p>
    <w:p>
      <w:pPr>
        <w:keepLines/>
        <w:spacing w:before="240" w:line="276" w:lineRule="auto"/>
        <w:ind w:left="1273" w:leftChars="406" w:hanging="420" w:hangingChars="175"/>
        <w:outlineLvl w:val="1"/>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t>1</w:t>
      </w:r>
      <w:r>
        <w:rPr>
          <w:rFonts w:hint="eastAsia" w:cs="Times New Roman" w:asciiTheme="minorEastAsia" w:hAnsiTheme="minorEastAsia"/>
          <w:color w:val="000000" w:themeColor="text1"/>
          <w:sz w:val="24"/>
          <w:lang w:val="en-US" w:eastAsia="zh-CN"/>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、在合同有效期内，乙方应主动实时了解甲方</w:t>
      </w:r>
      <w:r>
        <w:rPr>
          <w:rFonts w:hint="eastAsia" w:cs="Times New Roman" w:asciiTheme="minorEastAsia" w:hAnsiTheme="minorEastAsia"/>
          <w:color w:val="000000" w:themeColor="text1"/>
          <w:sz w:val="24"/>
          <w:lang w:val="en-US" w:eastAsia="zh-CN"/>
          <w14:textFill>
            <w14:solidFill>
              <w14:schemeClr w14:val="tx1"/>
            </w14:solidFill>
          </w14:textFill>
        </w:rPr>
        <w:t>客户</w:t>
      </w:r>
      <w:r>
        <w:rPr>
          <w:rFonts w:hint="eastAsia" w:cs="Times New Roman" w:asciiTheme="minorEastAsia" w:hAnsiTheme="minorEastAsia"/>
          <w:color w:val="000000" w:themeColor="text1"/>
          <w:sz w:val="24"/>
          <w14:textFill>
            <w14:solidFill>
              <w14:schemeClr w14:val="tx1"/>
            </w14:solidFill>
          </w14:textFill>
        </w:rPr>
        <w:t>制定的与乙方服务项目相关的各项管理文件或要求并遵照执行</w:t>
      </w:r>
      <w:r>
        <w:rPr>
          <w:rFonts w:hint="eastAsia" w:cs="Times New Roman" w:asciiTheme="minorEastAsia" w:hAnsiTheme="minorEastAsia"/>
          <w:color w:val="000000" w:themeColor="text1"/>
          <w:sz w:val="24"/>
          <w:highlight w:val="none"/>
          <w:lang w:eastAsia="zh-CN"/>
          <w14:textFill>
            <w14:solidFill>
              <w14:schemeClr w14:val="tx1"/>
            </w14:solidFill>
          </w14:textFill>
        </w:rPr>
        <w:t>。</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合规条款</w:t>
      </w:r>
    </w:p>
    <w:p>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双方同意遵守影响双方履行本协议条款的具有法律效力的所有适用法律、规则、法规和产品要求，包括但不限于其各自的注册地或主要营业地及经营地的法律、规则、法规和产品要求（统称为“适用法律”）。</w:t>
      </w:r>
    </w:p>
    <w:p>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尽管有上述规定及本协议项下任何进一步规定，双方确认其均已制定了充分的程序，以遵守与反垄断、反腐败、反洗钱、制裁与出口管制义务、数据保护、禁止童工和强迫劳动、劳工权利、职业健康与安全以及双方合同关系存续期间的环境保护所相关的适用法律。</w:t>
      </w:r>
    </w:p>
    <w:p>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双方同意在双方合同关系存续期间尊重《联合国国际人权法案》及ILO（国际劳工组织）基本公约中所表述的所有国际公认的人权。</w:t>
      </w:r>
    </w:p>
    <w:p>
      <w:pPr>
        <w:pStyle w:val="34"/>
        <w:numPr>
          <w:ilvl w:val="2"/>
          <w:numId w:val="1"/>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双方应通过制定、实施、监督与积极执行相关政策、程序和措施，包括但不限于保存准确的账簿和记录，以确保持续并完全遵守本条的所有规定。</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保密条款</w:t>
      </w:r>
    </w:p>
    <w:p>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保密内容（包括但不限于技术信息和经营信息）：</w:t>
      </w:r>
    </w:p>
    <w:p>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双方都有责任对对方提供的技术情报、资料数据及商业秘密保密，不得向第三方泄露；</w:t>
      </w:r>
    </w:p>
    <w:p>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未经对方事先书面同意，任何一方不得以任何形式公开合同及其相关附件内容，不得向第三方泄露接触到的对方需要保密的情报和资料；</w:t>
      </w:r>
    </w:p>
    <w:p>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未经对方事先书面同意，任何一方不得为任何其他目的而自行使用或允许他人使用从对方获得的信息（信息指包括但不限于所有的报告、摘录、纪要、文件、计划、报表、复印件等）；</w:t>
      </w:r>
    </w:p>
    <w:p>
      <w:pPr>
        <w:numPr>
          <w:ilvl w:val="1"/>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乙方若要在相关的宣传、广告或出版物中使用甲方商标、标志、名称或项目简介，并作为案例进行市场推广行为，必须与甲方协商书面同意后方可执行。</w:t>
      </w:r>
    </w:p>
    <w:p>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保密期限：双方合作开始至合同终止后</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年内；</w:t>
      </w:r>
    </w:p>
    <w:p>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泄密责任：任何一方违反此合同，须承担本合同</w:t>
      </w:r>
      <w:r>
        <w:rPr>
          <w:rFonts w:ascii="宋体" w:hAnsi="宋体" w:eastAsia="宋体" w:cs="Times New Roman"/>
          <w:sz w:val="24"/>
          <w:szCs w:val="24"/>
        </w:rPr>
        <w:t>至违约行为发生时可计算的合同总额的</w:t>
      </w:r>
      <w:r>
        <w:rPr>
          <w:rFonts w:hint="eastAsia" w:ascii="宋体" w:hAnsi="宋体" w:eastAsia="宋体" w:cs="Times New Roman"/>
          <w:sz w:val="24"/>
          <w:szCs w:val="24"/>
        </w:rPr>
        <w:t>30％的违约金，给对方造成损失的，还须承担赔偿责任；</w:t>
      </w:r>
    </w:p>
    <w:p>
      <w:pPr>
        <w:numPr>
          <w:ilvl w:val="0"/>
          <w:numId w:val="4"/>
        </w:numPr>
        <w:spacing w:before="240" w:line="276" w:lineRule="auto"/>
        <w:rPr>
          <w:rFonts w:ascii="宋体" w:hAnsi="宋体" w:eastAsia="宋体" w:cs="Times New Roman"/>
          <w:sz w:val="24"/>
          <w:szCs w:val="24"/>
        </w:rPr>
      </w:pPr>
      <w:r>
        <w:rPr>
          <w:rFonts w:hint="eastAsia" w:ascii="宋体" w:hAnsi="宋体" w:eastAsia="宋体" w:cs="Times New Roman"/>
          <w:sz w:val="24"/>
          <w:szCs w:val="24"/>
        </w:rPr>
        <w:t>双方约定：不论本合同是否变更、解除、终止，保密条款均有效。</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乙方人员在甲方</w:t>
      </w:r>
      <w:r>
        <w:rPr>
          <w:rFonts w:hint="eastAsia" w:asciiTheme="minorEastAsia" w:hAnsiTheme="minorEastAsia"/>
          <w:b/>
          <w:color w:val="000000" w:themeColor="text1"/>
          <w:sz w:val="24"/>
          <w:lang w:val="en-US" w:eastAsia="zh-CN"/>
          <w14:textFill>
            <w14:solidFill>
              <w14:schemeClr w14:val="tx1"/>
            </w14:solidFill>
          </w14:textFill>
        </w:rPr>
        <w:t>客户</w:t>
      </w:r>
      <w:r>
        <w:rPr>
          <w:rFonts w:asciiTheme="minorEastAsia" w:hAnsiTheme="minorEastAsia"/>
          <w:b/>
          <w:color w:val="000000" w:themeColor="text1"/>
          <w:sz w:val="24"/>
          <w14:textFill>
            <w14:solidFill>
              <w14:schemeClr w14:val="tx1"/>
            </w14:solidFill>
          </w14:textFill>
        </w:rPr>
        <w:t>现场信息安全管理条款</w:t>
      </w:r>
    </w:p>
    <w:p>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入场安全管理：</w:t>
      </w:r>
    </w:p>
    <w:p>
      <w:pPr>
        <w:pStyle w:val="34"/>
        <w:numPr>
          <w:ilvl w:val="1"/>
          <w:numId w:val="6"/>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甲方人员应根据乙方人员的具体工作内容，为其申请专用的办公设备、出入证、帐号权限等。</w:t>
      </w:r>
    </w:p>
    <w:p>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驻场安全管理：</w:t>
      </w:r>
    </w:p>
    <w:p>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乙方人员入场后，乙方人员</w:t>
      </w:r>
      <w:r>
        <w:rPr>
          <w:rFonts w:hint="eastAsia" w:asciiTheme="minorEastAsia" w:hAnsiTheme="minorEastAsia"/>
          <w:color w:val="000000" w:themeColor="text1"/>
          <w:sz w:val="24"/>
          <w:lang w:val="en-US" w:eastAsia="zh-CN"/>
          <w14:textFill>
            <w14:solidFill>
              <w14:schemeClr w14:val="tx1"/>
            </w14:solidFill>
          </w14:textFill>
        </w:rPr>
        <w:t>必须</w:t>
      </w:r>
      <w:r>
        <w:rPr>
          <w:rFonts w:asciiTheme="minorEastAsia" w:hAnsiTheme="minorEastAsia"/>
          <w:color w:val="000000" w:themeColor="text1"/>
          <w:sz w:val="24"/>
          <w14:textFill>
            <w14:solidFill>
              <w14:schemeClr w14:val="tx1"/>
            </w14:solidFill>
          </w14:textFill>
        </w:rPr>
        <w:t>参加信息安全培训，培训内容包括</w:t>
      </w:r>
      <w:r>
        <w:rPr>
          <w:rFonts w:hint="eastAsia" w:asciiTheme="minorEastAsia" w:hAnsiTheme="minorEastAsia"/>
          <w:color w:val="000000" w:themeColor="text1"/>
          <w:sz w:val="24"/>
          <w14:textFill>
            <w14:solidFill>
              <w14:schemeClr w14:val="tx1"/>
            </w14:solidFill>
          </w14:textFill>
        </w:rPr>
        <w:t>甲方</w:t>
      </w:r>
      <w:r>
        <w:rPr>
          <w:rFonts w:asciiTheme="minorEastAsia" w:hAnsiTheme="minorEastAsia"/>
          <w:color w:val="000000" w:themeColor="text1"/>
          <w:sz w:val="24"/>
          <w14:textFill>
            <w14:solidFill>
              <w14:schemeClr w14:val="tx1"/>
            </w14:solidFill>
          </w14:textFill>
        </w:rPr>
        <w:t>信息安全制度、以及基本的信息安全意识等；</w:t>
      </w:r>
    </w:p>
    <w:p>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乙方人员访问信息处理设施及信息系统，必须进行审批、登记和备案，并采取相应的安全保护措施；</w:t>
      </w:r>
    </w:p>
    <w:p>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乙方人员工作内容发生变动时，甲方应及时根据新的工作职责</w:t>
      </w:r>
      <w:r>
        <w:rPr>
          <w:rFonts w:hint="eastAsia" w:asciiTheme="minorEastAsia" w:hAnsiTheme="minorEastAsia"/>
          <w:color w:val="000000" w:themeColor="text1"/>
          <w:sz w:val="24"/>
          <w:lang w:val="en-US" w:eastAsia="zh-CN"/>
          <w14:textFill>
            <w14:solidFill>
              <w14:schemeClr w14:val="tx1"/>
            </w14:solidFill>
          </w14:textFill>
        </w:rPr>
        <w:t>业务也随之</w:t>
      </w:r>
      <w:r>
        <w:rPr>
          <w:rFonts w:asciiTheme="minorEastAsia" w:hAnsiTheme="minorEastAsia"/>
          <w:color w:val="000000" w:themeColor="text1"/>
          <w:sz w:val="24"/>
          <w14:textFill>
            <w14:solidFill>
              <w14:schemeClr w14:val="tx1"/>
            </w14:solidFill>
          </w14:textFill>
        </w:rPr>
        <w:t>进行变更；</w:t>
      </w:r>
    </w:p>
    <w:p>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严禁任何乙方人员携带易燃、易爆、易碎、易腐蚀、易霉烂、易变质和强磁场、强辐射等危险物品进入工作区域；</w:t>
      </w:r>
    </w:p>
    <w:p>
      <w:pPr>
        <w:pStyle w:val="34"/>
        <w:numPr>
          <w:ilvl w:val="1"/>
          <w:numId w:val="7"/>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严禁任何乙方人员在办公区域内使用任何与工作无关的用电设备，如电炉、电水壶、电吹风等。</w:t>
      </w:r>
    </w:p>
    <w:p>
      <w:pPr>
        <w:pStyle w:val="34"/>
        <w:numPr>
          <w:ilvl w:val="0"/>
          <w:numId w:val="5"/>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违规处罚管理：</w:t>
      </w:r>
    </w:p>
    <w:p>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乙方人员必须遵守</w:t>
      </w:r>
      <w:r>
        <w:rPr>
          <w:rFonts w:hint="eastAsia" w:asciiTheme="minorEastAsia" w:hAnsiTheme="minorEastAsia"/>
          <w:color w:val="000000" w:themeColor="text1"/>
          <w:sz w:val="24"/>
          <w14:textFill>
            <w14:solidFill>
              <w14:schemeClr w14:val="tx1"/>
            </w14:solidFill>
          </w14:textFill>
        </w:rPr>
        <w:t>甲方</w:t>
      </w:r>
      <w:r>
        <w:rPr>
          <w:rFonts w:hint="eastAsia" w:asciiTheme="minorEastAsia" w:hAnsiTheme="minorEastAsia"/>
          <w:color w:val="000000" w:themeColor="text1"/>
          <w:sz w:val="24"/>
          <w:lang w:val="en-US" w:eastAsia="zh-CN"/>
          <w14:textFill>
            <w14:solidFill>
              <w14:schemeClr w14:val="tx1"/>
            </w14:solidFill>
          </w14:textFill>
        </w:rPr>
        <w:t>客户</w:t>
      </w:r>
      <w:r>
        <w:rPr>
          <w:rFonts w:asciiTheme="minorEastAsia" w:hAnsiTheme="minorEastAsia"/>
          <w:color w:val="000000" w:themeColor="text1"/>
          <w:sz w:val="24"/>
          <w14:textFill>
            <w14:solidFill>
              <w14:schemeClr w14:val="tx1"/>
            </w14:solidFill>
          </w14:textFill>
        </w:rPr>
        <w:t>发布的与安全相关的各项规章制度；</w:t>
      </w:r>
    </w:p>
    <w:p>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乙方人员违反</w:t>
      </w:r>
      <w:r>
        <w:rPr>
          <w:rFonts w:hint="eastAsia" w:asciiTheme="minorEastAsia" w:hAnsiTheme="minorEastAsia"/>
          <w:color w:val="000000" w:themeColor="text1"/>
          <w:sz w:val="24"/>
          <w14:textFill>
            <w14:solidFill>
              <w14:schemeClr w14:val="tx1"/>
            </w14:solidFill>
          </w14:textFill>
        </w:rPr>
        <w:t>甲方</w:t>
      </w:r>
      <w:r>
        <w:rPr>
          <w:rFonts w:hint="eastAsia" w:asciiTheme="minorEastAsia" w:hAnsiTheme="minorEastAsia"/>
          <w:color w:val="000000" w:themeColor="text1"/>
          <w:sz w:val="24"/>
          <w:lang w:val="en-US" w:eastAsia="zh-CN"/>
          <w14:textFill>
            <w14:solidFill>
              <w14:schemeClr w14:val="tx1"/>
            </w14:solidFill>
          </w14:textFill>
        </w:rPr>
        <w:t>客户</w:t>
      </w:r>
      <w:r>
        <w:rPr>
          <w:rFonts w:asciiTheme="minorEastAsia" w:hAnsiTheme="minorEastAsia"/>
          <w:color w:val="000000" w:themeColor="text1"/>
          <w:sz w:val="24"/>
          <w14:textFill>
            <w14:solidFill>
              <w14:schemeClr w14:val="tx1"/>
            </w14:solidFill>
          </w14:textFill>
        </w:rPr>
        <w:t>安全管理制度，依双方合同协商处理；</w:t>
      </w:r>
    </w:p>
    <w:p>
      <w:pPr>
        <w:pStyle w:val="34"/>
        <w:numPr>
          <w:ilvl w:val="1"/>
          <w:numId w:val="8"/>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对于违反国家法律法规的乙方人员，应将违规人员移交司法机关。</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安全环保生产管理职责条款：</w:t>
      </w:r>
    </w:p>
    <w:p>
      <w:pPr>
        <w:pStyle w:val="34"/>
        <w:numPr>
          <w:ilvl w:val="0"/>
          <w:numId w:val="9"/>
        </w:numPr>
        <w:spacing w:before="240" w:line="276" w:lineRule="auto"/>
        <w:ind w:firstLineChars="0"/>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乙方职责：</w:t>
      </w:r>
    </w:p>
    <w:p>
      <w:pPr>
        <w:pStyle w:val="34"/>
        <w:numPr>
          <w:ilvl w:val="0"/>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人员规范：</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乙方进入甲方的现场操作人员应确保身体健康、适应从事相关作业的对身体素质的要求，否则，出现事故由乙方承担责任</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乙方应为进入甲方的全体作业人员按照相关规定办理保险，费用由乙方承担，否则，出现事故，损失由乙方全部承担；</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乙方人员进入甲方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区域，负责人必须做好安全生产教育工作，防止发生意外事故。</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生产区与非生产区）的各类人员时必须佩戴甲方核发的胸卡或有效证件，且穿厂家工作服。现场服务人员除穿厂家工作服，还必须正确穿戴好必备的劳动防护用品。禁止穿背心、短裤、裙子，敞开衣襟、打赤膊、打赤脚等不安全装束进入厂区。</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乙方必须遵守甲方各项安全管理规定，并执行甲方对生产现场文明生产、定置管理、禁止吸烟、防火防盗等有关规定。</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生产区与非生产区）的所有行人必须按规定路线在厂区内行走，走人车隔离护栏内的人行道，未安装护栏的道路，行人须靠道路右侧行走。所有行人在生产区域穿越厂内道路、物流卸货区内作业、未安装防护栏的道路上行走时，严禁一切妨碍自身安全的行为，如行走中接打电话、收发短信等。</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进入甲方的所有人员须熟知甲方环境、职业健康安全方针：以人为本、守法为根、预防污染、降低风险、持续改进、清洁生产，以一流重卡制造基地、创一流作业环境、为顾客提供安全优质产品。</w:t>
      </w:r>
    </w:p>
    <w:p>
      <w:pPr>
        <w:pStyle w:val="34"/>
        <w:numPr>
          <w:ilvl w:val="0"/>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车辆行驶规范：</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乙方机动车驾驶员进入甲方（生产区与非生产区），乙方负责人必须做好安全生产教育工作及厂内外交通安全教育，每月不低于一次，防止发生意外事故。</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乙方车辆进出甲方必须凭甲方核发的车辆通行证件，并遵守通行证件的使用规定。</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乙方装载货物的车辆在厂区行驶，应符合甲方管理规定，严禁超载、超高、超长、超宽，不准人货混装，所装载的货物必须捆绑牢固，不得出现打开厢板、跌落、飞扬、滴漏等异常现象。</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乙方必须遵守甲方管理制度，执行甲方对生产现场文明生产、定置管理、禁止吸烟、防火防盗等有关规定。</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乙方机动车驾驶员必须严格遵守国家《道路交通安全法》等法律、法规和甲方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《交通环境、安全控制管理办法》的规定，服从甲方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安技环保部门、保卫部门和责任区域部门的安全管理，接受安全检查，对甲方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提出的安全隐患必须按要求进行治理，对出现的违章行为应接受甲方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的处罚。</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因乙方责任造成甲方人身伤害事故、财产损失，乙方应接受并协助甲方对事故进行调查、分析、处理。</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严禁危险驾驶（酒后驾驶、疲劳驾驶、超速驾驶等），严禁驾驶过程中进行与驾驶无关的活动（接打手机、收发短信、吸烟等）。驾驶过程中注意观察周围环境、确认行车安全，驶出车间门口或转弯处做鸣笛警示。</w:t>
      </w:r>
    </w:p>
    <w:p>
      <w:pPr>
        <w:pStyle w:val="34"/>
        <w:numPr>
          <w:ilvl w:val="1"/>
          <w:numId w:val="10"/>
        </w:numPr>
        <w:spacing w:before="240" w:line="276"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机动车辆进入甲方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区域，在规定区域停放后或停车时间超过三分钟必须熄火，如司机下车，必须拉紧手刹、熄火、拔下钥匙并关上车门，钥匙随身保管。</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bookmarkStart w:id="1" w:name="_Toc477588053"/>
      <w:r>
        <w:rPr>
          <w:rFonts w:hint="eastAsia" w:asciiTheme="minorEastAsia" w:hAnsiTheme="minorEastAsia"/>
          <w:b/>
          <w:color w:val="000000" w:themeColor="text1"/>
          <w:sz w:val="24"/>
          <w14:textFill>
            <w14:solidFill>
              <w14:schemeClr w14:val="tx1"/>
            </w14:solidFill>
          </w14:textFill>
        </w:rPr>
        <w:t>违约</w:t>
      </w:r>
      <w:r>
        <w:rPr>
          <w:rFonts w:asciiTheme="minorEastAsia" w:hAnsiTheme="minorEastAsia"/>
          <w:b/>
          <w:color w:val="000000" w:themeColor="text1"/>
          <w:sz w:val="24"/>
          <w14:textFill>
            <w14:solidFill>
              <w14:schemeClr w14:val="tx1"/>
            </w14:solidFill>
          </w14:textFill>
        </w:rPr>
        <w:t>条款</w:t>
      </w:r>
    </w:p>
    <w:p>
      <w:pPr>
        <w:pStyle w:val="34"/>
        <w:numPr>
          <w:ilvl w:val="0"/>
          <w:numId w:val="11"/>
        </w:numPr>
        <w:spacing w:before="240" w:line="276" w:lineRule="auto"/>
        <w:ind w:firstLineChars="0"/>
        <w:rPr>
          <w:rFonts w:ascii="宋体" w:hAnsi="宋体"/>
          <w:sz w:val="24"/>
        </w:rPr>
      </w:pPr>
      <w:r>
        <w:rPr>
          <w:rFonts w:hint="eastAsia" w:ascii="宋体" w:hAnsi="宋体"/>
          <w:sz w:val="24"/>
        </w:rPr>
        <w:t>任何一方违反本合同的约定即构成该方违反本合同的事实。该方应该向非违约方承担违约责任，补偿非违约方实际及可能承受或遭受的所有的损失、责任、赔偿金或费用（包括但不限于合理的法律顾问费）。任何一方在收到对方具体说明违约情况的书面通知后，如确认违约行为存在，则应在收到该书面通知</w:t>
      </w:r>
      <w:r>
        <w:rPr>
          <w:rFonts w:ascii="宋体" w:hAnsi="宋体"/>
          <w:sz w:val="24"/>
        </w:rPr>
        <w:t xml:space="preserve"> 7天内对违约行为予以纠正并书面通知对方。如认为违约行为不存在，则应在收到该书面通知 7日内向对方提出书面异议或说明，在此情形下，甲乙双方可就此问题进行协商，协商不成的，按本合同争议条款解决。违约方应承担给守约方造成的经济损失。</w:t>
      </w:r>
    </w:p>
    <w:p>
      <w:pPr>
        <w:pStyle w:val="34"/>
        <w:numPr>
          <w:ilvl w:val="0"/>
          <w:numId w:val="11"/>
        </w:numPr>
        <w:spacing w:before="240" w:line="276" w:lineRule="auto"/>
        <w:ind w:firstLineChars="0"/>
        <w:rPr>
          <w:rFonts w:ascii="宋体" w:hAnsi="宋体"/>
          <w:sz w:val="24"/>
        </w:rPr>
      </w:pPr>
      <w:r>
        <w:rPr>
          <w:rFonts w:hint="eastAsia" w:ascii="宋体" w:hAnsi="宋体"/>
          <w:sz w:val="24"/>
        </w:rPr>
        <w:t>赔偿对方因此而受到的全部经济损失，赔偿金额由受损失一方提出，经双方共同协商确定。</w:t>
      </w:r>
    </w:p>
    <w:p>
      <w:pPr>
        <w:pStyle w:val="34"/>
        <w:numPr>
          <w:ilvl w:val="0"/>
          <w:numId w:val="11"/>
        </w:numPr>
        <w:spacing w:before="240" w:line="276" w:lineRule="auto"/>
        <w:ind w:firstLineChars="0"/>
        <w:rPr>
          <w:rFonts w:ascii="宋体" w:hAnsi="宋体"/>
          <w:sz w:val="24"/>
        </w:rPr>
      </w:pPr>
      <w:r>
        <w:rPr>
          <w:rFonts w:hint="eastAsia" w:ascii="宋体" w:hAnsi="宋体"/>
          <w:sz w:val="24"/>
        </w:rPr>
        <w:t>若一方</w:t>
      </w:r>
      <w:r>
        <w:rPr>
          <w:rFonts w:ascii="宋体" w:hAnsi="宋体"/>
          <w:sz w:val="24"/>
        </w:rPr>
        <w:t>构成根本违约的，</w:t>
      </w:r>
      <w:r>
        <w:rPr>
          <w:rFonts w:hint="eastAsia" w:ascii="宋体" w:hAnsi="宋体"/>
          <w:sz w:val="24"/>
        </w:rPr>
        <w:t>则</w:t>
      </w:r>
      <w:r>
        <w:rPr>
          <w:rFonts w:ascii="宋体" w:hAnsi="宋体"/>
          <w:sz w:val="24"/>
        </w:rPr>
        <w:t>另一方有解约权</w:t>
      </w:r>
      <w:r>
        <w:rPr>
          <w:rFonts w:hint="eastAsia" w:ascii="宋体" w:hAnsi="宋体"/>
          <w:sz w:val="24"/>
        </w:rPr>
        <w:t>，</w:t>
      </w:r>
      <w:r>
        <w:rPr>
          <w:rFonts w:ascii="宋体" w:hAnsi="宋体"/>
          <w:sz w:val="24"/>
        </w:rPr>
        <w:t>即使</w:t>
      </w:r>
      <w:r>
        <w:rPr>
          <w:rFonts w:hint="eastAsia" w:ascii="宋体" w:hAnsi="宋体"/>
          <w:sz w:val="24"/>
        </w:rPr>
        <w:t>该方</w:t>
      </w:r>
      <w:r>
        <w:rPr>
          <w:rFonts w:ascii="宋体" w:hAnsi="宋体"/>
          <w:sz w:val="24"/>
        </w:rPr>
        <w:t>放弃行使解约权也不代表放弃对本合同项下</w:t>
      </w:r>
      <w:r>
        <w:rPr>
          <w:rFonts w:hint="eastAsia" w:ascii="宋体" w:hAnsi="宋体"/>
          <w:sz w:val="24"/>
        </w:rPr>
        <w:t>根本</w:t>
      </w:r>
      <w:r>
        <w:rPr>
          <w:rFonts w:ascii="宋体" w:hAnsi="宋体"/>
          <w:sz w:val="24"/>
        </w:rPr>
        <w:t>违约方</w:t>
      </w:r>
      <w:r>
        <w:rPr>
          <w:rFonts w:hint="eastAsia" w:ascii="宋体" w:hAnsi="宋体"/>
          <w:sz w:val="24"/>
        </w:rPr>
        <w:t>违约的</w:t>
      </w:r>
      <w:r>
        <w:rPr>
          <w:rFonts w:ascii="宋体" w:hAnsi="宋体"/>
          <w:sz w:val="24"/>
        </w:rPr>
        <w:t>赔偿责任。</w:t>
      </w:r>
    </w:p>
    <w:bookmarkEnd w:id="1"/>
    <w:p>
      <w:pPr>
        <w:pStyle w:val="34"/>
        <w:keepLines/>
        <w:numPr>
          <w:ilvl w:val="0"/>
          <w:numId w:val="1"/>
        </w:numPr>
        <w:spacing w:line="360" w:lineRule="auto"/>
        <w:ind w:firstLineChars="0"/>
        <w:outlineLvl w:val="1"/>
        <w:rPr>
          <w:rFonts w:asciiTheme="minorEastAsia" w:hAnsiTheme="minorEastAsia" w:eastAsiaTheme="minorEastAsia"/>
          <w:b/>
          <w:color w:val="000000" w:themeColor="text1"/>
          <w:sz w:val="24"/>
          <w14:textFill>
            <w14:solidFill>
              <w14:schemeClr w14:val="tx1"/>
            </w14:solidFill>
          </w14:textFill>
        </w:rPr>
      </w:pPr>
      <w:bookmarkStart w:id="2" w:name="_Toc477588054"/>
      <w:bookmarkStart w:id="3" w:name="_Toc367959276"/>
      <w:r>
        <w:rPr>
          <w:rFonts w:hint="eastAsia" w:asciiTheme="minorEastAsia" w:hAnsiTheme="minorEastAsia" w:eastAsiaTheme="minorEastAsia"/>
          <w:b/>
          <w:color w:val="000000" w:themeColor="text1"/>
          <w:sz w:val="24"/>
          <w14:textFill>
            <w14:solidFill>
              <w14:schemeClr w14:val="tx1"/>
            </w14:solidFill>
          </w14:textFill>
        </w:rPr>
        <w:t>合同</w:t>
      </w:r>
      <w:r>
        <w:rPr>
          <w:rFonts w:asciiTheme="minorEastAsia" w:hAnsiTheme="minorEastAsia" w:eastAsiaTheme="minorEastAsia"/>
          <w:b/>
          <w:color w:val="000000" w:themeColor="text1"/>
          <w:sz w:val="24"/>
          <w14:textFill>
            <w14:solidFill>
              <w14:schemeClr w14:val="tx1"/>
            </w14:solidFill>
          </w14:textFill>
        </w:rPr>
        <w:t>的变更、终止及解除</w:t>
      </w:r>
    </w:p>
    <w:p>
      <w:pPr>
        <w:pStyle w:val="34"/>
        <w:numPr>
          <w:ilvl w:val="0"/>
          <w:numId w:val="12"/>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变更</w:t>
      </w:r>
    </w:p>
    <w:p>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在甲方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需求整体方案不变的情况下，不得</w:t>
      </w:r>
      <w:r>
        <w:rPr>
          <w:rFonts w:hint="eastAsia" w:asciiTheme="minorEastAsia" w:hAnsiTheme="minorEastAsia"/>
          <w:color w:val="000000" w:themeColor="text1"/>
          <w:sz w:val="24"/>
          <w:lang w:val="en-US" w:eastAsia="zh-CN"/>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费用。</w:t>
      </w:r>
    </w:p>
    <w:p>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乙方实施过程中，如发现方案</w:t>
      </w:r>
      <w:r>
        <w:rPr>
          <w:rFonts w:hint="eastAsia" w:asciiTheme="minorEastAsia" w:hAnsiTheme="minorEastAsia"/>
          <w:color w:val="000000" w:themeColor="text1"/>
          <w:sz w:val="24"/>
          <w14:textFill>
            <w14:solidFill>
              <w14:schemeClr w14:val="tx1"/>
            </w14:solidFill>
          </w14:textFill>
        </w:rPr>
        <w:t>与实</w:t>
      </w:r>
      <w:r>
        <w:rPr>
          <w:rFonts w:asciiTheme="minorEastAsia" w:hAnsiTheme="minorEastAsia"/>
          <w:color w:val="000000" w:themeColor="text1"/>
          <w:sz w:val="24"/>
          <w14:textFill>
            <w14:solidFill>
              <w14:schemeClr w14:val="tx1"/>
            </w14:solidFill>
          </w14:textFill>
        </w:rPr>
        <w:t>际情况差距较大，或</w:t>
      </w:r>
      <w:r>
        <w:rPr>
          <w:rFonts w:hint="eastAsia" w:asciiTheme="minorEastAsia" w:hAnsiTheme="minorEastAsia"/>
          <w:color w:val="000000" w:themeColor="text1"/>
          <w:sz w:val="24"/>
          <w14:textFill>
            <w14:solidFill>
              <w14:schemeClr w14:val="tx1"/>
            </w14:solidFill>
          </w14:textFill>
        </w:rPr>
        <w:t>因</w:t>
      </w:r>
      <w:r>
        <w:rPr>
          <w:rFonts w:asciiTheme="minorEastAsia" w:hAnsiTheme="minorEastAsia"/>
          <w:color w:val="000000" w:themeColor="text1"/>
          <w:sz w:val="24"/>
          <w14:textFill>
            <w14:solidFill>
              <w14:schemeClr w14:val="tx1"/>
            </w14:solidFill>
          </w14:textFill>
        </w:rPr>
        <w:t>客观原因导致方案无法</w:t>
      </w:r>
      <w:r>
        <w:rPr>
          <w:rFonts w:hint="eastAsia" w:asciiTheme="minorEastAsia" w:hAnsiTheme="minorEastAsia"/>
          <w:color w:val="000000" w:themeColor="text1"/>
          <w:sz w:val="24"/>
          <w14:textFill>
            <w14:solidFill>
              <w14:schemeClr w14:val="tx1"/>
            </w14:solidFill>
          </w14:textFill>
        </w:rPr>
        <w:t>顺利</w:t>
      </w:r>
      <w:r>
        <w:rPr>
          <w:rFonts w:asciiTheme="minorEastAsia" w:hAnsiTheme="minorEastAsia"/>
          <w:color w:val="000000" w:themeColor="text1"/>
          <w:sz w:val="24"/>
          <w14:textFill>
            <w14:solidFill>
              <w14:schemeClr w14:val="tx1"/>
            </w14:solidFill>
          </w14:textFill>
        </w:rPr>
        <w:t>实现</w:t>
      </w:r>
      <w:r>
        <w:rPr>
          <w:rFonts w:hint="eastAsia" w:asciiTheme="minorEastAsia" w:hAnsiTheme="minorEastAsia"/>
          <w:color w:val="000000" w:themeColor="text1"/>
          <w:sz w:val="24"/>
          <w14:textFill>
            <w14:solidFill>
              <w14:schemeClr w14:val="tx1"/>
            </w14:solidFill>
          </w14:textFill>
        </w:rPr>
        <w:t>的</w:t>
      </w:r>
      <w:r>
        <w:rPr>
          <w:rFonts w:asciiTheme="minorEastAsia" w:hAnsiTheme="minorEastAsia"/>
          <w:color w:val="000000" w:themeColor="text1"/>
          <w:sz w:val="24"/>
          <w14:textFill>
            <w14:solidFill>
              <w14:schemeClr w14:val="tx1"/>
            </w14:solidFill>
          </w14:textFill>
        </w:rPr>
        <w:t>，需在</w:t>
      </w:r>
      <w:r>
        <w:rPr>
          <w:rFonts w:hint="eastAsia" w:asciiTheme="minorEastAsia" w:hAnsiTheme="minorEastAsia"/>
          <w:color w:val="000000" w:themeColor="text1"/>
          <w:sz w:val="24"/>
          <w14:textFill>
            <w14:solidFill>
              <w14:schemeClr w14:val="tx1"/>
            </w14:solidFill>
          </w14:textFill>
        </w:rPr>
        <w:t>2</w:t>
      </w:r>
      <w:r>
        <w:rPr>
          <w:rFonts w:asciiTheme="minorEastAsia" w:hAnsiTheme="minorEastAsia"/>
          <w:color w:val="000000" w:themeColor="text1"/>
          <w:sz w:val="24"/>
          <w14:textFill>
            <w14:solidFill>
              <w14:schemeClr w14:val="tx1"/>
            </w14:solidFill>
          </w14:textFill>
        </w:rPr>
        <w:t>天内向甲方书面提交变更申请</w:t>
      </w:r>
      <w:r>
        <w:rPr>
          <w:rFonts w:hint="eastAsia" w:asciiTheme="minorEastAsia" w:hAnsiTheme="minorEastAsia"/>
          <w:color w:val="000000" w:themeColor="text1"/>
          <w:sz w:val="24"/>
          <w14:textFill>
            <w14:solidFill>
              <w14:schemeClr w14:val="tx1"/>
            </w14:solidFill>
          </w14:textFill>
        </w:rPr>
        <w:t>并经</w:t>
      </w:r>
      <w:r>
        <w:rPr>
          <w:rFonts w:asciiTheme="minorEastAsia" w:hAnsiTheme="minorEastAsia"/>
          <w:color w:val="000000" w:themeColor="text1"/>
          <w:sz w:val="24"/>
          <w14:textFill>
            <w14:solidFill>
              <w14:schemeClr w14:val="tx1"/>
            </w14:solidFill>
          </w14:textFill>
        </w:rPr>
        <w:t>甲方书面同意确认，</w:t>
      </w:r>
      <w:r>
        <w:rPr>
          <w:rFonts w:hint="eastAsia" w:asciiTheme="minorEastAsia" w:hAnsiTheme="minorEastAsia"/>
          <w:color w:val="000000" w:themeColor="text1"/>
          <w:sz w:val="24"/>
          <w14:textFill>
            <w14:solidFill>
              <w14:schemeClr w14:val="tx1"/>
            </w14:solidFill>
          </w14:textFill>
        </w:rPr>
        <w:t>否则不得</w:t>
      </w:r>
      <w:r>
        <w:rPr>
          <w:rFonts w:asciiTheme="minorEastAsia" w:hAnsiTheme="minorEastAsia"/>
          <w:color w:val="000000" w:themeColor="text1"/>
          <w:sz w:val="24"/>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也</w:t>
      </w:r>
      <w:r>
        <w:rPr>
          <w:rFonts w:asciiTheme="minorEastAsia" w:hAnsiTheme="minorEastAsia"/>
          <w:color w:val="000000" w:themeColor="text1"/>
          <w:sz w:val="24"/>
          <w14:textFill>
            <w14:solidFill>
              <w14:schemeClr w14:val="tx1"/>
            </w14:solidFill>
          </w14:textFill>
        </w:rPr>
        <w:t>无权要求</w:t>
      </w:r>
      <w:r>
        <w:rPr>
          <w:rFonts w:hint="eastAsia" w:asciiTheme="minorEastAsia" w:hAnsiTheme="minorEastAsia"/>
          <w:color w:val="000000" w:themeColor="text1"/>
          <w:sz w:val="24"/>
          <w14:textFill>
            <w14:solidFill>
              <w14:schemeClr w14:val="tx1"/>
            </w14:solidFill>
          </w14:textFill>
        </w:rPr>
        <w:t>甲方</w:t>
      </w:r>
      <w:r>
        <w:rPr>
          <w:rFonts w:asciiTheme="minorEastAsia" w:hAnsiTheme="minorEastAsia"/>
          <w:color w:val="000000" w:themeColor="text1"/>
          <w:sz w:val="24"/>
          <w14:textFill>
            <w14:solidFill>
              <w14:schemeClr w14:val="tx1"/>
            </w14:solidFill>
          </w14:textFill>
        </w:rPr>
        <w:t>补偿</w:t>
      </w:r>
      <w:r>
        <w:rPr>
          <w:rFonts w:hint="eastAsia" w:asciiTheme="minorEastAsia" w:hAnsiTheme="minorEastAsia"/>
          <w:color w:val="000000" w:themeColor="text1"/>
          <w:sz w:val="24"/>
          <w14:textFill>
            <w14:solidFill>
              <w14:schemeClr w14:val="tx1"/>
            </w14:solidFill>
          </w14:textFill>
        </w:rPr>
        <w:t>或支付</w:t>
      </w:r>
      <w:r>
        <w:rPr>
          <w:rFonts w:asciiTheme="minorEastAsia" w:hAnsiTheme="minorEastAsia"/>
          <w:color w:val="000000" w:themeColor="text1"/>
          <w:sz w:val="24"/>
          <w14:textFill>
            <w14:solidFill>
              <w14:schemeClr w14:val="tx1"/>
            </w14:solidFill>
          </w14:textFill>
        </w:rPr>
        <w:t>额外费用，</w:t>
      </w:r>
      <w:r>
        <w:rPr>
          <w:rFonts w:hint="eastAsia" w:asciiTheme="minorEastAsia" w:hAnsiTheme="minorEastAsia"/>
          <w:color w:val="000000" w:themeColor="text1"/>
          <w:sz w:val="24"/>
          <w14:textFill>
            <w14:solidFill>
              <w14:schemeClr w14:val="tx1"/>
            </w14:solidFill>
          </w14:textFill>
        </w:rPr>
        <w:t>若因</w:t>
      </w:r>
      <w:r>
        <w:rPr>
          <w:rFonts w:asciiTheme="minorEastAsia" w:hAnsiTheme="minorEastAsia"/>
          <w:color w:val="000000" w:themeColor="text1"/>
          <w:sz w:val="24"/>
          <w14:textFill>
            <w14:solidFill>
              <w14:schemeClr w14:val="tx1"/>
            </w14:solidFill>
          </w14:textFill>
        </w:rPr>
        <w:t>该擅自变更给甲方造成损失的，甲方有权</w:t>
      </w:r>
      <w:r>
        <w:rPr>
          <w:rFonts w:hint="eastAsia" w:asciiTheme="minorEastAsia" w:hAnsiTheme="minorEastAsia"/>
          <w:color w:val="000000" w:themeColor="text1"/>
          <w:sz w:val="24"/>
          <w14:textFill>
            <w14:solidFill>
              <w14:schemeClr w14:val="tx1"/>
            </w14:solidFill>
          </w14:textFill>
        </w:rPr>
        <w:t>同时</w:t>
      </w:r>
      <w:r>
        <w:rPr>
          <w:rFonts w:asciiTheme="minorEastAsia" w:hAnsiTheme="minorEastAsia"/>
          <w:color w:val="000000" w:themeColor="text1"/>
          <w:sz w:val="24"/>
          <w14:textFill>
            <w14:solidFill>
              <w14:schemeClr w14:val="tx1"/>
            </w14:solidFill>
          </w14:textFill>
        </w:rPr>
        <w:t>选择赔偿损失、恢复原状</w:t>
      </w:r>
      <w:r>
        <w:rPr>
          <w:rFonts w:hint="eastAsia" w:asciiTheme="minorEastAsia" w:hAnsiTheme="minorEastAsia"/>
          <w:color w:val="000000" w:themeColor="text1"/>
          <w:sz w:val="24"/>
          <w14:textFill>
            <w14:solidFill>
              <w14:schemeClr w14:val="tx1"/>
            </w14:solidFill>
          </w14:textFill>
        </w:rPr>
        <w:t>或</w:t>
      </w:r>
      <w:r>
        <w:rPr>
          <w:rFonts w:asciiTheme="minorEastAsia" w:hAnsiTheme="minorEastAsia"/>
          <w:color w:val="000000" w:themeColor="text1"/>
          <w:sz w:val="24"/>
          <w14:textFill>
            <w14:solidFill>
              <w14:schemeClr w14:val="tx1"/>
            </w14:solidFill>
          </w14:textFill>
        </w:rPr>
        <w:t>另行指定其他供应商完成</w:t>
      </w:r>
      <w:r>
        <w:rPr>
          <w:rFonts w:hint="eastAsia" w:asciiTheme="minorEastAsia" w:hAnsiTheme="minorEastAsia"/>
          <w:color w:val="000000" w:themeColor="text1"/>
          <w:sz w:val="24"/>
          <w14:textFill>
            <w14:solidFill>
              <w14:schemeClr w14:val="tx1"/>
            </w14:solidFill>
          </w14:textFill>
        </w:rPr>
        <w:t>等</w:t>
      </w:r>
      <w:r>
        <w:rPr>
          <w:rFonts w:asciiTheme="minorEastAsia" w:hAnsiTheme="minorEastAsia"/>
          <w:color w:val="000000" w:themeColor="text1"/>
          <w:sz w:val="24"/>
          <w14:textFill>
            <w14:solidFill>
              <w14:schemeClr w14:val="tx1"/>
            </w14:solidFill>
          </w14:textFill>
        </w:rPr>
        <w:t>措施。</w:t>
      </w:r>
    </w:p>
    <w:p>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本项目实施过程中，若甲方</w:t>
      </w:r>
      <w:r>
        <w:rPr>
          <w:rFonts w:hint="eastAsia" w:asciiTheme="minorEastAsia" w:hAnsiTheme="minorEastAsia"/>
          <w:color w:val="000000" w:themeColor="text1"/>
          <w:sz w:val="24"/>
          <w:lang w:val="en-US" w:eastAsia="zh-CN"/>
          <w14:textFill>
            <w14:solidFill>
              <w14:schemeClr w14:val="tx1"/>
            </w14:solidFill>
          </w14:textFill>
        </w:rPr>
        <w:t>客户</w:t>
      </w:r>
      <w:r>
        <w:rPr>
          <w:rFonts w:hint="eastAsia" w:asciiTheme="minorEastAsia" w:hAnsiTheme="minorEastAsia"/>
          <w:color w:val="000000" w:themeColor="text1"/>
          <w:sz w:val="24"/>
          <w14:textFill>
            <w14:solidFill>
              <w14:schemeClr w14:val="tx1"/>
            </w14:solidFill>
          </w14:textFill>
        </w:rPr>
        <w:t>需进行实质方案变更的，具体费用和支付方式以</w:t>
      </w:r>
      <w:r>
        <w:rPr>
          <w:rFonts w:hint="eastAsia" w:asciiTheme="minorEastAsia" w:hAnsiTheme="minorEastAsia"/>
          <w:color w:val="000000" w:themeColor="text1"/>
          <w:sz w:val="24"/>
          <w:lang w:val="en-US" w:eastAsia="zh-CN"/>
          <w14:textFill>
            <w14:solidFill>
              <w14:schemeClr w14:val="tx1"/>
            </w14:solidFill>
          </w14:textFill>
        </w:rPr>
        <w:t>三方</w:t>
      </w:r>
      <w:r>
        <w:rPr>
          <w:rFonts w:hint="eastAsia" w:asciiTheme="minorEastAsia" w:hAnsiTheme="minorEastAsia"/>
          <w:color w:val="000000" w:themeColor="text1"/>
          <w:sz w:val="24"/>
          <w14:textFill>
            <w14:solidFill>
              <w14:schemeClr w14:val="tx1"/>
            </w14:solidFill>
          </w14:textFill>
        </w:rPr>
        <w:t>方另行签订的补充协议为准；</w:t>
      </w:r>
      <w:r>
        <w:rPr>
          <w:rFonts w:asciiTheme="minorEastAsia" w:hAnsiTheme="minorEastAsia"/>
          <w:color w:val="000000" w:themeColor="text1"/>
          <w:sz w:val="24"/>
          <w14:textFill>
            <w14:solidFill>
              <w14:schemeClr w14:val="tx1"/>
            </w14:solidFill>
          </w14:textFill>
        </w:rPr>
        <w:t>若</w:t>
      </w:r>
      <w:r>
        <w:rPr>
          <w:rFonts w:hint="eastAsia" w:asciiTheme="minorEastAsia" w:hAnsiTheme="minorEastAsia"/>
          <w:color w:val="000000" w:themeColor="text1"/>
          <w:sz w:val="24"/>
          <w14:textFill>
            <w14:solidFill>
              <w14:schemeClr w14:val="tx1"/>
            </w14:solidFill>
          </w14:textFill>
        </w:rPr>
        <w:t>未</w:t>
      </w:r>
      <w:r>
        <w:rPr>
          <w:rFonts w:asciiTheme="minorEastAsia" w:hAnsiTheme="minorEastAsia"/>
          <w:color w:val="000000" w:themeColor="text1"/>
          <w:sz w:val="24"/>
          <w14:textFill>
            <w14:solidFill>
              <w14:schemeClr w14:val="tx1"/>
            </w14:solidFill>
          </w14:textFill>
        </w:rPr>
        <w:t>就变更达成一致意见</w:t>
      </w:r>
      <w:r>
        <w:rPr>
          <w:rFonts w:hint="eastAsia" w:asciiTheme="minorEastAsia" w:hAnsiTheme="minorEastAsia"/>
          <w:color w:val="000000" w:themeColor="text1"/>
          <w:sz w:val="24"/>
          <w14:textFill>
            <w14:solidFill>
              <w14:schemeClr w14:val="tx1"/>
            </w14:solidFill>
          </w14:textFill>
        </w:rPr>
        <w:t>的</w:t>
      </w:r>
      <w:r>
        <w:rPr>
          <w:rFonts w:asciiTheme="minorEastAsia" w:hAnsiTheme="minorEastAsia"/>
          <w:color w:val="000000" w:themeColor="text1"/>
          <w:sz w:val="24"/>
          <w14:textFill>
            <w14:solidFill>
              <w14:schemeClr w14:val="tx1"/>
            </w14:solidFill>
          </w14:textFill>
        </w:rPr>
        <w:t>，费用和方案仍按照本合同执行</w:t>
      </w:r>
      <w:r>
        <w:rPr>
          <w:rFonts w:hint="eastAsia" w:asciiTheme="minorEastAsia" w:hAnsiTheme="minorEastAsia"/>
          <w:color w:val="000000" w:themeColor="text1"/>
          <w:sz w:val="24"/>
          <w14:textFill>
            <w14:solidFill>
              <w14:schemeClr w14:val="tx1"/>
            </w14:solidFill>
          </w14:textFill>
        </w:rPr>
        <w:t>；若未</w:t>
      </w:r>
      <w:r>
        <w:rPr>
          <w:rFonts w:asciiTheme="minorEastAsia" w:hAnsiTheme="minorEastAsia"/>
          <w:color w:val="000000" w:themeColor="text1"/>
          <w:sz w:val="24"/>
          <w14:textFill>
            <w14:solidFill>
              <w14:schemeClr w14:val="tx1"/>
            </w14:solidFill>
          </w14:textFill>
        </w:rPr>
        <w:t>就变更</w:t>
      </w:r>
      <w:r>
        <w:rPr>
          <w:rFonts w:hint="eastAsia" w:asciiTheme="minorEastAsia" w:hAnsiTheme="minorEastAsia"/>
          <w:color w:val="000000" w:themeColor="text1"/>
          <w:sz w:val="24"/>
          <w14:textFill>
            <w14:solidFill>
              <w14:schemeClr w14:val="tx1"/>
            </w14:solidFill>
          </w14:textFill>
        </w:rPr>
        <w:t>达成一致</w:t>
      </w:r>
      <w:r>
        <w:rPr>
          <w:rFonts w:asciiTheme="minorEastAsia" w:hAnsiTheme="minorEastAsia"/>
          <w:color w:val="000000" w:themeColor="text1"/>
          <w:sz w:val="24"/>
          <w14:textFill>
            <w14:solidFill>
              <w14:schemeClr w14:val="tx1"/>
            </w14:solidFill>
          </w14:textFill>
        </w:rPr>
        <w:t>意见且继续执行本合同</w:t>
      </w:r>
      <w:r>
        <w:rPr>
          <w:rFonts w:hint="eastAsia" w:asciiTheme="minorEastAsia" w:hAnsiTheme="minorEastAsia"/>
          <w:color w:val="000000" w:themeColor="text1"/>
          <w:sz w:val="24"/>
          <w:lang w:eastAsia="zh-CN"/>
          <w14:textFill>
            <w14:solidFill>
              <w14:schemeClr w14:val="tx1"/>
            </w14:solidFill>
          </w14:textFill>
        </w:rPr>
        <w:t>。</w:t>
      </w:r>
    </w:p>
    <w:p>
      <w:pPr>
        <w:pStyle w:val="34"/>
        <w:numPr>
          <w:ilvl w:val="1"/>
          <w:numId w:val="13"/>
        </w:numPr>
        <w:spacing w:line="360" w:lineRule="auto"/>
        <w:ind w:left="780" w:leftChars="0"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变更</w:t>
      </w:r>
      <w:r>
        <w:rPr>
          <w:rFonts w:hint="eastAsia" w:asciiTheme="minorEastAsia" w:hAnsiTheme="minorEastAsia"/>
          <w:color w:val="000000" w:themeColor="text1"/>
          <w:sz w:val="24"/>
          <w14:textFill>
            <w14:solidFill>
              <w14:schemeClr w14:val="tx1"/>
            </w14:solidFill>
          </w14:textFill>
        </w:rPr>
        <w:t>/</w:t>
      </w:r>
      <w:r>
        <w:rPr>
          <w:rFonts w:asciiTheme="minorEastAsia" w:hAnsiTheme="minorEastAsia"/>
          <w:color w:val="000000" w:themeColor="text1"/>
          <w:sz w:val="24"/>
          <w14:textFill>
            <w14:solidFill>
              <w14:schemeClr w14:val="tx1"/>
            </w14:solidFill>
          </w14:textFill>
        </w:rPr>
        <w:t>补充协议为合同构成的一部分，同本合同具有同等法律效力。</w:t>
      </w:r>
    </w:p>
    <w:p>
      <w:pPr>
        <w:pStyle w:val="34"/>
        <w:numPr>
          <w:ilvl w:val="0"/>
          <w:numId w:val="12"/>
        </w:numPr>
        <w:spacing w:line="360" w:lineRule="auto"/>
        <w:ind w:firstLineChars="0"/>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解除：</w:t>
      </w:r>
    </w:p>
    <w:p>
      <w:pPr>
        <w:pStyle w:val="34"/>
        <w:numPr>
          <w:ilvl w:val="1"/>
          <w:numId w:val="14"/>
        </w:numPr>
        <w:spacing w:line="360" w:lineRule="auto"/>
        <w:ind w:firstLineChars="0"/>
      </w:pPr>
      <w:r>
        <w:rPr>
          <w:rFonts w:asciiTheme="minorEastAsia" w:hAnsiTheme="minorEastAsia" w:eastAsiaTheme="minorEastAsia"/>
          <w:color w:val="000000" w:themeColor="text1"/>
          <w:sz w:val="24"/>
          <w14:textFill>
            <w14:solidFill>
              <w14:schemeClr w14:val="tx1"/>
            </w14:solidFill>
          </w14:textFill>
        </w:rPr>
        <w:t>双方</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协商</w:t>
      </w:r>
      <w:r>
        <w:rPr>
          <w:rFonts w:hint="eastAsia" w:asciiTheme="minorEastAsia" w:hAnsiTheme="minorEastAsia" w:eastAsiaTheme="minorEastAsia"/>
          <w:color w:val="000000" w:themeColor="text1"/>
          <w:sz w:val="24"/>
          <w14:textFill>
            <w14:solidFill>
              <w14:schemeClr w14:val="tx1"/>
            </w14:solidFill>
          </w14:textFill>
        </w:rPr>
        <w:t>一致</w:t>
      </w:r>
      <w:r>
        <w:rPr>
          <w:rFonts w:asciiTheme="minorEastAsia" w:hAnsiTheme="minorEastAsia" w:eastAsiaTheme="minorEastAsia"/>
          <w:color w:val="000000" w:themeColor="text1"/>
          <w:sz w:val="24"/>
          <w14:textFill>
            <w14:solidFill>
              <w14:schemeClr w14:val="tx1"/>
            </w14:solidFill>
          </w14:textFill>
        </w:rPr>
        <w:t>解除本</w:t>
      </w:r>
      <w:r>
        <w:rPr>
          <w:rFonts w:hint="eastAsia" w:asciiTheme="minorEastAsia" w:hAnsiTheme="minorEastAsia" w:eastAsiaTheme="minorEastAsia"/>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w:t>
      </w:r>
    </w:p>
    <w:p>
      <w:pPr>
        <w:pStyle w:val="34"/>
        <w:numPr>
          <w:ilvl w:val="1"/>
          <w:numId w:val="14"/>
        </w:numPr>
        <w:spacing w:line="360" w:lineRule="auto"/>
        <w:ind w:firstLineChars="0"/>
      </w:pPr>
      <w:r>
        <w:rPr>
          <w:rFonts w:asciiTheme="minorEastAsia" w:hAnsiTheme="minorEastAsia" w:eastAsiaTheme="minorEastAsia"/>
          <w:color w:val="000000" w:themeColor="text1"/>
          <w:sz w:val="24"/>
          <w14:textFill>
            <w14:solidFill>
              <w14:schemeClr w14:val="tx1"/>
            </w14:solidFill>
          </w14:textFill>
        </w:rPr>
        <w:t>一方被整顿、清算或破产</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另一方有权解除本</w:t>
      </w:r>
      <w:r>
        <w:rPr>
          <w:rFonts w:hint="eastAsia" w:asciiTheme="minorEastAsia" w:hAnsiTheme="minorEastAsia" w:eastAsiaTheme="minorEastAsia"/>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 </w:t>
      </w:r>
    </w:p>
    <w:p>
      <w:pPr>
        <w:pStyle w:val="34"/>
        <w:numPr>
          <w:ilvl w:val="1"/>
          <w:numId w:val="14"/>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本合同其他</w:t>
      </w:r>
      <w:r>
        <w:rPr>
          <w:rFonts w:asciiTheme="minorEastAsia" w:hAnsiTheme="minorEastAsia" w:eastAsiaTheme="minorEastAsia"/>
          <w:color w:val="000000" w:themeColor="text1"/>
          <w:sz w:val="24"/>
          <w14:textFill>
            <w14:solidFill>
              <w14:schemeClr w14:val="tx1"/>
            </w14:solidFill>
          </w14:textFill>
        </w:rPr>
        <w:t>条款中规定的可以解除的情形。</w:t>
      </w:r>
    </w:p>
    <w:p>
      <w:pPr>
        <w:pStyle w:val="34"/>
        <w:numPr>
          <w:ilvl w:val="0"/>
          <w:numId w:val="12"/>
        </w:numPr>
        <w:spacing w:line="360" w:lineRule="auto"/>
        <w:ind w:firstLineChars="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合同提前终止或解除不影响此前双方因履行本合同而已经享有的权利和/或承担的义务，该等权利和义务包括但不限于：</w:t>
      </w:r>
    </w:p>
    <w:p>
      <w:pPr>
        <w:pStyle w:val="34"/>
        <w:numPr>
          <w:ilvl w:val="1"/>
          <w:numId w:val="15"/>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如甲方已经支付的款项超过实际发生的费用，乙方应当将超出部分退还给甲方；</w:t>
      </w:r>
    </w:p>
    <w:p>
      <w:pPr>
        <w:pStyle w:val="34"/>
        <w:numPr>
          <w:ilvl w:val="1"/>
          <w:numId w:val="15"/>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违约方因其违约行为应承担的违约责任；</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不可抗力</w:t>
      </w:r>
    </w:p>
    <w:p>
      <w:pPr>
        <w:pStyle w:val="34"/>
        <w:numPr>
          <w:ilvl w:val="0"/>
          <w:numId w:val="16"/>
        </w:numPr>
        <w:spacing w:before="240" w:line="276" w:lineRule="auto"/>
        <w:ind w:firstLineChars="0"/>
        <w:rPr>
          <w:rFonts w:ascii="宋体" w:hAnsi="宋体"/>
          <w:sz w:val="24"/>
        </w:rPr>
      </w:pPr>
      <w:r>
        <w:rPr>
          <w:rFonts w:hint="eastAsia" w:ascii="宋体" w:hAnsi="宋体"/>
          <w:sz w:val="24"/>
        </w:rPr>
        <w:t>任何一方由于不可抗力事件，例如战争、严重火灾、洪水、台风、地震、疫情、恐怖主义袭击和/或其他原因的阻碍不能履行本合同，则本合同的履行时间（包括质量保证期在内）可以相应延长，延长的时间等同于该事件持续的时间。</w:t>
      </w:r>
    </w:p>
    <w:p>
      <w:pPr>
        <w:pStyle w:val="34"/>
        <w:numPr>
          <w:ilvl w:val="0"/>
          <w:numId w:val="16"/>
        </w:numPr>
        <w:spacing w:before="240" w:line="276" w:lineRule="auto"/>
        <w:ind w:firstLineChars="0"/>
        <w:rPr>
          <w:rFonts w:ascii="宋体" w:hAnsi="宋体"/>
          <w:sz w:val="24"/>
        </w:rPr>
      </w:pPr>
      <w:r>
        <w:rPr>
          <w:rFonts w:hint="eastAsia" w:ascii="宋体" w:hAnsi="宋体"/>
          <w:sz w:val="24"/>
        </w:rPr>
        <w:t>遭受不可抗力事故的一方必须尽快以电传或传真通知对方，并须在十四(14)日内以航空挂号信向对方提交有关当局出具的确认不可抗力发生的书面证据，以便另一方进行检查和确认。</w:t>
      </w:r>
    </w:p>
    <w:p>
      <w:pPr>
        <w:pStyle w:val="34"/>
        <w:numPr>
          <w:ilvl w:val="0"/>
          <w:numId w:val="16"/>
        </w:numPr>
        <w:spacing w:before="240" w:line="276" w:lineRule="auto"/>
        <w:ind w:firstLineChars="0"/>
        <w:rPr>
          <w:rFonts w:ascii="宋体" w:hAnsi="宋体"/>
          <w:sz w:val="24"/>
        </w:rPr>
      </w:pPr>
      <w:r>
        <w:rPr>
          <w:rFonts w:hint="eastAsia" w:ascii="宋体" w:hAnsi="宋体"/>
          <w:sz w:val="24"/>
        </w:rPr>
        <w:t>若一方因迟延履行合同约定义务而遭受不可抗力，则不能因不可抗力免除违约责任或合同义务。</w:t>
      </w:r>
    </w:p>
    <w:p>
      <w:pPr>
        <w:pStyle w:val="34"/>
        <w:numPr>
          <w:ilvl w:val="0"/>
          <w:numId w:val="16"/>
        </w:numPr>
        <w:spacing w:before="240" w:line="276" w:lineRule="auto"/>
        <w:ind w:firstLineChars="0"/>
        <w:rPr>
          <w:rFonts w:ascii="宋体" w:hAnsi="宋体"/>
          <w:sz w:val="24"/>
        </w:rPr>
      </w:pPr>
      <w:r>
        <w:rPr>
          <w:rFonts w:hint="eastAsia" w:ascii="宋体" w:hAnsi="宋体"/>
          <w:sz w:val="24"/>
        </w:rPr>
        <w:t>遭遇不可抗力的一方应采取积极措施，尽量减少损失，否则应就扩大损失部分向对方承担赔偿责任。</w:t>
      </w:r>
    </w:p>
    <w:p>
      <w:pPr>
        <w:pStyle w:val="34"/>
        <w:numPr>
          <w:ilvl w:val="0"/>
          <w:numId w:val="16"/>
        </w:numPr>
        <w:spacing w:before="240" w:line="276" w:lineRule="auto"/>
        <w:ind w:firstLineChars="0"/>
        <w:rPr>
          <w:rFonts w:ascii="宋体" w:hAnsi="宋体"/>
          <w:sz w:val="24"/>
        </w:rPr>
      </w:pPr>
      <w:r>
        <w:rPr>
          <w:rFonts w:hint="eastAsia" w:ascii="宋体" w:hAnsi="宋体"/>
          <w:sz w:val="24"/>
        </w:rPr>
        <w:t>如事故持续十周以上，双方有权提前结算并解除合同。</w:t>
      </w:r>
    </w:p>
    <w:p>
      <w:pPr>
        <w:pStyle w:val="34"/>
        <w:numPr>
          <w:ilvl w:val="0"/>
          <w:numId w:val="16"/>
        </w:numPr>
        <w:spacing w:before="240" w:line="276" w:lineRule="auto"/>
        <w:ind w:firstLineChars="0"/>
        <w:rPr>
          <w:rFonts w:ascii="宋体" w:hAnsi="宋体"/>
          <w:sz w:val="24"/>
        </w:rPr>
      </w:pPr>
      <w:r>
        <w:rPr>
          <w:rFonts w:ascii="宋体" w:hAnsi="宋体"/>
          <w:sz w:val="24"/>
        </w:rPr>
        <w:t>公共卫生事件</w:t>
      </w:r>
    </w:p>
    <w:p>
      <w:pPr>
        <w:pStyle w:val="34"/>
        <w:spacing w:before="240" w:line="276" w:lineRule="auto"/>
        <w:ind w:left="840" w:firstLine="0" w:firstLineChars="0"/>
        <w:rPr>
          <w:rFonts w:hint="eastAsia" w:ascii="宋体" w:hAnsi="宋体" w:eastAsia="宋体"/>
          <w:sz w:val="24"/>
          <w:lang w:eastAsia="zh-CN"/>
        </w:rPr>
      </w:pPr>
      <w:r>
        <w:rPr>
          <w:rFonts w:ascii="宋体" w:hAnsi="宋体"/>
          <w:sz w:val="24"/>
        </w:rPr>
        <w:t>1）双方认可新冠</w:t>
      </w:r>
      <w:r>
        <w:rPr>
          <w:rFonts w:hint="eastAsia" w:ascii="宋体" w:hAnsi="宋体"/>
          <w:sz w:val="24"/>
        </w:rPr>
        <w:t>病毒</w:t>
      </w:r>
      <w:r>
        <w:rPr>
          <w:rFonts w:ascii="宋体" w:hAnsi="宋体"/>
          <w:sz w:val="24"/>
        </w:rPr>
        <w:t>等重大公共卫生事件属于不可抗力的情形，双方应最大限度积极采取防疫措施。</w:t>
      </w:r>
    </w:p>
    <w:p>
      <w:pPr>
        <w:pStyle w:val="34"/>
        <w:spacing w:before="240" w:line="276" w:lineRule="auto"/>
        <w:ind w:left="840" w:firstLine="0" w:firstLineChars="0"/>
        <w:rPr>
          <w:rFonts w:hint="eastAsia" w:ascii="宋体" w:hAnsi="宋体" w:eastAsia="宋体"/>
          <w:sz w:val="24"/>
          <w:lang w:eastAsia="zh-CN"/>
        </w:rPr>
      </w:pPr>
      <w:r>
        <w:rPr>
          <w:rFonts w:ascii="宋体" w:hAnsi="宋体"/>
          <w:sz w:val="24"/>
        </w:rPr>
        <w:t>2）乙方承诺积极配合甲方的防疫要求，因乙方或乙方人员拒绝配合甲方防疫要求或防疫不当的，甲方有权选择单方终止合同、要求乙方对可能给甲方引起的疫情风险承担责任（包括但不限于病毒检测、隔离费用等），并且有权要求乙方赔偿因此给甲方造成的损失。</w:t>
      </w:r>
    </w:p>
    <w:p>
      <w:pPr>
        <w:pStyle w:val="34"/>
        <w:spacing w:before="240" w:line="276" w:lineRule="auto"/>
        <w:ind w:left="840" w:firstLine="0" w:firstLineChars="0"/>
        <w:rPr>
          <w:rFonts w:ascii="宋体" w:hAnsi="宋体"/>
          <w:sz w:val="24"/>
        </w:rPr>
      </w:pPr>
      <w:r>
        <w:rPr>
          <w:rFonts w:ascii="宋体" w:hAnsi="宋体"/>
          <w:sz w:val="24"/>
        </w:rPr>
        <w:t>3）甲方因疫情原因（包括但不限于政府部门防疫控政策的强令、指导、引导性文件要求、公司内部防疫相关的通知、公文、领导审批等文件要求），要求中止或终止本合同的，甲方不承担任何违约责任。</w:t>
      </w:r>
    </w:p>
    <w:bookmarkEnd w:id="2"/>
    <w:bookmarkEnd w:id="3"/>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bookmarkStart w:id="4" w:name="_Toc477588055"/>
      <w:r>
        <w:rPr>
          <w:rFonts w:asciiTheme="minorEastAsia" w:hAnsiTheme="minorEastAsia"/>
          <w:b/>
          <w:color w:val="000000" w:themeColor="text1"/>
          <w:sz w:val="24"/>
          <w14:textFill>
            <w14:solidFill>
              <w14:schemeClr w14:val="tx1"/>
            </w14:solidFill>
          </w14:textFill>
        </w:rPr>
        <w:t>争议的解决方式</w:t>
      </w:r>
      <w:bookmarkEnd w:id="4"/>
    </w:p>
    <w:p>
      <w:pPr>
        <w:pStyle w:val="34"/>
        <w:numPr>
          <w:ilvl w:val="0"/>
          <w:numId w:val="17"/>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在合同履行过程中发生争议，双方应当协商解决。</w:t>
      </w:r>
    </w:p>
    <w:p>
      <w:pPr>
        <w:pStyle w:val="34"/>
        <w:numPr>
          <w:ilvl w:val="0"/>
          <w:numId w:val="17"/>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本合同项下发生的任何纠纷或者争议，由双方协商解决；协商不成的，乙方可向甲方所在地有管辖权的人民法院提起诉讼。本条规定于本合同解除、终止或届满后仍继续有效。</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通知送达</w:t>
      </w:r>
    </w:p>
    <w:p>
      <w:pPr>
        <w:pStyle w:val="34"/>
        <w:numPr>
          <w:ilvl w:val="0"/>
          <w:numId w:val="18"/>
        </w:numPr>
        <w:spacing w:before="240" w:line="276" w:lineRule="auto"/>
        <w:ind w:firstLineChars="0"/>
        <w:rPr>
          <w:rFonts w:ascii="宋体" w:hAnsi="宋体"/>
          <w:sz w:val="24"/>
        </w:rPr>
      </w:pPr>
      <w:r>
        <w:rPr>
          <w:rFonts w:hint="eastAsia" w:ascii="宋体" w:hAnsi="宋体"/>
          <w:sz w:val="24"/>
        </w:rPr>
        <w:t>任何一方向其他方发出与本合同有关的任何通知或回复，应采用书面形式，以专人送递、传真、电传、电邮或特快传递方式发出。送达之日为其他方收到通知之日。</w:t>
      </w:r>
    </w:p>
    <w:p>
      <w:pPr>
        <w:pStyle w:val="34"/>
        <w:numPr>
          <w:ilvl w:val="0"/>
          <w:numId w:val="18"/>
        </w:numPr>
        <w:spacing w:before="240" w:line="276" w:lineRule="auto"/>
        <w:ind w:firstLineChars="0"/>
        <w:rPr>
          <w:rFonts w:ascii="宋体" w:hAnsi="宋体"/>
          <w:sz w:val="24"/>
          <w:highlight w:val="yellow"/>
        </w:rPr>
      </w:pPr>
      <w:r>
        <w:rPr>
          <w:rFonts w:hint="eastAsia" w:ascii="宋体" w:hAnsi="宋体"/>
          <w:sz w:val="24"/>
          <w:highlight w:val="yellow"/>
        </w:rPr>
        <w:t>受送达人乙方：</w:t>
      </w:r>
      <w:r>
        <w:rPr>
          <w:rFonts w:hint="eastAsia" w:ascii="宋体" w:hAnsi="宋体"/>
          <w:sz w:val="24"/>
          <w:highlight w:val="yellow"/>
          <w:lang w:val="en-US" w:eastAsia="zh-CN"/>
        </w:rPr>
        <w:t>北京友联物流有限公司</w:t>
      </w:r>
      <w:r>
        <w:rPr>
          <w:rFonts w:hint="eastAsia" w:ascii="宋体" w:hAnsi="宋体"/>
          <w:sz w:val="24"/>
          <w:highlight w:val="yellow"/>
        </w:rPr>
        <w:t>；送达地址：北京市怀柔区庙城镇李两河村300号_2</w:t>
      </w:r>
      <w:r>
        <w:rPr>
          <w:rFonts w:hint="eastAsia" w:ascii="宋体" w:hAnsi="宋体"/>
          <w:sz w:val="24"/>
          <w:highlight w:val="yellow"/>
          <w:lang w:val="en-US" w:eastAsia="zh-CN"/>
        </w:rPr>
        <w:t xml:space="preserve"> </w:t>
      </w:r>
      <w:r>
        <w:rPr>
          <w:rFonts w:hint="eastAsia" w:ascii="宋体" w:hAnsi="宋体"/>
          <w:sz w:val="24"/>
          <w:highlight w:val="yellow"/>
        </w:rPr>
        <w:t>；邮编：</w:t>
      </w:r>
      <w:r>
        <w:rPr>
          <w:rFonts w:hint="eastAsia" w:ascii="宋体" w:hAnsi="宋体"/>
          <w:sz w:val="24"/>
          <w:highlight w:val="yellow"/>
          <w:lang w:val="en-US" w:eastAsia="zh-CN"/>
        </w:rPr>
        <w:t>101400</w:t>
      </w:r>
      <w:r>
        <w:rPr>
          <w:rFonts w:hint="eastAsia" w:ascii="宋体" w:hAnsi="宋体"/>
          <w:sz w:val="24"/>
          <w:highlight w:val="yellow"/>
        </w:rPr>
        <w:t>；联系人：</w:t>
      </w:r>
      <w:r>
        <w:rPr>
          <w:rFonts w:hint="eastAsia" w:ascii="宋体" w:hAnsi="宋体"/>
          <w:sz w:val="24"/>
          <w:highlight w:val="yellow"/>
          <w:lang w:val="en-US" w:eastAsia="zh-CN"/>
        </w:rPr>
        <w:t>杨宇</w:t>
      </w:r>
      <w:r>
        <w:rPr>
          <w:rFonts w:hint="eastAsia" w:ascii="宋体" w:hAnsi="宋体"/>
          <w:sz w:val="24"/>
          <w:highlight w:val="yellow"/>
        </w:rPr>
        <w:t>；联系电话：</w:t>
      </w:r>
      <w:r>
        <w:rPr>
          <w:rFonts w:hint="eastAsia" w:ascii="宋体" w:hAnsi="宋体"/>
          <w:sz w:val="24"/>
          <w:highlight w:val="yellow"/>
          <w:lang w:val="en-US" w:eastAsia="zh-CN"/>
        </w:rPr>
        <w:t>18500550337</w:t>
      </w:r>
      <w:r>
        <w:rPr>
          <w:rFonts w:hint="eastAsia" w:ascii="宋体" w:hAnsi="宋体"/>
          <w:sz w:val="24"/>
          <w:highlight w:val="yellow"/>
        </w:rPr>
        <w:t>。</w:t>
      </w:r>
    </w:p>
    <w:p>
      <w:pPr>
        <w:pStyle w:val="34"/>
        <w:numPr>
          <w:ilvl w:val="0"/>
          <w:numId w:val="18"/>
        </w:numPr>
        <w:spacing w:before="240" w:line="276" w:lineRule="auto"/>
        <w:ind w:firstLineChars="0"/>
        <w:rPr>
          <w:rFonts w:ascii="宋体" w:hAnsi="宋体"/>
          <w:sz w:val="24"/>
        </w:rPr>
      </w:pPr>
      <w:r>
        <w:rPr>
          <w:rFonts w:hint="eastAsia" w:ascii="宋体" w:hAnsi="宋体"/>
          <w:sz w:val="24"/>
        </w:rPr>
        <w:t>甲、乙双方约定上述地址为送达地址，在发生纠纷时，同意人民法院或仲裁机构将上述地址作为送达诉讼、仲裁文书的确认地址。合同签订后，若一方当事人需要变更送达地址，须以书面形式通知其他合同当事人。未经书面通知，视为送达地址未变更。</w:t>
      </w:r>
    </w:p>
    <w:p>
      <w:pPr>
        <w:pStyle w:val="34"/>
        <w:keepLines/>
        <w:numPr>
          <w:ilvl w:val="0"/>
          <w:numId w:val="1"/>
        </w:numPr>
        <w:spacing w:before="240" w:line="276" w:lineRule="auto"/>
        <w:ind w:firstLineChars="0"/>
        <w:outlineLvl w:val="1"/>
        <w:rPr>
          <w:rFonts w:asciiTheme="minorEastAsia" w:hAnsiTheme="minorEastAsia"/>
          <w:b/>
          <w:color w:val="000000" w:themeColor="text1"/>
          <w:sz w:val="24"/>
          <w14:textFill>
            <w14:solidFill>
              <w14:schemeClr w14:val="tx1"/>
            </w14:solidFill>
          </w14:textFill>
        </w:rPr>
      </w:pPr>
      <w:r>
        <w:rPr>
          <w:rFonts w:asciiTheme="minorEastAsia" w:hAnsiTheme="minorEastAsia"/>
          <w:b/>
          <w:color w:val="000000" w:themeColor="text1"/>
          <w:sz w:val="24"/>
          <w14:textFill>
            <w14:solidFill>
              <w14:schemeClr w14:val="tx1"/>
            </w14:solidFill>
          </w14:textFill>
        </w:rPr>
        <w:t>合同的生效和效力</w:t>
      </w:r>
    </w:p>
    <w:p>
      <w:pPr>
        <w:pStyle w:val="34"/>
        <w:numPr>
          <w:ilvl w:val="0"/>
          <w:numId w:val="19"/>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本合同自双方签字盖章之日起生效</w:t>
      </w:r>
      <w:r>
        <w:rPr>
          <w:rFonts w:hint="eastAsia" w:asciiTheme="minorEastAsia" w:hAnsiTheme="minorEastAsia"/>
          <w:color w:val="000000" w:themeColor="text1"/>
          <w:kern w:val="0"/>
          <w:sz w:val="24"/>
          <w14:textFill>
            <w14:solidFill>
              <w14:schemeClr w14:val="tx1"/>
            </w14:solidFill>
          </w14:textFill>
        </w:rPr>
        <w:t>，</w:t>
      </w:r>
      <w:r>
        <w:rPr>
          <w:rFonts w:asciiTheme="minorEastAsia" w:hAnsiTheme="minorEastAsia"/>
          <w:color w:val="000000" w:themeColor="text1"/>
          <w:kern w:val="0"/>
          <w:sz w:val="24"/>
          <w14:textFill>
            <w14:solidFill>
              <w14:schemeClr w14:val="tx1"/>
            </w14:solidFill>
          </w14:textFill>
        </w:rPr>
        <w:t>签署一式</w:t>
      </w:r>
      <w:r>
        <w:rPr>
          <w:rFonts w:hint="eastAsia" w:asciiTheme="minorEastAsia" w:hAnsiTheme="minorEastAsia"/>
          <w:color w:val="000000" w:themeColor="text1"/>
          <w:kern w:val="0"/>
          <w:sz w:val="24"/>
          <w:u w:val="single"/>
          <w14:textFill>
            <w14:solidFill>
              <w14:schemeClr w14:val="tx1"/>
            </w14:solidFill>
          </w14:textFill>
        </w:rPr>
        <w:t>贰</w:t>
      </w:r>
      <w:r>
        <w:rPr>
          <w:rFonts w:asciiTheme="minorEastAsia" w:hAnsiTheme="minorEastAsia"/>
          <w:color w:val="000000" w:themeColor="text1"/>
          <w:kern w:val="0"/>
          <w:sz w:val="24"/>
          <w14:textFill>
            <w14:solidFill>
              <w14:schemeClr w14:val="tx1"/>
            </w14:solidFill>
          </w14:textFill>
        </w:rPr>
        <w:t>份，双方各执</w:t>
      </w:r>
      <w:r>
        <w:rPr>
          <w:rFonts w:hint="eastAsia" w:asciiTheme="minorEastAsia" w:hAnsiTheme="minorEastAsia"/>
          <w:color w:val="000000" w:themeColor="text1"/>
          <w:kern w:val="0"/>
          <w:sz w:val="24"/>
          <w:u w:val="single"/>
          <w14:textFill>
            <w14:solidFill>
              <w14:schemeClr w14:val="tx1"/>
            </w14:solidFill>
          </w14:textFill>
        </w:rPr>
        <w:t>壹</w:t>
      </w:r>
      <w:r>
        <w:rPr>
          <w:rFonts w:asciiTheme="minorEastAsia" w:hAnsiTheme="minorEastAsia"/>
          <w:color w:val="000000" w:themeColor="text1"/>
          <w:kern w:val="0"/>
          <w:sz w:val="24"/>
          <w14:textFill>
            <w14:solidFill>
              <w14:schemeClr w14:val="tx1"/>
            </w14:solidFill>
          </w14:textFill>
        </w:rPr>
        <w:t>份，每份均为正本，具有同等法律效力。</w:t>
      </w:r>
    </w:p>
    <w:p>
      <w:pPr>
        <w:pStyle w:val="34"/>
        <w:numPr>
          <w:ilvl w:val="0"/>
          <w:numId w:val="19"/>
        </w:numPr>
        <w:spacing w:before="240" w:line="276" w:lineRule="auto"/>
        <w:ind w:firstLineChars="0"/>
        <w:rPr>
          <w:rFonts w:asciiTheme="minorEastAsia" w:hAnsiTheme="minorEastAsia"/>
          <w:color w:val="000000" w:themeColor="text1"/>
          <w:kern w:val="0"/>
          <w:sz w:val="24"/>
          <w14:textFill>
            <w14:solidFill>
              <w14:schemeClr w14:val="tx1"/>
            </w14:solidFill>
          </w14:textFill>
        </w:rPr>
      </w:pPr>
      <w:r>
        <w:rPr>
          <w:rFonts w:asciiTheme="minorEastAsia" w:hAnsiTheme="minorEastAsia"/>
          <w:color w:val="000000" w:themeColor="text1"/>
          <w:kern w:val="0"/>
          <w:sz w:val="24"/>
          <w14:textFill>
            <w14:solidFill>
              <w14:schemeClr w14:val="tx1"/>
            </w14:solidFill>
          </w14:textFill>
        </w:rPr>
        <w:t>若本合同的某一条款在任何方面被认定为无效或不能执行的，不影响本合同其他条款的效力，其他部分仍然有效。</w:t>
      </w:r>
      <w:r>
        <w:rPr>
          <w:rFonts w:hint="eastAsia" w:asciiTheme="minorEastAsia" w:hAnsiTheme="minorEastAsia"/>
          <w:color w:val="000000" w:themeColor="text1"/>
          <w:kern w:val="0"/>
          <w:sz w:val="24"/>
          <w14:textFill>
            <w14:solidFill>
              <w14:schemeClr w14:val="tx1"/>
            </w14:solidFill>
          </w14:textFill>
        </w:rPr>
        <w:t>并且</w:t>
      </w:r>
      <w:r>
        <w:rPr>
          <w:rFonts w:asciiTheme="minorEastAsia" w:hAnsiTheme="minorEastAsia"/>
          <w:color w:val="000000" w:themeColor="text1"/>
          <w:kern w:val="0"/>
          <w:sz w:val="24"/>
          <w14:textFill>
            <w14:solidFill>
              <w14:schemeClr w14:val="tx1"/>
            </w14:solidFill>
          </w14:textFill>
        </w:rPr>
        <w:t>解释本合同时，应视为从未包含该等无效或不能执行之条款。</w:t>
      </w:r>
    </w:p>
    <w:p>
      <w:pPr>
        <w:pStyle w:val="34"/>
        <w:keepLines/>
        <w:numPr>
          <w:ilvl w:val="0"/>
          <w:numId w:val="0"/>
        </w:numPr>
        <w:spacing w:before="240" w:line="276" w:lineRule="auto"/>
        <w:ind w:leftChars="0"/>
        <w:outlineLvl w:val="1"/>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其他</w:t>
      </w:r>
    </w:p>
    <w:p>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本合同受中华人民共和国法律管辖。</w:t>
      </w:r>
    </w:p>
    <w:p>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本合同中甲、乙双的权利、责任和义务仅在中华人民共和国范围内有效。</w:t>
      </w:r>
    </w:p>
    <w:p>
      <w:pPr>
        <w:spacing w:before="240" w:line="276" w:lineRule="auto"/>
        <w:ind w:firstLine="480" w:firstLineChars="200"/>
        <w:rPr>
          <w:rFonts w:ascii="宋体" w:hAnsi="宋体"/>
          <w:sz w:val="24"/>
        </w:rPr>
      </w:pPr>
      <w:r>
        <w:rPr>
          <w:rFonts w:hint="eastAsia" w:ascii="宋体" w:hAnsi="宋体"/>
          <w:sz w:val="24"/>
        </w:rPr>
        <w:t>3、本合同的所有修改和变更需要通过双方共同签署书面文件才生效。</w:t>
      </w:r>
    </w:p>
    <w:p>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本合同一方向另一方发送涉及本合同项下权利或义务的主张、放弃或变更等重要事宜时，必须采用书面通知。</w:t>
      </w:r>
    </w:p>
    <w:p>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在本合同的履行过程中需要书面通知对方当事人的，应将书面通知送达至本合同所列地址，只要该书面通知到达该指定地址，就视为通知方已适当履行了通知义务，且该通知内容已为被通知方知晓。如一方变更通讯地址，应及时通知对方，否则由此产生的后果均由变更方承担。</w:t>
      </w:r>
    </w:p>
    <w:p>
      <w:pPr>
        <w:pStyle w:val="34"/>
        <w:numPr>
          <w:ilvl w:val="0"/>
          <w:numId w:val="20"/>
        </w:numPr>
        <w:spacing w:before="240" w:line="276" w:lineRule="auto"/>
        <w:ind w:left="780" w:leftChars="0" w:firstLineChars="0"/>
        <w:rPr>
          <w:rFonts w:ascii="宋体" w:hAnsi="宋体"/>
          <w:sz w:val="24"/>
        </w:rPr>
      </w:pPr>
      <w:r>
        <w:rPr>
          <w:rFonts w:hint="eastAsia" w:ascii="宋体" w:hAnsi="宋体"/>
          <w:sz w:val="24"/>
        </w:rPr>
        <w:t>本合同被认定为无效或提前终止等情形发生时，不影响应继续存在的条款。这些条款包括但不局限于保密条款、知识产权、争议解决条款等。</w:t>
      </w:r>
    </w:p>
    <w:p>
      <w:pPr>
        <w:spacing w:line="240" w:lineRule="auto"/>
        <w:ind w:firstLine="0" w:firstLineChars="0"/>
        <w:jc w:val="center"/>
        <w:rPr>
          <w:rFonts w:cs="Times New Roman" w:asciiTheme="minorEastAsia" w:hAnsiTheme="minorEastAsia"/>
          <w:b/>
          <w:color w:val="000000" w:themeColor="text1"/>
          <w:kern w:val="0"/>
          <w:sz w:val="24"/>
          <w14:textFill>
            <w14:solidFill>
              <w14:schemeClr w14:val="tx1"/>
            </w14:solidFill>
          </w14:textFill>
        </w:rPr>
      </w:pPr>
      <w:r>
        <w:rPr>
          <w:rFonts w:cs="Times New Roman" w:asciiTheme="minorEastAsia" w:hAnsiTheme="minorEastAsia"/>
          <w:b/>
          <w:color w:val="000000" w:themeColor="text1"/>
          <w:kern w:val="0"/>
          <w:sz w:val="24"/>
          <w14:textFill>
            <w14:solidFill>
              <w14:schemeClr w14:val="tx1"/>
            </w14:solidFill>
          </w14:textFill>
        </w:rPr>
        <w:t>（</w:t>
      </w:r>
      <w:r>
        <w:rPr>
          <w:rFonts w:hint="eastAsia" w:cs="Times New Roman" w:asciiTheme="minorEastAsia" w:hAnsiTheme="minorEastAsia"/>
          <w:b/>
          <w:color w:val="000000" w:themeColor="text1"/>
          <w:kern w:val="0"/>
          <w:sz w:val="24"/>
          <w14:textFill>
            <w14:solidFill>
              <w14:schemeClr w14:val="tx1"/>
            </w14:solidFill>
          </w14:textFill>
        </w:rPr>
        <w:t>合同</w:t>
      </w:r>
      <w:r>
        <w:rPr>
          <w:rFonts w:cs="Times New Roman" w:asciiTheme="minorEastAsia" w:hAnsiTheme="minorEastAsia"/>
          <w:b/>
          <w:color w:val="000000" w:themeColor="text1"/>
          <w:kern w:val="0"/>
          <w:sz w:val="24"/>
          <w14:textFill>
            <w14:solidFill>
              <w14:schemeClr w14:val="tx1"/>
            </w14:solidFill>
          </w14:textFill>
        </w:rPr>
        <w:t>正文完）</w:t>
      </w:r>
      <w:r>
        <w:rPr>
          <w:rFonts w:cs="Times New Roman" w:asciiTheme="minorEastAsia" w:hAnsiTheme="minorEastAsia"/>
          <w:b/>
          <w:color w:val="000000" w:themeColor="text1"/>
          <w:kern w:val="0"/>
          <w:sz w:val="24"/>
          <w14:textFill>
            <w14:solidFill>
              <w14:schemeClr w14:val="tx1"/>
            </w14:solidFill>
          </w14:textFill>
        </w:rPr>
        <w:br w:type="page"/>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YaHei-Bold">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51234"/>
    <w:multiLevelType w:val="multilevel"/>
    <w:tmpl w:val="05B51234"/>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6313E3F"/>
    <w:multiLevelType w:val="multilevel"/>
    <w:tmpl w:val="06313E3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7A21549"/>
    <w:multiLevelType w:val="multilevel"/>
    <w:tmpl w:val="07A2154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2B154F1"/>
    <w:multiLevelType w:val="multilevel"/>
    <w:tmpl w:val="12B154F1"/>
    <w:lvl w:ilvl="0" w:tentative="0">
      <w:start w:val="1"/>
      <w:numFmt w:val="japaneseCounting"/>
      <w:lvlText w:val="第%1条、"/>
      <w:lvlJc w:val="left"/>
      <w:pPr>
        <w:ind w:left="1080" w:hanging="1080"/>
      </w:pPr>
      <w:rPr>
        <w:rFonts w:hint="default"/>
        <w:b/>
        <w:sz w:val="24"/>
        <w:szCs w:val="24"/>
        <w:lang w:val="en-US"/>
      </w:rPr>
    </w:lvl>
    <w:lvl w:ilvl="1" w:tentative="0">
      <w:start w:val="1"/>
      <w:numFmt w:val="lowerLetter"/>
      <w:lvlText w:val="%2)"/>
      <w:lvlJc w:val="left"/>
      <w:pPr>
        <w:ind w:left="840" w:hanging="420"/>
      </w:pPr>
    </w:lvl>
    <w:lvl w:ilvl="2" w:tentative="0">
      <w:start w:val="1"/>
      <w:numFmt w:val="decimal"/>
      <w:lvlText w:val="%3、"/>
      <w:lvlJc w:val="left"/>
      <w:pPr>
        <w:ind w:left="121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193840"/>
    <w:multiLevelType w:val="multilevel"/>
    <w:tmpl w:val="14193840"/>
    <w:lvl w:ilvl="0" w:tentative="0">
      <w:start w:val="1"/>
      <w:numFmt w:val="decimal"/>
      <w:lvlText w:val="%1."/>
      <w:lvlJc w:val="left"/>
      <w:pPr>
        <w:ind w:left="987" w:hanging="420"/>
      </w:pPr>
    </w:lvl>
    <w:lvl w:ilvl="1" w:tentative="0">
      <w:start w:val="1"/>
      <w:numFmt w:val="decimal"/>
      <w:isLgl/>
      <w:lvlText w:val="%1.%2"/>
      <w:lvlJc w:val="left"/>
      <w:pPr>
        <w:ind w:left="1210" w:hanging="360"/>
      </w:pPr>
      <w:rPr>
        <w:rFonts w:hint="default"/>
      </w:rPr>
    </w:lvl>
    <w:lvl w:ilvl="2" w:tentative="0">
      <w:start w:val="1"/>
      <w:numFmt w:val="decimal"/>
      <w:isLgl/>
      <w:lvlText w:val="%1.%2.%3"/>
      <w:lvlJc w:val="left"/>
      <w:pPr>
        <w:ind w:left="2127" w:hanging="720"/>
      </w:pPr>
      <w:rPr>
        <w:rFonts w:hint="default"/>
      </w:rPr>
    </w:lvl>
    <w:lvl w:ilvl="3" w:tentative="0">
      <w:start w:val="1"/>
      <w:numFmt w:val="decimal"/>
      <w:isLgl/>
      <w:lvlText w:val="%1.%2.%3.%4"/>
      <w:lvlJc w:val="left"/>
      <w:pPr>
        <w:ind w:left="2907" w:hanging="1080"/>
      </w:pPr>
      <w:rPr>
        <w:rFonts w:hint="default"/>
      </w:rPr>
    </w:lvl>
    <w:lvl w:ilvl="4" w:tentative="0">
      <w:start w:val="1"/>
      <w:numFmt w:val="decimal"/>
      <w:isLgl/>
      <w:lvlText w:val="%1.%2.%3.%4.%5"/>
      <w:lvlJc w:val="left"/>
      <w:pPr>
        <w:ind w:left="3327" w:hanging="1080"/>
      </w:pPr>
      <w:rPr>
        <w:rFonts w:hint="default"/>
      </w:rPr>
    </w:lvl>
    <w:lvl w:ilvl="5" w:tentative="0">
      <w:start w:val="1"/>
      <w:numFmt w:val="decimal"/>
      <w:isLgl/>
      <w:lvlText w:val="%1.%2.%3.%4.%5.%6"/>
      <w:lvlJc w:val="left"/>
      <w:pPr>
        <w:ind w:left="4107" w:hanging="1440"/>
      </w:pPr>
      <w:rPr>
        <w:rFonts w:hint="default"/>
      </w:rPr>
    </w:lvl>
    <w:lvl w:ilvl="6" w:tentative="0">
      <w:start w:val="1"/>
      <w:numFmt w:val="decimal"/>
      <w:isLgl/>
      <w:lvlText w:val="%1.%2.%3.%4.%5.%6.%7"/>
      <w:lvlJc w:val="left"/>
      <w:pPr>
        <w:ind w:left="4887" w:hanging="1800"/>
      </w:pPr>
      <w:rPr>
        <w:rFonts w:hint="default"/>
      </w:rPr>
    </w:lvl>
    <w:lvl w:ilvl="7" w:tentative="0">
      <w:start w:val="1"/>
      <w:numFmt w:val="decimal"/>
      <w:isLgl/>
      <w:lvlText w:val="%1.%2.%3.%4.%5.%6.%7.%8"/>
      <w:lvlJc w:val="left"/>
      <w:pPr>
        <w:ind w:left="5307" w:hanging="1800"/>
      </w:pPr>
      <w:rPr>
        <w:rFonts w:hint="default"/>
      </w:rPr>
    </w:lvl>
    <w:lvl w:ilvl="8" w:tentative="0">
      <w:start w:val="1"/>
      <w:numFmt w:val="decimal"/>
      <w:isLgl/>
      <w:lvlText w:val="%1.%2.%3.%4.%5.%6.%7.%8.%9"/>
      <w:lvlJc w:val="left"/>
      <w:pPr>
        <w:ind w:left="6087" w:hanging="2160"/>
      </w:pPr>
      <w:rPr>
        <w:rFonts w:hint="default"/>
      </w:rPr>
    </w:lvl>
  </w:abstractNum>
  <w:abstractNum w:abstractNumId="5">
    <w:nsid w:val="16882559"/>
    <w:multiLevelType w:val="multilevel"/>
    <w:tmpl w:val="16882559"/>
    <w:lvl w:ilvl="0" w:tentative="0">
      <w:start w:val="1"/>
      <w:numFmt w:val="decimal"/>
      <w:lvlText w:val="%1、"/>
      <w:lvlJc w:val="left"/>
      <w:pPr>
        <w:ind w:left="905" w:hanging="48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7066CCD"/>
    <w:multiLevelType w:val="multilevel"/>
    <w:tmpl w:val="17066CC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FA52EA1"/>
    <w:multiLevelType w:val="multilevel"/>
    <w:tmpl w:val="1FA52EA1"/>
    <w:lvl w:ilvl="0" w:tentative="0">
      <w:start w:val="2"/>
      <w:numFmt w:val="decimal"/>
      <w:lvlText w:val="%1"/>
      <w:lvlJc w:val="left"/>
      <w:pPr>
        <w:ind w:left="360" w:hanging="360"/>
      </w:pPr>
      <w:rPr>
        <w:rFonts w:hint="default"/>
      </w:rPr>
    </w:lvl>
    <w:lvl w:ilvl="1" w:tentative="0">
      <w:start w:val="1"/>
      <w:numFmt w:val="decimal"/>
      <w:lvlText w:val="%1.%2"/>
      <w:lvlJc w:val="left"/>
      <w:pPr>
        <w:ind w:left="1200" w:hanging="360"/>
      </w:pPr>
      <w:rPr>
        <w:rFonts w:hint="default" w:asciiTheme="minorEastAsia" w:hAnsiTheme="minorEastAsia" w:eastAsiaTheme="minorEastAsia"/>
        <w:sz w:val="24"/>
        <w:szCs w:val="24"/>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abstractNum w:abstractNumId="8">
    <w:nsid w:val="24CA194C"/>
    <w:multiLevelType w:val="singleLevel"/>
    <w:tmpl w:val="24CA194C"/>
    <w:lvl w:ilvl="0" w:tentative="0">
      <w:start w:val="1"/>
      <w:numFmt w:val="chineseCounting"/>
      <w:suff w:val="nothing"/>
      <w:lvlText w:val="%1）"/>
      <w:lvlJc w:val="left"/>
      <w:rPr>
        <w:rFonts w:hint="eastAsia"/>
      </w:rPr>
    </w:lvl>
  </w:abstractNum>
  <w:abstractNum w:abstractNumId="9">
    <w:nsid w:val="25AA2A76"/>
    <w:multiLevelType w:val="multilevel"/>
    <w:tmpl w:val="25AA2A7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A9253AD"/>
    <w:multiLevelType w:val="multilevel"/>
    <w:tmpl w:val="2A9253AD"/>
    <w:lvl w:ilvl="0" w:tentative="0">
      <w:start w:val="3"/>
      <w:numFmt w:val="decimal"/>
      <w:lvlText w:val="%1"/>
      <w:lvlJc w:val="left"/>
      <w:pPr>
        <w:ind w:left="360" w:hanging="360"/>
      </w:pPr>
      <w:rPr>
        <w:rFonts w:hint="default"/>
      </w:rPr>
    </w:lvl>
    <w:lvl w:ilvl="1" w:tentative="0">
      <w:start w:val="1"/>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abstractNum w:abstractNumId="11">
    <w:nsid w:val="2FAB77B3"/>
    <w:multiLevelType w:val="multilevel"/>
    <w:tmpl w:val="2FAB77B3"/>
    <w:lvl w:ilvl="0" w:tentative="0">
      <w:start w:val="2"/>
      <w:numFmt w:val="decimal"/>
      <w:lvlText w:val="%1"/>
      <w:lvlJc w:val="left"/>
      <w:pPr>
        <w:ind w:left="360" w:hanging="360"/>
      </w:pPr>
      <w:rPr>
        <w:rFonts w:hint="default"/>
      </w:rPr>
    </w:lvl>
    <w:lvl w:ilvl="1" w:tentative="0">
      <w:start w:val="1"/>
      <w:numFmt w:val="decimal"/>
      <w:lvlText w:val="%1.%2"/>
      <w:lvlJc w:val="left"/>
      <w:pPr>
        <w:ind w:left="1210" w:hanging="360"/>
      </w:pPr>
      <w:rPr>
        <w:rFonts w:hint="default"/>
      </w:rPr>
    </w:lvl>
    <w:lvl w:ilvl="2" w:tentative="0">
      <w:start w:val="1"/>
      <w:numFmt w:val="decimal"/>
      <w:lvlText w:val="%1.%2.%3"/>
      <w:lvlJc w:val="left"/>
      <w:pPr>
        <w:ind w:left="3120" w:hanging="720"/>
      </w:pPr>
      <w:rPr>
        <w:rFonts w:hint="default"/>
      </w:rPr>
    </w:lvl>
    <w:lvl w:ilvl="3" w:tentative="0">
      <w:start w:val="1"/>
      <w:numFmt w:val="decimal"/>
      <w:lvlText w:val="%1.%2.%3.%4"/>
      <w:lvlJc w:val="left"/>
      <w:pPr>
        <w:ind w:left="4680" w:hanging="1080"/>
      </w:pPr>
      <w:rPr>
        <w:rFonts w:hint="default"/>
      </w:rPr>
    </w:lvl>
    <w:lvl w:ilvl="4" w:tentative="0">
      <w:start w:val="1"/>
      <w:numFmt w:val="decimal"/>
      <w:lvlText w:val="%1.%2.%3.%4.%5"/>
      <w:lvlJc w:val="left"/>
      <w:pPr>
        <w:ind w:left="5880" w:hanging="1080"/>
      </w:pPr>
      <w:rPr>
        <w:rFonts w:hint="default"/>
      </w:rPr>
    </w:lvl>
    <w:lvl w:ilvl="5" w:tentative="0">
      <w:start w:val="1"/>
      <w:numFmt w:val="decimal"/>
      <w:lvlText w:val="%1.%2.%3.%4.%5.%6"/>
      <w:lvlJc w:val="left"/>
      <w:pPr>
        <w:ind w:left="7440" w:hanging="1440"/>
      </w:pPr>
      <w:rPr>
        <w:rFonts w:hint="default"/>
      </w:rPr>
    </w:lvl>
    <w:lvl w:ilvl="6" w:tentative="0">
      <w:start w:val="1"/>
      <w:numFmt w:val="decimal"/>
      <w:lvlText w:val="%1.%2.%3.%4.%5.%6.%7"/>
      <w:lvlJc w:val="left"/>
      <w:pPr>
        <w:ind w:left="9000" w:hanging="1800"/>
      </w:pPr>
      <w:rPr>
        <w:rFonts w:hint="default"/>
      </w:rPr>
    </w:lvl>
    <w:lvl w:ilvl="7" w:tentative="0">
      <w:start w:val="1"/>
      <w:numFmt w:val="decimal"/>
      <w:lvlText w:val="%1.%2.%3.%4.%5.%6.%7.%8"/>
      <w:lvlJc w:val="left"/>
      <w:pPr>
        <w:ind w:left="10200" w:hanging="1800"/>
      </w:pPr>
      <w:rPr>
        <w:rFonts w:hint="default"/>
      </w:rPr>
    </w:lvl>
    <w:lvl w:ilvl="8" w:tentative="0">
      <w:start w:val="1"/>
      <w:numFmt w:val="decimal"/>
      <w:lvlText w:val="%1.%2.%3.%4.%5.%6.%7.%8.%9"/>
      <w:lvlJc w:val="left"/>
      <w:pPr>
        <w:ind w:left="11760" w:hanging="2160"/>
      </w:pPr>
      <w:rPr>
        <w:rFonts w:hint="default"/>
      </w:rPr>
    </w:lvl>
  </w:abstractNum>
  <w:abstractNum w:abstractNumId="12">
    <w:nsid w:val="31B249F6"/>
    <w:multiLevelType w:val="multilevel"/>
    <w:tmpl w:val="31B249F6"/>
    <w:lvl w:ilvl="0" w:tentative="0">
      <w:start w:val="1"/>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2530" w:hanging="720"/>
      </w:pPr>
      <w:rPr>
        <w:rFonts w:hint="default"/>
      </w:rPr>
    </w:lvl>
    <w:lvl w:ilvl="3" w:tentative="0">
      <w:start w:val="1"/>
      <w:numFmt w:val="decimal"/>
      <w:lvlText w:val="%1.%2.%3.%4"/>
      <w:lvlJc w:val="left"/>
      <w:pPr>
        <w:ind w:left="3795" w:hanging="1080"/>
      </w:pPr>
      <w:rPr>
        <w:rFonts w:hint="default"/>
      </w:rPr>
    </w:lvl>
    <w:lvl w:ilvl="4" w:tentative="0">
      <w:start w:val="1"/>
      <w:numFmt w:val="decimal"/>
      <w:lvlText w:val="%1.%2.%3.%4.%5"/>
      <w:lvlJc w:val="left"/>
      <w:pPr>
        <w:ind w:left="4700" w:hanging="1080"/>
      </w:pPr>
      <w:rPr>
        <w:rFonts w:hint="default"/>
      </w:rPr>
    </w:lvl>
    <w:lvl w:ilvl="5" w:tentative="0">
      <w:start w:val="1"/>
      <w:numFmt w:val="decimal"/>
      <w:lvlText w:val="%1.%2.%3.%4.%5.%6"/>
      <w:lvlJc w:val="left"/>
      <w:pPr>
        <w:ind w:left="5965" w:hanging="1440"/>
      </w:pPr>
      <w:rPr>
        <w:rFonts w:hint="default"/>
      </w:rPr>
    </w:lvl>
    <w:lvl w:ilvl="6" w:tentative="0">
      <w:start w:val="1"/>
      <w:numFmt w:val="decimal"/>
      <w:lvlText w:val="%1.%2.%3.%4.%5.%6.%7"/>
      <w:lvlJc w:val="left"/>
      <w:pPr>
        <w:ind w:left="7230" w:hanging="1800"/>
      </w:pPr>
      <w:rPr>
        <w:rFonts w:hint="default"/>
      </w:rPr>
    </w:lvl>
    <w:lvl w:ilvl="7" w:tentative="0">
      <w:start w:val="1"/>
      <w:numFmt w:val="decimal"/>
      <w:lvlText w:val="%1.%2.%3.%4.%5.%6.%7.%8"/>
      <w:lvlJc w:val="left"/>
      <w:pPr>
        <w:ind w:left="8135" w:hanging="1800"/>
      </w:pPr>
      <w:rPr>
        <w:rFonts w:hint="default"/>
      </w:rPr>
    </w:lvl>
    <w:lvl w:ilvl="8" w:tentative="0">
      <w:start w:val="1"/>
      <w:numFmt w:val="decimal"/>
      <w:lvlText w:val="%1.%2.%3.%4.%5.%6.%7.%8.%9"/>
      <w:lvlJc w:val="left"/>
      <w:pPr>
        <w:ind w:left="9400" w:hanging="2160"/>
      </w:pPr>
      <w:rPr>
        <w:rFonts w:hint="default"/>
      </w:rPr>
    </w:lvl>
  </w:abstractNum>
  <w:abstractNum w:abstractNumId="13">
    <w:nsid w:val="3BF73E5C"/>
    <w:multiLevelType w:val="multilevel"/>
    <w:tmpl w:val="3BF73E5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0396BA3"/>
    <w:multiLevelType w:val="multilevel"/>
    <w:tmpl w:val="50396BA3"/>
    <w:lvl w:ilvl="0" w:tentative="0">
      <w:start w:val="1"/>
      <w:numFmt w:val="decimal"/>
      <w:lvlText w:val="%1、"/>
      <w:lvlJc w:val="left"/>
      <w:pPr>
        <w:ind w:left="960" w:hanging="480"/>
      </w:pPr>
    </w:lvl>
    <w:lvl w:ilvl="1" w:tentative="0">
      <w:start w:val="1"/>
      <w:numFmt w:val="decimal"/>
      <w:lvlText w:val="%2）"/>
      <w:lvlJc w:val="left"/>
      <w:pPr>
        <w:ind w:left="1260" w:hanging="36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79B2922"/>
    <w:multiLevelType w:val="multilevel"/>
    <w:tmpl w:val="579B292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C877E51"/>
    <w:multiLevelType w:val="multilevel"/>
    <w:tmpl w:val="5C877E51"/>
    <w:lvl w:ilvl="0" w:tentative="0">
      <w:start w:val="4"/>
      <w:numFmt w:val="decimal"/>
      <w:lvlText w:val="%1"/>
      <w:lvlJc w:val="left"/>
      <w:pPr>
        <w:ind w:left="360" w:hanging="360"/>
      </w:pPr>
      <w:rPr>
        <w:rFonts w:hint="default"/>
      </w:rPr>
    </w:lvl>
    <w:lvl w:ilvl="1" w:tentative="0">
      <w:start w:val="1"/>
      <w:numFmt w:val="decimal"/>
      <w:lvlText w:val="%1.%2"/>
      <w:lvlJc w:val="left"/>
      <w:pPr>
        <w:ind w:left="1210" w:hanging="360"/>
      </w:pPr>
      <w:rPr>
        <w:rFonts w:hint="default"/>
      </w:rPr>
    </w:lvl>
    <w:lvl w:ilvl="2" w:tentative="0">
      <w:start w:val="1"/>
      <w:numFmt w:val="decimal"/>
      <w:lvlText w:val="%1.%2.%3"/>
      <w:lvlJc w:val="left"/>
      <w:pPr>
        <w:ind w:left="3140" w:hanging="720"/>
      </w:pPr>
      <w:rPr>
        <w:rFonts w:hint="default"/>
      </w:rPr>
    </w:lvl>
    <w:lvl w:ilvl="3" w:tentative="0">
      <w:start w:val="1"/>
      <w:numFmt w:val="decimal"/>
      <w:lvlText w:val="%1.%2.%3.%4"/>
      <w:lvlJc w:val="left"/>
      <w:pPr>
        <w:ind w:left="4710" w:hanging="1080"/>
      </w:pPr>
      <w:rPr>
        <w:rFonts w:hint="default"/>
      </w:rPr>
    </w:lvl>
    <w:lvl w:ilvl="4" w:tentative="0">
      <w:start w:val="1"/>
      <w:numFmt w:val="decimal"/>
      <w:lvlText w:val="%1.%2.%3.%4.%5"/>
      <w:lvlJc w:val="left"/>
      <w:pPr>
        <w:ind w:left="5920" w:hanging="1080"/>
      </w:pPr>
      <w:rPr>
        <w:rFonts w:hint="default"/>
      </w:rPr>
    </w:lvl>
    <w:lvl w:ilvl="5" w:tentative="0">
      <w:start w:val="1"/>
      <w:numFmt w:val="decimal"/>
      <w:lvlText w:val="%1.%2.%3.%4.%5.%6"/>
      <w:lvlJc w:val="left"/>
      <w:pPr>
        <w:ind w:left="7490" w:hanging="1440"/>
      </w:pPr>
      <w:rPr>
        <w:rFonts w:hint="default"/>
      </w:rPr>
    </w:lvl>
    <w:lvl w:ilvl="6" w:tentative="0">
      <w:start w:val="1"/>
      <w:numFmt w:val="decimal"/>
      <w:lvlText w:val="%1.%2.%3.%4.%5.%6.%7"/>
      <w:lvlJc w:val="left"/>
      <w:pPr>
        <w:ind w:left="9060" w:hanging="1800"/>
      </w:pPr>
      <w:rPr>
        <w:rFonts w:hint="default"/>
      </w:rPr>
    </w:lvl>
    <w:lvl w:ilvl="7" w:tentative="0">
      <w:start w:val="1"/>
      <w:numFmt w:val="decimal"/>
      <w:lvlText w:val="%1.%2.%3.%4.%5.%6.%7.%8"/>
      <w:lvlJc w:val="left"/>
      <w:pPr>
        <w:ind w:left="10270" w:hanging="1800"/>
      </w:pPr>
      <w:rPr>
        <w:rFonts w:hint="default"/>
      </w:rPr>
    </w:lvl>
    <w:lvl w:ilvl="8" w:tentative="0">
      <w:start w:val="1"/>
      <w:numFmt w:val="decimal"/>
      <w:lvlText w:val="%1.%2.%3.%4.%5.%6.%7.%8.%9"/>
      <w:lvlJc w:val="left"/>
      <w:pPr>
        <w:ind w:left="11840" w:hanging="2160"/>
      </w:pPr>
      <w:rPr>
        <w:rFonts w:hint="default"/>
      </w:rPr>
    </w:lvl>
  </w:abstractNum>
  <w:abstractNum w:abstractNumId="17">
    <w:nsid w:val="627567D4"/>
    <w:multiLevelType w:val="multilevel"/>
    <w:tmpl w:val="627567D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69647A76"/>
    <w:multiLevelType w:val="multilevel"/>
    <w:tmpl w:val="69647A76"/>
    <w:lvl w:ilvl="0" w:tentative="0">
      <w:start w:val="1"/>
      <w:numFmt w:val="decimal"/>
      <w:lvlText w:val="%1、"/>
      <w:lvlJc w:val="left"/>
      <w:pPr>
        <w:ind w:left="78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BC81B8C"/>
    <w:multiLevelType w:val="multilevel"/>
    <w:tmpl w:val="6BC81B8C"/>
    <w:lvl w:ilvl="0" w:tentative="0">
      <w:start w:val="1"/>
      <w:numFmt w:val="decimal"/>
      <w:lvlText w:val="%1"/>
      <w:lvlJc w:val="left"/>
      <w:pPr>
        <w:ind w:left="360" w:hanging="360"/>
      </w:pPr>
      <w:rPr>
        <w:rFonts w:hint="default"/>
      </w:rPr>
    </w:lvl>
    <w:lvl w:ilvl="1" w:tentative="0">
      <w:start w:val="1"/>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640" w:hanging="1440"/>
      </w:pPr>
      <w:rPr>
        <w:rFonts w:hint="default"/>
      </w:rPr>
    </w:lvl>
    <w:lvl w:ilvl="6" w:tentative="0">
      <w:start w:val="1"/>
      <w:numFmt w:val="decimal"/>
      <w:lvlText w:val="%1.%2.%3.%4.%5.%6.%7"/>
      <w:lvlJc w:val="left"/>
      <w:pPr>
        <w:ind w:left="6840" w:hanging="1800"/>
      </w:pPr>
      <w:rPr>
        <w:rFonts w:hint="default"/>
      </w:rPr>
    </w:lvl>
    <w:lvl w:ilvl="7" w:tentative="0">
      <w:start w:val="1"/>
      <w:numFmt w:val="decimal"/>
      <w:lvlText w:val="%1.%2.%3.%4.%5.%6.%7.%8"/>
      <w:lvlJc w:val="left"/>
      <w:pPr>
        <w:ind w:left="7680" w:hanging="1800"/>
      </w:pPr>
      <w:rPr>
        <w:rFonts w:hint="default"/>
      </w:rPr>
    </w:lvl>
    <w:lvl w:ilvl="8" w:tentative="0">
      <w:start w:val="1"/>
      <w:numFmt w:val="decimal"/>
      <w:lvlText w:val="%1.%2.%3.%4.%5.%6.%7.%8.%9"/>
      <w:lvlJc w:val="left"/>
      <w:pPr>
        <w:ind w:left="8880" w:hanging="2160"/>
      </w:pPr>
      <w:rPr>
        <w:rFonts w:hint="default"/>
      </w:rPr>
    </w:lvl>
  </w:abstractNum>
  <w:num w:numId="1">
    <w:abstractNumId w:val="3"/>
  </w:num>
  <w:num w:numId="2">
    <w:abstractNumId w:val="13"/>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11"/>
  </w:num>
  <w:num w:numId="8">
    <w:abstractNumId w:val="16"/>
  </w:num>
  <w:num w:numId="9">
    <w:abstractNumId w:val="0"/>
  </w:num>
  <w:num w:numId="10">
    <w:abstractNumId w:val="4"/>
  </w:num>
  <w:num w:numId="11">
    <w:abstractNumId w:val="15"/>
  </w:num>
  <w:num w:numId="12">
    <w:abstractNumId w:val="5"/>
  </w:num>
  <w:num w:numId="13">
    <w:abstractNumId w:val="12"/>
  </w:num>
  <w:num w:numId="14">
    <w:abstractNumId w:val="7"/>
  </w:num>
  <w:num w:numId="15">
    <w:abstractNumId w:val="10"/>
  </w:num>
  <w:num w:numId="16">
    <w:abstractNumId w:val="9"/>
  </w:num>
  <w:num w:numId="17">
    <w:abstractNumId w:val="6"/>
  </w:num>
  <w:num w:numId="18">
    <w:abstractNumId w:val="1"/>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Dk5Y2ZlZmFmYjhmMjE3OGUwOGU2MWZhM2JlNjIifQ=="/>
  </w:docVars>
  <w:rsids>
    <w:rsidRoot w:val="000E05E7"/>
    <w:rsid w:val="00005994"/>
    <w:rsid w:val="00005B16"/>
    <w:rsid w:val="00007EE2"/>
    <w:rsid w:val="0001514B"/>
    <w:rsid w:val="00015E7D"/>
    <w:rsid w:val="00020F83"/>
    <w:rsid w:val="000309B4"/>
    <w:rsid w:val="00034DA6"/>
    <w:rsid w:val="000362AE"/>
    <w:rsid w:val="00036C5A"/>
    <w:rsid w:val="00036EEE"/>
    <w:rsid w:val="00037070"/>
    <w:rsid w:val="0004187C"/>
    <w:rsid w:val="00045886"/>
    <w:rsid w:val="00045EF6"/>
    <w:rsid w:val="000537BA"/>
    <w:rsid w:val="00057310"/>
    <w:rsid w:val="00066010"/>
    <w:rsid w:val="00074ED1"/>
    <w:rsid w:val="00080CF0"/>
    <w:rsid w:val="00081049"/>
    <w:rsid w:val="00082C45"/>
    <w:rsid w:val="00083E7E"/>
    <w:rsid w:val="000923F2"/>
    <w:rsid w:val="0009363B"/>
    <w:rsid w:val="000A4B16"/>
    <w:rsid w:val="000A4B2F"/>
    <w:rsid w:val="000B31C8"/>
    <w:rsid w:val="000B7CAC"/>
    <w:rsid w:val="000C5AB5"/>
    <w:rsid w:val="000C7DB8"/>
    <w:rsid w:val="000D2B26"/>
    <w:rsid w:val="000D39EC"/>
    <w:rsid w:val="000D60AA"/>
    <w:rsid w:val="000E05E7"/>
    <w:rsid w:val="000E39F2"/>
    <w:rsid w:val="000E3CC6"/>
    <w:rsid w:val="000E434F"/>
    <w:rsid w:val="000E7217"/>
    <w:rsid w:val="000E72EA"/>
    <w:rsid w:val="000F05EA"/>
    <w:rsid w:val="000F6127"/>
    <w:rsid w:val="000F6B86"/>
    <w:rsid w:val="00116634"/>
    <w:rsid w:val="00117FA1"/>
    <w:rsid w:val="00130090"/>
    <w:rsid w:val="00133BB8"/>
    <w:rsid w:val="00137F31"/>
    <w:rsid w:val="0014097B"/>
    <w:rsid w:val="00146D06"/>
    <w:rsid w:val="00152363"/>
    <w:rsid w:val="00152402"/>
    <w:rsid w:val="00170CB9"/>
    <w:rsid w:val="00173E1A"/>
    <w:rsid w:val="00181EDB"/>
    <w:rsid w:val="00181F4E"/>
    <w:rsid w:val="00183E29"/>
    <w:rsid w:val="001868E3"/>
    <w:rsid w:val="00190BCF"/>
    <w:rsid w:val="001955E7"/>
    <w:rsid w:val="001966F7"/>
    <w:rsid w:val="001A1F1D"/>
    <w:rsid w:val="001A75E6"/>
    <w:rsid w:val="001B0E87"/>
    <w:rsid w:val="001B2950"/>
    <w:rsid w:val="001B7D27"/>
    <w:rsid w:val="001C0F3A"/>
    <w:rsid w:val="001C48AF"/>
    <w:rsid w:val="001D29FC"/>
    <w:rsid w:val="001D45B6"/>
    <w:rsid w:val="001D7E4F"/>
    <w:rsid w:val="001E01DC"/>
    <w:rsid w:val="001E0570"/>
    <w:rsid w:val="001E2964"/>
    <w:rsid w:val="001E4E5E"/>
    <w:rsid w:val="001E5663"/>
    <w:rsid w:val="001E59D5"/>
    <w:rsid w:val="001E6032"/>
    <w:rsid w:val="001E6B4C"/>
    <w:rsid w:val="001E6F20"/>
    <w:rsid w:val="001F3047"/>
    <w:rsid w:val="00202BCD"/>
    <w:rsid w:val="00211390"/>
    <w:rsid w:val="00213715"/>
    <w:rsid w:val="00230264"/>
    <w:rsid w:val="00232687"/>
    <w:rsid w:val="00234975"/>
    <w:rsid w:val="0024515E"/>
    <w:rsid w:val="00246792"/>
    <w:rsid w:val="00251B5D"/>
    <w:rsid w:val="002525B3"/>
    <w:rsid w:val="002531F3"/>
    <w:rsid w:val="00253D0B"/>
    <w:rsid w:val="00255D62"/>
    <w:rsid w:val="00256DD8"/>
    <w:rsid w:val="00260348"/>
    <w:rsid w:val="00262654"/>
    <w:rsid w:val="00264857"/>
    <w:rsid w:val="002672ED"/>
    <w:rsid w:val="0027523D"/>
    <w:rsid w:val="0027728E"/>
    <w:rsid w:val="00282C23"/>
    <w:rsid w:val="0028440C"/>
    <w:rsid w:val="00284FE6"/>
    <w:rsid w:val="00285A10"/>
    <w:rsid w:val="00285DA2"/>
    <w:rsid w:val="00286123"/>
    <w:rsid w:val="0029281D"/>
    <w:rsid w:val="00294DD7"/>
    <w:rsid w:val="002968C1"/>
    <w:rsid w:val="002B7ABC"/>
    <w:rsid w:val="002C1C0C"/>
    <w:rsid w:val="002D2837"/>
    <w:rsid w:val="002E4266"/>
    <w:rsid w:val="002E4C7C"/>
    <w:rsid w:val="002E537C"/>
    <w:rsid w:val="002E5FB6"/>
    <w:rsid w:val="002F7B09"/>
    <w:rsid w:val="00300ED9"/>
    <w:rsid w:val="00305BEE"/>
    <w:rsid w:val="00306589"/>
    <w:rsid w:val="003067C4"/>
    <w:rsid w:val="00313AC2"/>
    <w:rsid w:val="0031684E"/>
    <w:rsid w:val="00322FDD"/>
    <w:rsid w:val="00325EE2"/>
    <w:rsid w:val="003323D0"/>
    <w:rsid w:val="0034057F"/>
    <w:rsid w:val="0034527E"/>
    <w:rsid w:val="003462D6"/>
    <w:rsid w:val="00346F1F"/>
    <w:rsid w:val="00351A56"/>
    <w:rsid w:val="00351E51"/>
    <w:rsid w:val="0035297B"/>
    <w:rsid w:val="003651D2"/>
    <w:rsid w:val="00365D10"/>
    <w:rsid w:val="00367BA5"/>
    <w:rsid w:val="003755DF"/>
    <w:rsid w:val="00375B6B"/>
    <w:rsid w:val="0037768E"/>
    <w:rsid w:val="00377E81"/>
    <w:rsid w:val="0038707B"/>
    <w:rsid w:val="003953BA"/>
    <w:rsid w:val="00395FE2"/>
    <w:rsid w:val="003A4B18"/>
    <w:rsid w:val="003B17B3"/>
    <w:rsid w:val="003B6CBE"/>
    <w:rsid w:val="003C27D6"/>
    <w:rsid w:val="003C33F2"/>
    <w:rsid w:val="003C397C"/>
    <w:rsid w:val="003D4DBD"/>
    <w:rsid w:val="003D504D"/>
    <w:rsid w:val="003D7074"/>
    <w:rsid w:val="003D7B35"/>
    <w:rsid w:val="003E0582"/>
    <w:rsid w:val="004016B0"/>
    <w:rsid w:val="004022DD"/>
    <w:rsid w:val="00405E3F"/>
    <w:rsid w:val="004109F1"/>
    <w:rsid w:val="0041121F"/>
    <w:rsid w:val="00411F06"/>
    <w:rsid w:val="004123B7"/>
    <w:rsid w:val="004176C6"/>
    <w:rsid w:val="00417877"/>
    <w:rsid w:val="00423925"/>
    <w:rsid w:val="0043446C"/>
    <w:rsid w:val="00442981"/>
    <w:rsid w:val="00447798"/>
    <w:rsid w:val="00451691"/>
    <w:rsid w:val="0045721B"/>
    <w:rsid w:val="00462BDA"/>
    <w:rsid w:val="00470295"/>
    <w:rsid w:val="004732F6"/>
    <w:rsid w:val="004776D1"/>
    <w:rsid w:val="0047774F"/>
    <w:rsid w:val="004800B3"/>
    <w:rsid w:val="004810C2"/>
    <w:rsid w:val="00481C4B"/>
    <w:rsid w:val="004873D3"/>
    <w:rsid w:val="004922BC"/>
    <w:rsid w:val="00493A92"/>
    <w:rsid w:val="00496269"/>
    <w:rsid w:val="004A202F"/>
    <w:rsid w:val="004A30D5"/>
    <w:rsid w:val="004A30D9"/>
    <w:rsid w:val="004A5188"/>
    <w:rsid w:val="004B31A2"/>
    <w:rsid w:val="004B4A63"/>
    <w:rsid w:val="004B4EFE"/>
    <w:rsid w:val="004C00C5"/>
    <w:rsid w:val="004C0F36"/>
    <w:rsid w:val="004C2AF6"/>
    <w:rsid w:val="004C4374"/>
    <w:rsid w:val="004D200F"/>
    <w:rsid w:val="004E0965"/>
    <w:rsid w:val="004E29A2"/>
    <w:rsid w:val="004E52E1"/>
    <w:rsid w:val="004E5AD7"/>
    <w:rsid w:val="004F2D72"/>
    <w:rsid w:val="00501B1C"/>
    <w:rsid w:val="00503FC4"/>
    <w:rsid w:val="005040D0"/>
    <w:rsid w:val="00505EEE"/>
    <w:rsid w:val="00507C61"/>
    <w:rsid w:val="0051410F"/>
    <w:rsid w:val="00515602"/>
    <w:rsid w:val="00517734"/>
    <w:rsid w:val="00517D5B"/>
    <w:rsid w:val="00522737"/>
    <w:rsid w:val="00523C20"/>
    <w:rsid w:val="00526740"/>
    <w:rsid w:val="00530711"/>
    <w:rsid w:val="00540EED"/>
    <w:rsid w:val="00546A8A"/>
    <w:rsid w:val="00550C76"/>
    <w:rsid w:val="00550E81"/>
    <w:rsid w:val="00553F74"/>
    <w:rsid w:val="00570286"/>
    <w:rsid w:val="00571D15"/>
    <w:rsid w:val="0057460D"/>
    <w:rsid w:val="0058238D"/>
    <w:rsid w:val="00583805"/>
    <w:rsid w:val="00583978"/>
    <w:rsid w:val="00583F50"/>
    <w:rsid w:val="00593B8D"/>
    <w:rsid w:val="00595286"/>
    <w:rsid w:val="00595E9D"/>
    <w:rsid w:val="005A3E0D"/>
    <w:rsid w:val="005A631D"/>
    <w:rsid w:val="005B06DE"/>
    <w:rsid w:val="005B084F"/>
    <w:rsid w:val="005B0FDE"/>
    <w:rsid w:val="005B4271"/>
    <w:rsid w:val="005B7AA3"/>
    <w:rsid w:val="005C11E5"/>
    <w:rsid w:val="005C4214"/>
    <w:rsid w:val="005C473C"/>
    <w:rsid w:val="005D471A"/>
    <w:rsid w:val="005D5A27"/>
    <w:rsid w:val="005D7C96"/>
    <w:rsid w:val="005E165C"/>
    <w:rsid w:val="005E3A81"/>
    <w:rsid w:val="005E4BAA"/>
    <w:rsid w:val="005F12B2"/>
    <w:rsid w:val="005F331B"/>
    <w:rsid w:val="00606007"/>
    <w:rsid w:val="0060632C"/>
    <w:rsid w:val="0061083E"/>
    <w:rsid w:val="00615331"/>
    <w:rsid w:val="00615B3C"/>
    <w:rsid w:val="00620433"/>
    <w:rsid w:val="006216A7"/>
    <w:rsid w:val="00622C8F"/>
    <w:rsid w:val="0062357F"/>
    <w:rsid w:val="00631156"/>
    <w:rsid w:val="00640CB6"/>
    <w:rsid w:val="006464E0"/>
    <w:rsid w:val="0065122B"/>
    <w:rsid w:val="0065508A"/>
    <w:rsid w:val="00661065"/>
    <w:rsid w:val="00665439"/>
    <w:rsid w:val="00673C95"/>
    <w:rsid w:val="00673D1A"/>
    <w:rsid w:val="006803B2"/>
    <w:rsid w:val="0068227E"/>
    <w:rsid w:val="006842A5"/>
    <w:rsid w:val="00684C06"/>
    <w:rsid w:val="006A0EB9"/>
    <w:rsid w:val="006A1A47"/>
    <w:rsid w:val="006A1A9F"/>
    <w:rsid w:val="006B6F3A"/>
    <w:rsid w:val="006B7019"/>
    <w:rsid w:val="006C157B"/>
    <w:rsid w:val="006C36C5"/>
    <w:rsid w:val="006C4D83"/>
    <w:rsid w:val="006D2B53"/>
    <w:rsid w:val="006D7B3F"/>
    <w:rsid w:val="006D7DE1"/>
    <w:rsid w:val="006E058A"/>
    <w:rsid w:val="006E42AC"/>
    <w:rsid w:val="006E5F44"/>
    <w:rsid w:val="006F5E35"/>
    <w:rsid w:val="00701435"/>
    <w:rsid w:val="007068DD"/>
    <w:rsid w:val="00712A35"/>
    <w:rsid w:val="00715321"/>
    <w:rsid w:val="00720187"/>
    <w:rsid w:val="00724C78"/>
    <w:rsid w:val="007318D1"/>
    <w:rsid w:val="00731DBD"/>
    <w:rsid w:val="00734951"/>
    <w:rsid w:val="00737F5A"/>
    <w:rsid w:val="00740C38"/>
    <w:rsid w:val="0074329C"/>
    <w:rsid w:val="0074500B"/>
    <w:rsid w:val="00745E6C"/>
    <w:rsid w:val="00755810"/>
    <w:rsid w:val="00756CDE"/>
    <w:rsid w:val="007653E6"/>
    <w:rsid w:val="00766F41"/>
    <w:rsid w:val="0077347F"/>
    <w:rsid w:val="007834AC"/>
    <w:rsid w:val="007A3505"/>
    <w:rsid w:val="007A398B"/>
    <w:rsid w:val="007A72F4"/>
    <w:rsid w:val="007A73E7"/>
    <w:rsid w:val="007A7682"/>
    <w:rsid w:val="007B214F"/>
    <w:rsid w:val="007B3704"/>
    <w:rsid w:val="007C74C5"/>
    <w:rsid w:val="007D20B3"/>
    <w:rsid w:val="007D3499"/>
    <w:rsid w:val="007D56B6"/>
    <w:rsid w:val="007D72C3"/>
    <w:rsid w:val="007E1E8D"/>
    <w:rsid w:val="007E7720"/>
    <w:rsid w:val="007F0D39"/>
    <w:rsid w:val="007F3C46"/>
    <w:rsid w:val="007F4D82"/>
    <w:rsid w:val="007F6B8C"/>
    <w:rsid w:val="00801081"/>
    <w:rsid w:val="00807D78"/>
    <w:rsid w:val="008101D5"/>
    <w:rsid w:val="00817C69"/>
    <w:rsid w:val="0082088B"/>
    <w:rsid w:val="0082296B"/>
    <w:rsid w:val="008372A1"/>
    <w:rsid w:val="00851455"/>
    <w:rsid w:val="00853505"/>
    <w:rsid w:val="00856E48"/>
    <w:rsid w:val="00863E82"/>
    <w:rsid w:val="00864A0A"/>
    <w:rsid w:val="0086515D"/>
    <w:rsid w:val="00865A08"/>
    <w:rsid w:val="00866859"/>
    <w:rsid w:val="0086731F"/>
    <w:rsid w:val="008729BB"/>
    <w:rsid w:val="0087393B"/>
    <w:rsid w:val="00875FC6"/>
    <w:rsid w:val="00881802"/>
    <w:rsid w:val="00882E59"/>
    <w:rsid w:val="00885721"/>
    <w:rsid w:val="0088604B"/>
    <w:rsid w:val="00886150"/>
    <w:rsid w:val="00886777"/>
    <w:rsid w:val="00890D1D"/>
    <w:rsid w:val="0089747E"/>
    <w:rsid w:val="00897892"/>
    <w:rsid w:val="00897E63"/>
    <w:rsid w:val="008A50EB"/>
    <w:rsid w:val="008C22AE"/>
    <w:rsid w:val="008C2AF5"/>
    <w:rsid w:val="008C36DB"/>
    <w:rsid w:val="008C5388"/>
    <w:rsid w:val="008C5849"/>
    <w:rsid w:val="008C635D"/>
    <w:rsid w:val="008D2EFF"/>
    <w:rsid w:val="008D5C55"/>
    <w:rsid w:val="008E4402"/>
    <w:rsid w:val="008E59FF"/>
    <w:rsid w:val="008F42C4"/>
    <w:rsid w:val="008F6C40"/>
    <w:rsid w:val="009024A0"/>
    <w:rsid w:val="00903AE6"/>
    <w:rsid w:val="009076C2"/>
    <w:rsid w:val="00916112"/>
    <w:rsid w:val="009201C5"/>
    <w:rsid w:val="00924472"/>
    <w:rsid w:val="00924F0A"/>
    <w:rsid w:val="00931CC3"/>
    <w:rsid w:val="00932C50"/>
    <w:rsid w:val="00933BB2"/>
    <w:rsid w:val="00937C5B"/>
    <w:rsid w:val="009432AB"/>
    <w:rsid w:val="00954A48"/>
    <w:rsid w:val="00955CDF"/>
    <w:rsid w:val="009625CA"/>
    <w:rsid w:val="009700C9"/>
    <w:rsid w:val="00976FD1"/>
    <w:rsid w:val="00982592"/>
    <w:rsid w:val="009875D3"/>
    <w:rsid w:val="009914AE"/>
    <w:rsid w:val="00992AD0"/>
    <w:rsid w:val="00996605"/>
    <w:rsid w:val="00997181"/>
    <w:rsid w:val="009A06E6"/>
    <w:rsid w:val="009A0845"/>
    <w:rsid w:val="009A36B7"/>
    <w:rsid w:val="009A699F"/>
    <w:rsid w:val="009C00D4"/>
    <w:rsid w:val="009C624A"/>
    <w:rsid w:val="009C6D7D"/>
    <w:rsid w:val="009C7A8E"/>
    <w:rsid w:val="009D0673"/>
    <w:rsid w:val="009D79DC"/>
    <w:rsid w:val="009E0ADB"/>
    <w:rsid w:val="009E546D"/>
    <w:rsid w:val="009E57C8"/>
    <w:rsid w:val="009F0A5B"/>
    <w:rsid w:val="009F173A"/>
    <w:rsid w:val="009F37C1"/>
    <w:rsid w:val="009F662E"/>
    <w:rsid w:val="00A026BA"/>
    <w:rsid w:val="00A034FC"/>
    <w:rsid w:val="00A03569"/>
    <w:rsid w:val="00A04188"/>
    <w:rsid w:val="00A0713A"/>
    <w:rsid w:val="00A10EE6"/>
    <w:rsid w:val="00A1217C"/>
    <w:rsid w:val="00A125E7"/>
    <w:rsid w:val="00A12B96"/>
    <w:rsid w:val="00A135BA"/>
    <w:rsid w:val="00A148F9"/>
    <w:rsid w:val="00A210C1"/>
    <w:rsid w:val="00A22A9E"/>
    <w:rsid w:val="00A24C2D"/>
    <w:rsid w:val="00A25915"/>
    <w:rsid w:val="00A47F56"/>
    <w:rsid w:val="00A508EC"/>
    <w:rsid w:val="00A52620"/>
    <w:rsid w:val="00A6107B"/>
    <w:rsid w:val="00A644BF"/>
    <w:rsid w:val="00A71C91"/>
    <w:rsid w:val="00A753CE"/>
    <w:rsid w:val="00A7553A"/>
    <w:rsid w:val="00A865AB"/>
    <w:rsid w:val="00A87E63"/>
    <w:rsid w:val="00A909AC"/>
    <w:rsid w:val="00A9293F"/>
    <w:rsid w:val="00A93610"/>
    <w:rsid w:val="00AA017D"/>
    <w:rsid w:val="00AA2FBA"/>
    <w:rsid w:val="00AA58FF"/>
    <w:rsid w:val="00AB5D47"/>
    <w:rsid w:val="00AB674C"/>
    <w:rsid w:val="00AC0602"/>
    <w:rsid w:val="00AC108D"/>
    <w:rsid w:val="00AC2478"/>
    <w:rsid w:val="00AC2808"/>
    <w:rsid w:val="00AC60FD"/>
    <w:rsid w:val="00AC613C"/>
    <w:rsid w:val="00AD3F55"/>
    <w:rsid w:val="00AD5872"/>
    <w:rsid w:val="00AD5D45"/>
    <w:rsid w:val="00AD6412"/>
    <w:rsid w:val="00AD694F"/>
    <w:rsid w:val="00AE1A37"/>
    <w:rsid w:val="00AF79AA"/>
    <w:rsid w:val="00B01688"/>
    <w:rsid w:val="00B10D8A"/>
    <w:rsid w:val="00B11479"/>
    <w:rsid w:val="00B12BBF"/>
    <w:rsid w:val="00B157EC"/>
    <w:rsid w:val="00B37108"/>
    <w:rsid w:val="00B40027"/>
    <w:rsid w:val="00B4060B"/>
    <w:rsid w:val="00B53E18"/>
    <w:rsid w:val="00B57B1C"/>
    <w:rsid w:val="00B60ACB"/>
    <w:rsid w:val="00B60AE7"/>
    <w:rsid w:val="00B61AEB"/>
    <w:rsid w:val="00B62DB7"/>
    <w:rsid w:val="00B65C28"/>
    <w:rsid w:val="00B77D29"/>
    <w:rsid w:val="00B87973"/>
    <w:rsid w:val="00B909AE"/>
    <w:rsid w:val="00B93E1D"/>
    <w:rsid w:val="00BA037E"/>
    <w:rsid w:val="00BA4F5D"/>
    <w:rsid w:val="00BB5245"/>
    <w:rsid w:val="00BC0315"/>
    <w:rsid w:val="00BC3D75"/>
    <w:rsid w:val="00BC79DA"/>
    <w:rsid w:val="00BD6639"/>
    <w:rsid w:val="00BD691A"/>
    <w:rsid w:val="00BE08FD"/>
    <w:rsid w:val="00BE2531"/>
    <w:rsid w:val="00BE4074"/>
    <w:rsid w:val="00BE5F61"/>
    <w:rsid w:val="00BE637A"/>
    <w:rsid w:val="00BE7623"/>
    <w:rsid w:val="00BF0D4D"/>
    <w:rsid w:val="00BF0E28"/>
    <w:rsid w:val="00BF5D36"/>
    <w:rsid w:val="00C00175"/>
    <w:rsid w:val="00C052E7"/>
    <w:rsid w:val="00C05762"/>
    <w:rsid w:val="00C06304"/>
    <w:rsid w:val="00C14963"/>
    <w:rsid w:val="00C169A0"/>
    <w:rsid w:val="00C21DBC"/>
    <w:rsid w:val="00C22565"/>
    <w:rsid w:val="00C2343C"/>
    <w:rsid w:val="00C26559"/>
    <w:rsid w:val="00C279D7"/>
    <w:rsid w:val="00C324DC"/>
    <w:rsid w:val="00C33A7C"/>
    <w:rsid w:val="00C47013"/>
    <w:rsid w:val="00C51E18"/>
    <w:rsid w:val="00C52CCD"/>
    <w:rsid w:val="00C61296"/>
    <w:rsid w:val="00C7252C"/>
    <w:rsid w:val="00C8269A"/>
    <w:rsid w:val="00C83BF2"/>
    <w:rsid w:val="00C8558C"/>
    <w:rsid w:val="00C85929"/>
    <w:rsid w:val="00C86CBD"/>
    <w:rsid w:val="00C873B4"/>
    <w:rsid w:val="00C91DFE"/>
    <w:rsid w:val="00C97915"/>
    <w:rsid w:val="00CA0CB3"/>
    <w:rsid w:val="00CA1FBC"/>
    <w:rsid w:val="00CB3943"/>
    <w:rsid w:val="00CB4225"/>
    <w:rsid w:val="00CB662B"/>
    <w:rsid w:val="00CB7655"/>
    <w:rsid w:val="00CC793B"/>
    <w:rsid w:val="00CC7AF8"/>
    <w:rsid w:val="00CD35BF"/>
    <w:rsid w:val="00CD48BF"/>
    <w:rsid w:val="00CE6F61"/>
    <w:rsid w:val="00CE7293"/>
    <w:rsid w:val="00CF249B"/>
    <w:rsid w:val="00CF2A51"/>
    <w:rsid w:val="00CF3303"/>
    <w:rsid w:val="00D03DEB"/>
    <w:rsid w:val="00D04211"/>
    <w:rsid w:val="00D071B0"/>
    <w:rsid w:val="00D10216"/>
    <w:rsid w:val="00D10CBA"/>
    <w:rsid w:val="00D11C52"/>
    <w:rsid w:val="00D1276B"/>
    <w:rsid w:val="00D15590"/>
    <w:rsid w:val="00D1646F"/>
    <w:rsid w:val="00D2313D"/>
    <w:rsid w:val="00D269D9"/>
    <w:rsid w:val="00D27C71"/>
    <w:rsid w:val="00D33BF2"/>
    <w:rsid w:val="00D36967"/>
    <w:rsid w:val="00D42429"/>
    <w:rsid w:val="00D54BD1"/>
    <w:rsid w:val="00D614A4"/>
    <w:rsid w:val="00D61D2C"/>
    <w:rsid w:val="00D64C6B"/>
    <w:rsid w:val="00D65206"/>
    <w:rsid w:val="00D65229"/>
    <w:rsid w:val="00D65389"/>
    <w:rsid w:val="00D65FEB"/>
    <w:rsid w:val="00D67150"/>
    <w:rsid w:val="00D73C95"/>
    <w:rsid w:val="00D76DBE"/>
    <w:rsid w:val="00D77F0F"/>
    <w:rsid w:val="00D82CBB"/>
    <w:rsid w:val="00D90A0F"/>
    <w:rsid w:val="00D94FAF"/>
    <w:rsid w:val="00DA67F3"/>
    <w:rsid w:val="00DA6FF5"/>
    <w:rsid w:val="00DB20D5"/>
    <w:rsid w:val="00DB736F"/>
    <w:rsid w:val="00DE377B"/>
    <w:rsid w:val="00DF04D9"/>
    <w:rsid w:val="00DF1C20"/>
    <w:rsid w:val="00DF2B71"/>
    <w:rsid w:val="00E000D5"/>
    <w:rsid w:val="00E001C2"/>
    <w:rsid w:val="00E05AE9"/>
    <w:rsid w:val="00E11E40"/>
    <w:rsid w:val="00E17995"/>
    <w:rsid w:val="00E2284C"/>
    <w:rsid w:val="00E2739E"/>
    <w:rsid w:val="00E3084F"/>
    <w:rsid w:val="00E3198C"/>
    <w:rsid w:val="00E341C9"/>
    <w:rsid w:val="00E34692"/>
    <w:rsid w:val="00E367C6"/>
    <w:rsid w:val="00E44FD6"/>
    <w:rsid w:val="00E50AA2"/>
    <w:rsid w:val="00E527FC"/>
    <w:rsid w:val="00E61E45"/>
    <w:rsid w:val="00E64580"/>
    <w:rsid w:val="00E67A9E"/>
    <w:rsid w:val="00E75579"/>
    <w:rsid w:val="00E90D02"/>
    <w:rsid w:val="00E96DA3"/>
    <w:rsid w:val="00E96FA3"/>
    <w:rsid w:val="00EA3A11"/>
    <w:rsid w:val="00EC4392"/>
    <w:rsid w:val="00EC5C17"/>
    <w:rsid w:val="00EC7F3D"/>
    <w:rsid w:val="00ED0B00"/>
    <w:rsid w:val="00ED38C6"/>
    <w:rsid w:val="00ED3934"/>
    <w:rsid w:val="00ED529B"/>
    <w:rsid w:val="00EE2F70"/>
    <w:rsid w:val="00EE3B07"/>
    <w:rsid w:val="00EE49CC"/>
    <w:rsid w:val="00EF4C04"/>
    <w:rsid w:val="00F06E4D"/>
    <w:rsid w:val="00F07876"/>
    <w:rsid w:val="00F10672"/>
    <w:rsid w:val="00F13930"/>
    <w:rsid w:val="00F13E39"/>
    <w:rsid w:val="00F23385"/>
    <w:rsid w:val="00F2795C"/>
    <w:rsid w:val="00F32B13"/>
    <w:rsid w:val="00F40169"/>
    <w:rsid w:val="00F426F2"/>
    <w:rsid w:val="00F52C08"/>
    <w:rsid w:val="00F607A9"/>
    <w:rsid w:val="00F61E3F"/>
    <w:rsid w:val="00F62E6C"/>
    <w:rsid w:val="00F64065"/>
    <w:rsid w:val="00F664D7"/>
    <w:rsid w:val="00F7032A"/>
    <w:rsid w:val="00F7431D"/>
    <w:rsid w:val="00F76BC0"/>
    <w:rsid w:val="00F934BC"/>
    <w:rsid w:val="00FA0780"/>
    <w:rsid w:val="00FA2327"/>
    <w:rsid w:val="00FA250A"/>
    <w:rsid w:val="00FA36E4"/>
    <w:rsid w:val="00FA472D"/>
    <w:rsid w:val="00FA64D6"/>
    <w:rsid w:val="00FB1B37"/>
    <w:rsid w:val="00FB3229"/>
    <w:rsid w:val="00FB4A0F"/>
    <w:rsid w:val="00FB6821"/>
    <w:rsid w:val="00FB6FC3"/>
    <w:rsid w:val="00FB7888"/>
    <w:rsid w:val="00FB7D7A"/>
    <w:rsid w:val="00FB7F1D"/>
    <w:rsid w:val="00FC6F93"/>
    <w:rsid w:val="00FE06B9"/>
    <w:rsid w:val="00FE3060"/>
    <w:rsid w:val="00FF4F8C"/>
    <w:rsid w:val="00FF5B9E"/>
    <w:rsid w:val="00FF5CE1"/>
    <w:rsid w:val="00FF6766"/>
    <w:rsid w:val="05916719"/>
    <w:rsid w:val="085A502A"/>
    <w:rsid w:val="0C8C24F7"/>
    <w:rsid w:val="18407347"/>
    <w:rsid w:val="20D44015"/>
    <w:rsid w:val="2E67296D"/>
    <w:rsid w:val="2F897553"/>
    <w:rsid w:val="386A5E14"/>
    <w:rsid w:val="38AE1270"/>
    <w:rsid w:val="480E5EDB"/>
    <w:rsid w:val="51823496"/>
    <w:rsid w:val="56762FAD"/>
    <w:rsid w:val="574C39A3"/>
    <w:rsid w:val="57672F12"/>
    <w:rsid w:val="5E157965"/>
    <w:rsid w:val="643967D9"/>
    <w:rsid w:val="7F221F4A"/>
    <w:rsid w:val="7F6D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33"/>
    <w:autoRedefine/>
    <w:qFormat/>
    <w:uiPriority w:val="0"/>
    <w:pPr>
      <w:keepNext/>
      <w:keepLines/>
      <w:spacing w:before="260" w:after="260" w:line="416" w:lineRule="auto"/>
      <w:outlineLvl w:val="1"/>
    </w:pPr>
    <w:rPr>
      <w:rFonts w:ascii="Cambria" w:hAnsi="Cambria" w:eastAsia="宋体" w:cs="Times New Roman"/>
      <w:b/>
      <w:bCs/>
      <w:sz w:val="32"/>
      <w:szCs w:val="32"/>
      <w:lang w:val="zh-CN" w:eastAsia="zh-CN"/>
    </w:rPr>
  </w:style>
  <w:style w:type="paragraph" w:styleId="4">
    <w:name w:val="heading 3"/>
    <w:basedOn w:val="1"/>
    <w:next w:val="1"/>
    <w:link w:val="40"/>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567"/>
    </w:pPr>
    <w:rPr>
      <w:rFonts w:ascii="Times New Roman" w:hAnsi="Times New Roman" w:eastAsia="宋体" w:cs="Times New Roman"/>
      <w:sz w:val="28"/>
      <w:szCs w:val="20"/>
    </w:rPr>
  </w:style>
  <w:style w:type="paragraph" w:styleId="6">
    <w:name w:val="Document Map"/>
    <w:basedOn w:val="1"/>
    <w:link w:val="71"/>
    <w:autoRedefine/>
    <w:unhideWhenUsed/>
    <w:qFormat/>
    <w:uiPriority w:val="0"/>
    <w:rPr>
      <w:rFonts w:ascii="Times New Roman" w:hAnsi="Times New Roman" w:eastAsia="宋体" w:cs="Times New Roman"/>
      <w:kern w:val="0"/>
      <w:sz w:val="20"/>
      <w:szCs w:val="20"/>
      <w:lang w:val="zh-CN" w:eastAsia="zh-CN"/>
    </w:rPr>
  </w:style>
  <w:style w:type="paragraph" w:styleId="7">
    <w:name w:val="annotation text"/>
    <w:basedOn w:val="1"/>
    <w:link w:val="37"/>
    <w:autoRedefine/>
    <w:unhideWhenUsed/>
    <w:qFormat/>
    <w:uiPriority w:val="99"/>
    <w:pPr>
      <w:jc w:val="left"/>
    </w:pPr>
  </w:style>
  <w:style w:type="paragraph" w:styleId="8">
    <w:name w:val="Body Text"/>
    <w:basedOn w:val="1"/>
    <w:link w:val="49"/>
    <w:autoRedefine/>
    <w:qFormat/>
    <w:uiPriority w:val="0"/>
    <w:rPr>
      <w:rFonts w:ascii="Times New Roman" w:hAnsi="Times New Roman" w:eastAsia="宋体" w:cs="Times New Roman"/>
      <w:sz w:val="28"/>
      <w:szCs w:val="20"/>
    </w:rPr>
  </w:style>
  <w:style w:type="paragraph" w:styleId="9">
    <w:name w:val="Body Text Indent"/>
    <w:basedOn w:val="1"/>
    <w:link w:val="47"/>
    <w:autoRedefine/>
    <w:unhideWhenUsed/>
    <w:qFormat/>
    <w:uiPriority w:val="0"/>
    <w:pPr>
      <w:widowControl/>
      <w:spacing w:after="120"/>
      <w:ind w:left="420" w:leftChars="200"/>
      <w:jc w:val="left"/>
    </w:pPr>
    <w:rPr>
      <w:rFonts w:ascii="Times New Roman" w:hAnsi="Times New Roman"/>
      <w:sz w:val="24"/>
      <w:szCs w:val="24"/>
    </w:rPr>
  </w:style>
  <w:style w:type="paragraph" w:styleId="10">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1">
    <w:name w:val="Plain Text"/>
    <w:basedOn w:val="1"/>
    <w:link w:val="76"/>
    <w:autoRedefine/>
    <w:qFormat/>
    <w:uiPriority w:val="0"/>
    <w:rPr>
      <w:rFonts w:ascii="宋体" w:hAnsi="Courier New" w:eastAsia="宋体"/>
    </w:rPr>
  </w:style>
  <w:style w:type="paragraph" w:styleId="12">
    <w:name w:val="Date"/>
    <w:basedOn w:val="1"/>
    <w:next w:val="1"/>
    <w:link w:val="43"/>
    <w:autoRedefine/>
    <w:unhideWhenUsed/>
    <w:qFormat/>
    <w:uiPriority w:val="0"/>
    <w:pPr>
      <w:widowControl/>
      <w:ind w:left="100" w:leftChars="2500"/>
      <w:jc w:val="left"/>
    </w:pPr>
    <w:rPr>
      <w:rFonts w:ascii="Times New Roman" w:hAnsi="Times New Roman"/>
      <w:sz w:val="24"/>
      <w:szCs w:val="24"/>
    </w:rPr>
  </w:style>
  <w:style w:type="paragraph" w:styleId="13">
    <w:name w:val="Body Text Indent 2"/>
    <w:basedOn w:val="1"/>
    <w:link w:val="48"/>
    <w:autoRedefine/>
    <w:qFormat/>
    <w:uiPriority w:val="0"/>
    <w:pPr>
      <w:widowControl/>
      <w:spacing w:line="420" w:lineRule="exact"/>
      <w:ind w:firstLine="482" w:firstLineChars="201"/>
      <w:jc w:val="left"/>
    </w:pPr>
    <w:rPr>
      <w:rFonts w:ascii="宋体" w:hAnsi="Times New Roman" w:eastAsia="宋体" w:cs="Times New Roman"/>
      <w:kern w:val="0"/>
      <w:sz w:val="24"/>
      <w:szCs w:val="24"/>
    </w:rPr>
  </w:style>
  <w:style w:type="paragraph" w:styleId="14">
    <w:name w:val="Balloon Text"/>
    <w:basedOn w:val="1"/>
    <w:link w:val="35"/>
    <w:autoRedefine/>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tabs>
        <w:tab w:val="right" w:leader="dot" w:pos="8302"/>
      </w:tabs>
      <w:spacing w:after="156" w:afterLines="50" w:line="360" w:lineRule="auto"/>
      <w:jc w:val="left"/>
      <w:outlineLvl w:val="0"/>
    </w:pPr>
    <w:rPr>
      <w:rFonts w:ascii="华文中宋" w:hAnsi="华文中宋" w:eastAsia="华文中宋" w:cs="Times New Roman"/>
      <w:b/>
      <w:kern w:val="0"/>
      <w:szCs w:val="21"/>
    </w:rPr>
  </w:style>
  <w:style w:type="paragraph" w:styleId="18">
    <w:name w:val="Body Text Indent 3"/>
    <w:basedOn w:val="1"/>
    <w:link w:val="45"/>
    <w:autoRedefine/>
    <w:qFormat/>
    <w:uiPriority w:val="0"/>
    <w:pPr>
      <w:spacing w:after="120"/>
      <w:ind w:left="420" w:leftChars="200"/>
    </w:pPr>
    <w:rPr>
      <w:rFonts w:ascii="Times New Roman" w:hAnsi="Times New Roman"/>
      <w:sz w:val="16"/>
      <w:szCs w:val="16"/>
    </w:rPr>
  </w:style>
  <w:style w:type="paragraph" w:styleId="19">
    <w:name w:val="toc 2"/>
    <w:basedOn w:val="1"/>
    <w:next w:val="1"/>
    <w:autoRedefine/>
    <w:unhideWhenUsed/>
    <w:qFormat/>
    <w:uiPriority w:val="39"/>
    <w:pPr>
      <w:widowControl/>
      <w:tabs>
        <w:tab w:val="right" w:leader="dot" w:pos="9629"/>
      </w:tabs>
      <w:spacing w:after="100" w:line="276" w:lineRule="auto"/>
      <w:ind w:left="220" w:firstLine="205" w:firstLineChars="93"/>
      <w:jc w:val="left"/>
    </w:pPr>
    <w:rPr>
      <w:rFonts w:ascii="Calibri" w:hAnsi="Calibri" w:eastAsia="宋体" w:cs="Times New Roman"/>
      <w:kern w:val="0"/>
      <w:sz w:val="22"/>
    </w:rPr>
  </w:style>
  <w:style w:type="paragraph" w:styleId="20">
    <w:name w:val="Body Text 2"/>
    <w:basedOn w:val="1"/>
    <w:link w:val="75"/>
    <w:autoRedefine/>
    <w:unhideWhenUsed/>
    <w:qFormat/>
    <w:uiPriority w:val="0"/>
    <w:pPr>
      <w:spacing w:after="120" w:line="480" w:lineRule="auto"/>
    </w:pPr>
  </w:style>
  <w:style w:type="paragraph" w:styleId="21">
    <w:name w:val="Normal (Web)"/>
    <w:basedOn w:val="1"/>
    <w:autoRedefine/>
    <w:unhideWhenUsed/>
    <w:qFormat/>
    <w:uiPriority w:val="99"/>
    <w:pPr>
      <w:widowControl/>
      <w:jc w:val="left"/>
    </w:pPr>
    <w:rPr>
      <w:rFonts w:ascii="宋体" w:hAnsi="宋体" w:eastAsia="宋体" w:cs="宋体"/>
      <w:kern w:val="0"/>
      <w:sz w:val="24"/>
      <w:szCs w:val="24"/>
    </w:rPr>
  </w:style>
  <w:style w:type="paragraph" w:styleId="22">
    <w:name w:val="annotation subject"/>
    <w:basedOn w:val="7"/>
    <w:next w:val="7"/>
    <w:link w:val="38"/>
    <w:autoRedefine/>
    <w:unhideWhenUsed/>
    <w:qFormat/>
    <w:uiPriority w:val="99"/>
    <w:rPr>
      <w:b/>
      <w:bCs/>
    </w:rPr>
  </w:style>
  <w:style w:type="paragraph" w:styleId="23">
    <w:name w:val="Body Text First Indent 2"/>
    <w:basedOn w:val="9"/>
    <w:link w:val="80"/>
    <w:autoRedefine/>
    <w:unhideWhenUsed/>
    <w:qFormat/>
    <w:uiPriority w:val="99"/>
    <w:pPr>
      <w:widowControl w:val="0"/>
      <w:ind w:firstLine="420" w:firstLineChars="200"/>
      <w:jc w:val="both"/>
    </w:pPr>
    <w:rPr>
      <w:rFonts w:eastAsia="宋体" w:cs="Times New Roman"/>
      <w:sz w:val="21"/>
    </w:rPr>
  </w:style>
  <w:style w:type="table" w:styleId="25">
    <w:name w:val="Table Grid"/>
    <w:basedOn w:val="24"/>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Hyperlink"/>
    <w:autoRedefine/>
    <w:unhideWhenUsed/>
    <w:qFormat/>
    <w:uiPriority w:val="99"/>
    <w:rPr>
      <w:color w:val="0000FF"/>
      <w:u w:val="single"/>
    </w:rPr>
  </w:style>
  <w:style w:type="character" w:styleId="29">
    <w:name w:val="annotation reference"/>
    <w:basedOn w:val="26"/>
    <w:autoRedefine/>
    <w:unhideWhenUsed/>
    <w:qFormat/>
    <w:uiPriority w:val="99"/>
    <w:rPr>
      <w:sz w:val="21"/>
      <w:szCs w:val="21"/>
    </w:rPr>
  </w:style>
  <w:style w:type="character" w:customStyle="1" w:styleId="30">
    <w:name w:val="页眉 字符"/>
    <w:basedOn w:val="26"/>
    <w:link w:val="16"/>
    <w:autoRedefine/>
    <w:qFormat/>
    <w:uiPriority w:val="99"/>
    <w:rPr>
      <w:sz w:val="18"/>
      <w:szCs w:val="18"/>
    </w:rPr>
  </w:style>
  <w:style w:type="character" w:customStyle="1" w:styleId="31">
    <w:name w:val="页脚 字符"/>
    <w:basedOn w:val="26"/>
    <w:link w:val="15"/>
    <w:autoRedefine/>
    <w:qFormat/>
    <w:uiPriority w:val="99"/>
    <w:rPr>
      <w:sz w:val="18"/>
      <w:szCs w:val="18"/>
    </w:rPr>
  </w:style>
  <w:style w:type="character" w:customStyle="1" w:styleId="32">
    <w:name w:val="标题 1 字符"/>
    <w:basedOn w:val="26"/>
    <w:link w:val="2"/>
    <w:autoRedefine/>
    <w:qFormat/>
    <w:uiPriority w:val="0"/>
    <w:rPr>
      <w:rFonts w:ascii="Times New Roman" w:hAnsi="Times New Roman" w:eastAsia="宋体" w:cs="Times New Roman"/>
      <w:b/>
      <w:bCs/>
      <w:kern w:val="44"/>
      <w:sz w:val="44"/>
      <w:szCs w:val="44"/>
      <w:lang w:val="zh-CN" w:eastAsia="zh-CN"/>
    </w:rPr>
  </w:style>
  <w:style w:type="character" w:customStyle="1" w:styleId="33">
    <w:name w:val="标题 2 字符"/>
    <w:basedOn w:val="26"/>
    <w:link w:val="3"/>
    <w:autoRedefine/>
    <w:qFormat/>
    <w:uiPriority w:val="9"/>
    <w:rPr>
      <w:rFonts w:ascii="Cambria" w:hAnsi="Cambria" w:eastAsia="宋体" w:cs="Times New Roman"/>
      <w:b/>
      <w:bCs/>
      <w:sz w:val="32"/>
      <w:szCs w:val="32"/>
      <w:lang w:val="zh-CN" w:eastAsia="zh-CN"/>
    </w:rPr>
  </w:style>
  <w:style w:type="paragraph" w:styleId="34">
    <w:name w:val="List Paragraph"/>
    <w:basedOn w:val="1"/>
    <w:link w:val="81"/>
    <w:autoRedefine/>
    <w:qFormat/>
    <w:uiPriority w:val="34"/>
    <w:pPr>
      <w:ind w:firstLine="420" w:firstLineChars="200"/>
    </w:pPr>
    <w:rPr>
      <w:rFonts w:ascii="Times New Roman" w:hAnsi="Times New Roman" w:eastAsia="宋体" w:cs="Times New Roman"/>
      <w:szCs w:val="24"/>
    </w:rPr>
  </w:style>
  <w:style w:type="character" w:customStyle="1" w:styleId="35">
    <w:name w:val="批注框文本 字符"/>
    <w:basedOn w:val="26"/>
    <w:link w:val="14"/>
    <w:autoRedefine/>
    <w:qFormat/>
    <w:uiPriority w:val="99"/>
    <w:rPr>
      <w:sz w:val="18"/>
      <w:szCs w:val="18"/>
    </w:rPr>
  </w:style>
  <w:style w:type="character" w:customStyle="1" w:styleId="36">
    <w:name w:val="Intense Emphasis"/>
    <w:basedOn w:val="26"/>
    <w:autoRedefine/>
    <w:qFormat/>
    <w:uiPriority w:val="21"/>
    <w:rPr>
      <w:i/>
      <w:iCs/>
      <w:color w:val="5B9BD5" w:themeColor="accent1"/>
      <w14:textFill>
        <w14:solidFill>
          <w14:schemeClr w14:val="accent1"/>
        </w14:solidFill>
      </w14:textFill>
    </w:rPr>
  </w:style>
  <w:style w:type="character" w:customStyle="1" w:styleId="37">
    <w:name w:val="批注文字 字符"/>
    <w:basedOn w:val="26"/>
    <w:link w:val="7"/>
    <w:autoRedefine/>
    <w:qFormat/>
    <w:uiPriority w:val="99"/>
  </w:style>
  <w:style w:type="character" w:customStyle="1" w:styleId="38">
    <w:name w:val="批注主题 字符"/>
    <w:basedOn w:val="37"/>
    <w:link w:val="22"/>
    <w:autoRedefine/>
    <w:semiHidden/>
    <w:qFormat/>
    <w:uiPriority w:val="99"/>
    <w:rPr>
      <w:b/>
      <w:bCs/>
    </w:rPr>
  </w:style>
  <w:style w:type="paragraph" w:customStyle="1" w:styleId="39">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0">
    <w:name w:val="标题 3 字符"/>
    <w:basedOn w:val="26"/>
    <w:link w:val="4"/>
    <w:autoRedefine/>
    <w:qFormat/>
    <w:uiPriority w:val="9"/>
    <w:rPr>
      <w:b/>
      <w:bCs/>
      <w:sz w:val="32"/>
      <w:szCs w:val="32"/>
    </w:rPr>
  </w:style>
  <w:style w:type="paragraph" w:customStyle="1" w:styleId="41">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2">
    <w:name w:val="high-light-bg"/>
    <w:autoRedefine/>
    <w:qFormat/>
    <w:uiPriority w:val="0"/>
  </w:style>
  <w:style w:type="character" w:customStyle="1" w:styleId="43">
    <w:name w:val="日期 字符"/>
    <w:link w:val="12"/>
    <w:autoRedefine/>
    <w:qFormat/>
    <w:uiPriority w:val="99"/>
    <w:rPr>
      <w:rFonts w:ascii="Times New Roman" w:hAnsi="Times New Roman"/>
      <w:sz w:val="24"/>
      <w:szCs w:val="24"/>
    </w:rPr>
  </w:style>
  <w:style w:type="character" w:customStyle="1" w:styleId="44">
    <w:name w:val="left"/>
    <w:autoRedefine/>
    <w:qFormat/>
    <w:uiPriority w:val="0"/>
  </w:style>
  <w:style w:type="character" w:customStyle="1" w:styleId="45">
    <w:name w:val="正文文本缩进 3 字符"/>
    <w:link w:val="18"/>
    <w:autoRedefine/>
    <w:qFormat/>
    <w:uiPriority w:val="0"/>
    <w:rPr>
      <w:rFonts w:ascii="Times New Roman" w:hAnsi="Times New Roman"/>
      <w:sz w:val="16"/>
      <w:szCs w:val="16"/>
    </w:rPr>
  </w:style>
  <w:style w:type="character" w:customStyle="1" w:styleId="46">
    <w:name w:val="keyword"/>
    <w:autoRedefine/>
    <w:qFormat/>
    <w:uiPriority w:val="0"/>
  </w:style>
  <w:style w:type="character" w:customStyle="1" w:styleId="47">
    <w:name w:val="正文文本缩进 字符"/>
    <w:link w:val="9"/>
    <w:autoRedefine/>
    <w:qFormat/>
    <w:uiPriority w:val="0"/>
    <w:rPr>
      <w:rFonts w:ascii="Times New Roman" w:hAnsi="Times New Roman"/>
      <w:sz w:val="24"/>
      <w:szCs w:val="24"/>
    </w:rPr>
  </w:style>
  <w:style w:type="character" w:customStyle="1" w:styleId="48">
    <w:name w:val="正文文本缩进 2 字符"/>
    <w:link w:val="13"/>
    <w:autoRedefine/>
    <w:qFormat/>
    <w:uiPriority w:val="0"/>
    <w:rPr>
      <w:rFonts w:ascii="宋体" w:hAnsi="Times New Roman" w:eastAsia="宋体" w:cs="Times New Roman"/>
      <w:kern w:val="0"/>
      <w:sz w:val="24"/>
      <w:szCs w:val="24"/>
    </w:rPr>
  </w:style>
  <w:style w:type="character" w:customStyle="1" w:styleId="49">
    <w:name w:val="正文文本 字符"/>
    <w:link w:val="8"/>
    <w:autoRedefine/>
    <w:qFormat/>
    <w:uiPriority w:val="0"/>
    <w:rPr>
      <w:rFonts w:ascii="Times New Roman" w:hAnsi="Times New Roman" w:eastAsia="宋体" w:cs="Times New Roman"/>
      <w:sz w:val="28"/>
      <w:szCs w:val="20"/>
    </w:rPr>
  </w:style>
  <w:style w:type="character" w:customStyle="1" w:styleId="50">
    <w:name w:val="正文文本缩进 2 Char1"/>
    <w:basedOn w:val="26"/>
    <w:autoRedefine/>
    <w:semiHidden/>
    <w:qFormat/>
    <w:uiPriority w:val="99"/>
  </w:style>
  <w:style w:type="character" w:customStyle="1" w:styleId="51">
    <w:name w:val="日期 Char1"/>
    <w:basedOn w:val="26"/>
    <w:autoRedefine/>
    <w:semiHidden/>
    <w:qFormat/>
    <w:uiPriority w:val="99"/>
  </w:style>
  <w:style w:type="character" w:customStyle="1" w:styleId="52">
    <w:name w:val="正文文本缩进 Char1"/>
    <w:basedOn w:val="26"/>
    <w:autoRedefine/>
    <w:semiHidden/>
    <w:qFormat/>
    <w:uiPriority w:val="99"/>
  </w:style>
  <w:style w:type="character" w:customStyle="1" w:styleId="53">
    <w:name w:val="正文文本 Char1"/>
    <w:basedOn w:val="26"/>
    <w:autoRedefine/>
    <w:semiHidden/>
    <w:qFormat/>
    <w:uiPriority w:val="99"/>
  </w:style>
  <w:style w:type="character" w:customStyle="1" w:styleId="54">
    <w:name w:val="正文文本缩进 3 Char1"/>
    <w:basedOn w:val="26"/>
    <w:autoRedefine/>
    <w:semiHidden/>
    <w:qFormat/>
    <w:uiPriority w:val="99"/>
    <w:rPr>
      <w:sz w:val="16"/>
      <w:szCs w:val="16"/>
    </w:rPr>
  </w:style>
  <w:style w:type="paragraph" w:customStyle="1" w:styleId="55">
    <w:name w:val="Char Char Char Char Char 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56">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styleId="57">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日期1"/>
    <w:basedOn w:val="1"/>
    <w:next w:val="1"/>
    <w:autoRedefine/>
    <w:qFormat/>
    <w:uiPriority w:val="0"/>
    <w:pPr>
      <w:adjustRightInd w:val="0"/>
    </w:pPr>
    <w:rPr>
      <w:rFonts w:ascii="Times New Roman" w:hAnsi="Times New Roman" w:eastAsia="宋体" w:cs="Times New Roman"/>
      <w:sz w:val="28"/>
      <w:szCs w:val="20"/>
    </w:rPr>
  </w:style>
  <w:style w:type="paragraph" w:customStyle="1" w:styleId="59">
    <w:name w:val="_Style 5"/>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Char Char Char Char"/>
    <w:basedOn w:val="1"/>
    <w:autoRedefine/>
    <w:qFormat/>
    <w:uiPriority w:val="0"/>
    <w:pPr>
      <w:spacing w:after="160" w:line="240" w:lineRule="exact"/>
    </w:pPr>
    <w:rPr>
      <w:rFonts w:ascii="Verdana" w:hAnsi="Verdana" w:eastAsia="宋体" w:cs="Verdana"/>
      <w:sz w:val="20"/>
      <w:szCs w:val="20"/>
      <w:lang w:eastAsia="en-US"/>
    </w:rPr>
  </w:style>
  <w:style w:type="character" w:customStyle="1" w:styleId="61">
    <w:name w:val="edited2"/>
    <w:autoRedefine/>
    <w:qFormat/>
    <w:uiPriority w:val="0"/>
  </w:style>
  <w:style w:type="character" w:customStyle="1" w:styleId="62">
    <w:name w:val="ordinary-span-edit2"/>
    <w:autoRedefine/>
    <w:qFormat/>
    <w:uiPriority w:val="0"/>
  </w:style>
  <w:style w:type="character" w:customStyle="1" w:styleId="63">
    <w:name w:val="high-light-bg4"/>
    <w:autoRedefine/>
    <w:qFormat/>
    <w:uiPriority w:val="0"/>
  </w:style>
  <w:style w:type="character" w:customStyle="1" w:styleId="64">
    <w:name w:val="fontstyle01"/>
    <w:autoRedefine/>
    <w:qFormat/>
    <w:uiPriority w:val="0"/>
    <w:rPr>
      <w:rFonts w:hint="default" w:ascii="MicrosoftYaHei-Bold" w:hAnsi="MicrosoftYaHei-Bold"/>
      <w:b/>
      <w:bCs/>
      <w:color w:val="000000"/>
      <w:sz w:val="32"/>
      <w:szCs w:val="32"/>
    </w:rPr>
  </w:style>
  <w:style w:type="paragraph" w:customStyle="1" w:styleId="65">
    <w:name w:val="src"/>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1正文"/>
    <w:basedOn w:val="1"/>
    <w:link w:val="68"/>
    <w:autoRedefine/>
    <w:qFormat/>
    <w:uiPriority w:val="0"/>
    <w:pPr>
      <w:widowControl/>
      <w:spacing w:line="360" w:lineRule="auto"/>
      <w:jc w:val="left"/>
    </w:pPr>
    <w:rPr>
      <w:rFonts w:ascii="宋体" w:hAnsi="宋体" w:eastAsia="华文中宋" w:cs="宋体"/>
      <w:kern w:val="0"/>
      <w:sz w:val="24"/>
      <w:szCs w:val="28"/>
    </w:rPr>
  </w:style>
  <w:style w:type="paragraph" w:customStyle="1" w:styleId="67">
    <w:name w:val="1标书标题4"/>
    <w:basedOn w:val="66"/>
    <w:autoRedefine/>
    <w:qFormat/>
    <w:uiPriority w:val="0"/>
    <w:pPr>
      <w:spacing w:before="120" w:beforeLines="50" w:after="120" w:afterLines="50"/>
      <w:outlineLvl w:val="3"/>
    </w:pPr>
    <w:rPr>
      <w:rFonts w:eastAsia="宋体"/>
      <w:b/>
      <w:color w:val="000000"/>
      <w:szCs w:val="24"/>
    </w:rPr>
  </w:style>
  <w:style w:type="character" w:customStyle="1" w:styleId="68">
    <w:name w:val="1正文 Char"/>
    <w:link w:val="66"/>
    <w:autoRedefine/>
    <w:qFormat/>
    <w:uiPriority w:val="0"/>
    <w:rPr>
      <w:rFonts w:ascii="宋体" w:hAnsi="宋体" w:eastAsia="华文中宋" w:cs="宋体"/>
      <w:kern w:val="0"/>
      <w:sz w:val="24"/>
      <w:szCs w:val="28"/>
    </w:rPr>
  </w:style>
  <w:style w:type="paragraph" w:customStyle="1" w:styleId="69">
    <w:name w:val="1标书表格"/>
    <w:next w:val="1"/>
    <w:autoRedefine/>
    <w:qFormat/>
    <w:uiPriority w:val="0"/>
    <w:rPr>
      <w:rFonts w:ascii="Times New Roman" w:hAnsi="Times New Roman" w:eastAsia="宋体" w:cs="Times New Roman"/>
      <w:kern w:val="2"/>
      <w:sz w:val="24"/>
      <w:szCs w:val="24"/>
      <w:lang w:val="en-US" w:eastAsia="zh-CN" w:bidi="ar-SA"/>
    </w:rPr>
  </w:style>
  <w:style w:type="table" w:customStyle="1" w:styleId="70">
    <w:name w:val="标书表格模板"/>
    <w:basedOn w:val="24"/>
    <w:autoRedefine/>
    <w:qFormat/>
    <w:uiPriority w:val="99"/>
    <w:pPr>
      <w:adjustRightInd w:val="0"/>
      <w:snapToGrid w:val="0"/>
    </w:pPr>
    <w:rPr>
      <w:rFonts w:ascii="Calibri" w:hAnsi="Calibri" w:eastAsia="宋体" w:cs="Times New Roman"/>
      <w:kern w:val="0"/>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shd w:val="clear" w:color="auto" w:fill="FFFFFF"/>
      <w:vAlign w:val="center"/>
    </w:tcPr>
    <w:tblStylePr w:type="firstRow">
      <w:pPr>
        <w:wordWrap/>
        <w:jc w:val="center"/>
      </w:pPr>
      <w:rPr>
        <w:b/>
        <w:i w:val="0"/>
        <w:sz w:val="24"/>
      </w:rPr>
      <w:tcPr>
        <w:tcBorders>
          <w:bottom w:val="double" w:color="auto" w:sz="4" w:space="0"/>
        </w:tcBorders>
        <w:shd w:val="clear" w:color="auto" w:fill="FBD4B4"/>
      </w:tcPr>
    </w:tblStylePr>
    <w:tblStylePr w:type="firstCol">
      <w:pPr>
        <w:wordWrap/>
        <w:jc w:val="center"/>
      </w:pPr>
      <w:tblPr>
        <w:jc w:val="center"/>
      </w:tblPr>
      <w:trPr>
        <w:jc w:val="center"/>
      </w:trPr>
    </w:tblStylePr>
    <w:tblStylePr w:type="band1Horz">
      <w:tcPr>
        <w:shd w:val="clear" w:color="auto" w:fill="FFFFFF"/>
      </w:tcPr>
    </w:tblStylePr>
    <w:tblStylePr w:type="band2Horz">
      <w:tcPr>
        <w:shd w:val="clear" w:color="auto" w:fill="FFFFFF"/>
      </w:tcPr>
    </w:tblStylePr>
  </w:style>
  <w:style w:type="character" w:customStyle="1" w:styleId="71">
    <w:name w:val="文档结构图 字符"/>
    <w:basedOn w:val="26"/>
    <w:link w:val="6"/>
    <w:autoRedefine/>
    <w:qFormat/>
    <w:uiPriority w:val="0"/>
    <w:rPr>
      <w:rFonts w:ascii="Times New Roman" w:hAnsi="Times New Roman" w:eastAsia="宋体" w:cs="Times New Roman"/>
      <w:kern w:val="0"/>
      <w:sz w:val="20"/>
      <w:szCs w:val="20"/>
      <w:lang w:val="zh-CN" w:eastAsia="zh-CN"/>
    </w:rPr>
  </w:style>
  <w:style w:type="paragraph" w:customStyle="1" w:styleId="72">
    <w:name w:val="正文_1"/>
    <w:basedOn w:val="1"/>
    <w:link w:val="73"/>
    <w:autoRedefine/>
    <w:qFormat/>
    <w:uiPriority w:val="0"/>
    <w:pPr>
      <w:spacing w:line="360" w:lineRule="auto"/>
      <w:ind w:left="420" w:firstLine="420" w:firstLineChars="200"/>
    </w:pPr>
    <w:rPr>
      <w:rFonts w:ascii="宋体" w:hAnsi="宋体" w:eastAsia="宋体" w:cs="Times New Roman"/>
      <w:szCs w:val="21"/>
    </w:rPr>
  </w:style>
  <w:style w:type="character" w:customStyle="1" w:styleId="73">
    <w:name w:val="正文_1 Char"/>
    <w:link w:val="72"/>
    <w:autoRedefine/>
    <w:qFormat/>
    <w:uiPriority w:val="0"/>
    <w:rPr>
      <w:rFonts w:ascii="宋体" w:hAnsi="宋体" w:eastAsia="宋体" w:cs="Times New Roman"/>
      <w:szCs w:val="21"/>
    </w:rPr>
  </w:style>
  <w:style w:type="character" w:customStyle="1" w:styleId="74">
    <w:name w:val="批注文字 Char"/>
    <w:autoRedefine/>
    <w:qFormat/>
    <w:uiPriority w:val="0"/>
    <w:rPr>
      <w:sz w:val="22"/>
      <w:szCs w:val="22"/>
      <w:lang w:eastAsia="en-US" w:bidi="en-US"/>
    </w:rPr>
  </w:style>
  <w:style w:type="character" w:customStyle="1" w:styleId="75">
    <w:name w:val="正文文本 2 字符"/>
    <w:basedOn w:val="26"/>
    <w:link w:val="20"/>
    <w:autoRedefine/>
    <w:semiHidden/>
    <w:qFormat/>
    <w:uiPriority w:val="99"/>
  </w:style>
  <w:style w:type="character" w:customStyle="1" w:styleId="76">
    <w:name w:val="纯文本 字符1"/>
    <w:link w:val="11"/>
    <w:autoRedefine/>
    <w:qFormat/>
    <w:uiPriority w:val="0"/>
    <w:rPr>
      <w:rFonts w:ascii="宋体" w:hAnsi="Courier New" w:eastAsia="宋体"/>
    </w:rPr>
  </w:style>
  <w:style w:type="character" w:customStyle="1" w:styleId="77">
    <w:name w:val="纯文本 字符"/>
    <w:basedOn w:val="26"/>
    <w:autoRedefine/>
    <w:semiHidden/>
    <w:qFormat/>
    <w:uiPriority w:val="99"/>
    <w:rPr>
      <w:rFonts w:hAnsi="Courier New" w:cs="Courier New" w:asciiTheme="minorEastAsia"/>
    </w:rPr>
  </w:style>
  <w:style w:type="character" w:customStyle="1" w:styleId="78">
    <w:name w:val="unnamed11"/>
    <w:autoRedefine/>
    <w:qFormat/>
    <w:uiPriority w:val="0"/>
    <w:rPr>
      <w:sz w:val="24"/>
      <w:szCs w:val="24"/>
    </w:rPr>
  </w:style>
  <w:style w:type="paragraph" w:customStyle="1" w:styleId="79">
    <w:name w:val="文档正文"/>
    <w:basedOn w:val="1"/>
    <w:autoRedefine/>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character" w:customStyle="1" w:styleId="80">
    <w:name w:val="正文文本首行缩进 2 字符"/>
    <w:basedOn w:val="47"/>
    <w:link w:val="23"/>
    <w:autoRedefine/>
    <w:qFormat/>
    <w:uiPriority w:val="99"/>
    <w:rPr>
      <w:rFonts w:ascii="Times New Roman" w:hAnsi="Times New Roman" w:eastAsia="宋体" w:cs="Times New Roman"/>
      <w:sz w:val="24"/>
      <w:szCs w:val="24"/>
    </w:rPr>
  </w:style>
  <w:style w:type="character" w:customStyle="1" w:styleId="81">
    <w:name w:val="列表段落 字符"/>
    <w:link w:val="34"/>
    <w:autoRedefine/>
    <w:qFormat/>
    <w:uiPriority w:val="34"/>
    <w:rPr>
      <w:rFonts w:ascii="Times New Roman" w:hAnsi="Times New Roman" w:eastAsia="宋体" w:cs="Times New Roman"/>
      <w:szCs w:val="24"/>
    </w:rPr>
  </w:style>
  <w:style w:type="paragraph" w:customStyle="1" w:styleId="82">
    <w:name w:val="列出段落1"/>
    <w:basedOn w:val="1"/>
    <w:autoRedefine/>
    <w:qFormat/>
    <w:uiPriority w:val="34"/>
    <w:pPr>
      <w:ind w:firstLine="420" w:firstLineChars="200"/>
    </w:pPr>
    <w:rPr>
      <w:rFonts w:ascii="Calibri" w:hAnsi="Calibri" w:eastAsia="宋体" w:cs="Times New Roman"/>
    </w:rPr>
  </w:style>
  <w:style w:type="table" w:customStyle="1" w:styleId="83">
    <w:name w:val="网格型1"/>
    <w:basedOn w:val="24"/>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F0C9-D5CF-4F63-A18B-982610367CC0}">
  <ds:schemaRefs/>
</ds:datastoreItem>
</file>

<file path=docProps/app.xml><?xml version="1.0" encoding="utf-8"?>
<Properties xmlns="http://schemas.openxmlformats.org/officeDocument/2006/extended-properties" xmlns:vt="http://schemas.openxmlformats.org/officeDocument/2006/docPropsVTypes">
  <Template>Normal</Template>
  <Company>BFDA</Company>
  <Pages>11</Pages>
  <Words>6035</Words>
  <Characters>6146</Characters>
  <Lines>7</Lines>
  <Paragraphs>2</Paragraphs>
  <TotalTime>7</TotalTime>
  <ScaleCrop>false</ScaleCrop>
  <LinksUpToDate>false</LinksUpToDate>
  <CharactersWithSpaces>6432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2023-09-11T06:59:00Z</dcterms:created>
  <dc:creator>王心楠</dc:creator>
  <cp:lastModifiedBy>灃</cp:lastModifiedBy>
  <cp:lastPrinted>2021-01-05T09:28:00Z</cp:lastPrinted>
  <dcterms:modified xsi:type="dcterms:W3CDTF">2024-06-25T07:03:10Z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B8E3A2A2CC614B73B67C86D6D34131EE_13</vt:lpwstr>
  </property>
</Properties>
</file>