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年度采购合同</w:t>
      </w:r>
      <w:r>
        <w:rPr>
          <w:rFonts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补充协议</w:t>
      </w:r>
    </w:p>
    <w:p>
      <w:pPr>
        <w:ind w:firstLine="738" w:firstLineChars="350"/>
        <w:jc w:val="left"/>
        <w:rPr>
          <w:rFonts w:hint="eastAsia" w:ascii="宋体" w:hAnsi="宋体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宋体" w:hAnsi="宋体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735" w:firstLineChars="350"/>
        <w:jc w:val="right"/>
        <w:rPr>
          <w:rFonts w:hint="eastAsia" w:ascii="宋体" w:hAnsi="宋体" w:eastAsia="宋体" w:cs="Times New Roman"/>
          <w:bCs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合同编号：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JHNC-202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432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480" w:lineRule="auto"/>
        <w:ind w:firstLine="5250" w:firstLineChars="2500"/>
        <w:jc w:val="center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签订日期：2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</w:p>
    <w:p>
      <w:pPr>
        <w:spacing w:line="480" w:lineRule="auto"/>
        <w:rPr>
          <w:rFonts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甲方：金琥新能源汽车（成都）有限公司</w:t>
      </w:r>
    </w:p>
    <w:p>
      <w:pPr>
        <w:spacing w:line="360" w:lineRule="auto"/>
        <w:rPr>
          <w:rFonts w:hint="default" w:ascii="宋体" w:hAnsi="宋体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湖南光华荣昌汽车部件有限公司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由于乙方向甲方供货的产品发生以下设计变更：座椅面料由TR5272-1变更为面料TR5273-4，主副驾座椅大护板更改为小护板，新增座椅状态。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甲乙双方本着互利互惠的原则，经友好协商，依据实际情况，在原合同（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JHNC-202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432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-1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《年度采购合同》)基础上补充约定以下内容：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补充约定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条款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0"/>
        </w:numPr>
        <w:spacing w:line="360" w:lineRule="auto"/>
        <w:ind w:firstLine="630" w:firstLineChars="300"/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对原合同附表：供货产品及价款规定进行补充约定，具体如下：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1、基于座椅面料由TR5272-1变更为面料TR5273-4，2024年5月1日至2024年12月31日，乙方供货产品按照以下价格结算：</w:t>
      </w:r>
    </w:p>
    <w:tbl>
      <w:tblPr>
        <w:tblStyle w:val="6"/>
        <w:tblW w:w="9570" w:type="dxa"/>
        <w:tblInd w:w="-1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810"/>
        <w:gridCol w:w="1940"/>
        <w:gridCol w:w="772"/>
        <w:gridCol w:w="1268"/>
        <w:gridCol w:w="1120"/>
        <w:gridCol w:w="710"/>
        <w:gridCol w:w="800"/>
        <w:gridCol w:w="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序号</w:t>
            </w:r>
          </w:p>
        </w:tc>
        <w:tc>
          <w:tcPr>
            <w:tcW w:w="1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零件编号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零件中文名称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单位</w:t>
            </w:r>
          </w:p>
        </w:tc>
        <w:tc>
          <w:tcPr>
            <w:tcW w:w="3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单价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摊销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6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到厂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（不含模摊）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到厂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（含模摊）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运输费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V48-6800030001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lang w:val="en-US" w:eastAsia="zh-CN" w:bidi="ar"/>
              </w:rPr>
              <w:t>左前座椅装配总成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lang w:val="en-US" w:eastAsia="zh-CN" w:bidi="ar"/>
              </w:rPr>
              <w:t>件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405.73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408.58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V48-6800020001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座椅前固定机构总成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lang w:val="en-US" w:eastAsia="zh-CN" w:bidi="ar"/>
              </w:rPr>
              <w:t>件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V48-6900040003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lang w:val="en-US" w:eastAsia="zh-CN" w:bidi="ar"/>
              </w:rPr>
              <w:t>右前座椅装配总成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lang w:val="en-US" w:eastAsia="zh-CN" w:bidi="ar"/>
              </w:rPr>
              <w:t>件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401.42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404.12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lang w:val="en-US" w:eastAsia="zh-CN" w:bidi="ar"/>
              </w:rPr>
              <w:t>V48-6900040004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lang w:val="en-US" w:eastAsia="zh-CN" w:bidi="ar"/>
              </w:rPr>
              <w:t>右前座椅装配总成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lang w:val="en-US" w:eastAsia="zh-CN" w:bidi="ar"/>
              </w:rPr>
              <w:t>件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433.75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433.75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lang w:val="en-US" w:eastAsia="zh-CN" w:bidi="ar"/>
              </w:rPr>
              <w:t>/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7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lang w:val="en-US" w:eastAsia="zh-CN" w:bidi="ar"/>
              </w:rPr>
            </w:pPr>
            <w:r>
              <w:rPr>
                <w:rStyle w:val="17"/>
                <w:rFonts w:hint="eastAsia"/>
                <w:lang w:val="en-US" w:eastAsia="zh-CN" w:bidi="ar"/>
              </w:rPr>
              <w:t>零件状态说明：座椅面料TR5272-1变更为面料TR5273-4。</w:t>
            </w:r>
          </w:p>
        </w:tc>
      </w:tr>
    </w:tbl>
    <w:p>
      <w:pPr>
        <w:spacing w:line="360" w:lineRule="auto"/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2、基于主副驾座椅大护板更改为小护板，新增座椅状态，2024年6月1日至2024年12月31日期间，新增以下产品供货价格：</w:t>
      </w:r>
    </w:p>
    <w:tbl>
      <w:tblPr>
        <w:tblStyle w:val="6"/>
        <w:tblW w:w="10100" w:type="dxa"/>
        <w:tblInd w:w="-1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810"/>
        <w:gridCol w:w="1910"/>
        <w:gridCol w:w="802"/>
        <w:gridCol w:w="1308"/>
        <w:gridCol w:w="1430"/>
        <w:gridCol w:w="690"/>
        <w:gridCol w:w="782"/>
        <w:gridCol w:w="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零件编号</w:t>
            </w: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零件中文名称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3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摊销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到厂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（不含模摊）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到厂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（含模摊）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运输费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V48-6800040001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左前座椅装配总成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400.13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402.98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V48-6900050001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右前座椅装配总成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394.22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396.92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V48-6900040004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右前座椅装配总成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426.55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426.55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bookmarkStart w:id="0" w:name="_GoBack"/>
            <w:bookmarkEnd w:id="0"/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V48-6800011001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左前座椅左侧大护板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13.00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售后件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V48-6800012001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左前座椅右侧大护板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13.00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售后件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V48-6900011001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右前座椅右侧大护板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13.00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售后件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V48-6800013001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左前座椅左侧小护板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7.00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售后件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V48-6800014001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左前座椅右侧小护板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7.00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售后件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V48-6900012001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右前座椅左侧小护板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7.00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售后件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零件状态说明：1、座椅面料TR5272-1变更为面料TR5273-4；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护板变更：1）左前座椅装配总成（V48-6800040001）左右两侧均为小护板；2）右前座椅装配总成（V48-6900050001、6900040004）左右两侧均为小护板，右侧小护板由甲方提供，乙方进行装配；3）左前座椅左侧大护板（V48-6800011001）、右前座椅右侧大护板（V48-6900011001）均为增加嵌件加强状态。</w:t>
            </w:r>
          </w:p>
        </w:tc>
      </w:tr>
    </w:tbl>
    <w:p>
      <w:pPr>
        <w:spacing w:line="360" w:lineRule="auto"/>
        <w:ind w:firstLine="210" w:firstLineChars="100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本协议生效后，即成为原合同不可分割的组成部分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与原合同具有同等的法律效力。</w:t>
      </w:r>
    </w:p>
    <w:p>
      <w:pPr>
        <w:spacing w:line="360" w:lineRule="auto"/>
        <w:ind w:firstLine="210" w:firstLineChars="100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三、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除本协议中明确修改的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之外，原合同的其余部分继续有效。</w:t>
      </w:r>
    </w:p>
    <w:p>
      <w:pPr>
        <w:spacing w:line="360" w:lineRule="auto"/>
        <w:ind w:firstLine="210" w:firstLineChars="100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四、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本协议与原合同相互冲突时，以本协议为准。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本协议未涉及之处，按照原合同执行。</w:t>
      </w:r>
    </w:p>
    <w:p>
      <w:pPr>
        <w:spacing w:line="360" w:lineRule="auto"/>
        <w:ind w:firstLine="210" w:firstLineChars="100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五、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本协议一式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肆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份，甲方执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叁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份，乙方执壹份，具有同等法律效力，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经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双方签字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/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后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生效。</w:t>
      </w:r>
    </w:p>
    <w:p>
      <w:pPr>
        <w:spacing w:line="360" w:lineRule="auto"/>
        <w:ind w:firstLine="422" w:firstLineChars="200"/>
        <w:rPr>
          <w:rFonts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甲方：金琥新能源汽车（成都）有限公司    (盖章)</w:t>
      </w:r>
    </w:p>
    <w:p>
      <w:pPr>
        <w:spacing w:line="360" w:lineRule="auto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法定代表人/授权代表：                   （签名）</w:t>
      </w:r>
    </w:p>
    <w:p>
      <w:pPr>
        <w:spacing w:line="360" w:lineRule="auto"/>
        <w:rPr>
          <w:rFonts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湖南光华荣昌汽车部件</w:t>
      </w:r>
      <w:r>
        <w:rPr>
          <w:rFonts w:hint="eastAsia"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有限公司       （盖章）</w:t>
      </w:r>
    </w:p>
    <w:p>
      <w:pPr>
        <w:spacing w:line="360" w:lineRule="auto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法定代表人/授权代表：   　　            （签名）</w:t>
      </w:r>
    </w:p>
    <w:sectPr>
      <w:headerReference r:id="rId3" w:type="default"/>
      <w:footerReference r:id="rId4" w:type="default"/>
      <w:pgSz w:w="11906" w:h="16838"/>
      <w:pgMar w:top="363" w:right="1800" w:bottom="363" w:left="180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  <w:bCs/>
      </w:rPr>
    </w:pPr>
    <w:r>
      <w:rPr>
        <w:b/>
        <w:bCs/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  <w:r>
      <w:rPr>
        <w:b/>
        <w:bCs/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</w:rPr>
      <w:t xml:space="preserve">金琥新能源汽车（成都）有限公司 </w:t>
    </w:r>
    <w:r>
      <w:t xml:space="preserve">                                      </w:t>
    </w:r>
    <w:r>
      <w:rPr>
        <w:rFonts w:hint="eastAsia"/>
        <w:lang w:eastAsia="zh-CN"/>
      </w:rPr>
      <w:t>《</w:t>
    </w:r>
    <w:r>
      <w:rPr>
        <w:rFonts w:hint="eastAsia"/>
        <w:lang w:val="en-US" w:eastAsia="zh-CN"/>
      </w:rPr>
      <w:t>年度采购合同</w:t>
    </w:r>
    <w:r>
      <w:rPr>
        <w:rFonts w:hint="eastAsia"/>
        <w:lang w:eastAsia="zh-CN"/>
      </w:rPr>
      <w:t>》</w:t>
    </w:r>
    <w:r>
      <w:rPr>
        <w:rFonts w:hint="eastAsia"/>
      </w:rPr>
      <w:t>补充协议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48E7DB"/>
    <w:multiLevelType w:val="singleLevel"/>
    <w:tmpl w:val="B748E7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jhhNjEzNWEwOGEzMGZjMzYyZGNkN2E0NjBhNWYifQ=="/>
  </w:docVars>
  <w:rsids>
    <w:rsidRoot w:val="00BD5F3D"/>
    <w:rsid w:val="00010B02"/>
    <w:rsid w:val="00016B87"/>
    <w:rsid w:val="00032BD6"/>
    <w:rsid w:val="00046AB7"/>
    <w:rsid w:val="00090CD9"/>
    <w:rsid w:val="00093ED1"/>
    <w:rsid w:val="000E0D33"/>
    <w:rsid w:val="00117C38"/>
    <w:rsid w:val="001351DA"/>
    <w:rsid w:val="001608C4"/>
    <w:rsid w:val="0017675C"/>
    <w:rsid w:val="001940C4"/>
    <w:rsid w:val="001A3563"/>
    <w:rsid w:val="001C10FC"/>
    <w:rsid w:val="001C2123"/>
    <w:rsid w:val="001D4D57"/>
    <w:rsid w:val="001E5B79"/>
    <w:rsid w:val="00252EF3"/>
    <w:rsid w:val="00260BE5"/>
    <w:rsid w:val="002676C6"/>
    <w:rsid w:val="002A1FAB"/>
    <w:rsid w:val="002A62AD"/>
    <w:rsid w:val="002E0681"/>
    <w:rsid w:val="002F015D"/>
    <w:rsid w:val="002F05C8"/>
    <w:rsid w:val="002F16EA"/>
    <w:rsid w:val="00324F07"/>
    <w:rsid w:val="0037559C"/>
    <w:rsid w:val="00377E4A"/>
    <w:rsid w:val="003A43DD"/>
    <w:rsid w:val="003A44C3"/>
    <w:rsid w:val="003C1E85"/>
    <w:rsid w:val="003C2B6D"/>
    <w:rsid w:val="00401E2C"/>
    <w:rsid w:val="00402599"/>
    <w:rsid w:val="004066BB"/>
    <w:rsid w:val="00412AB0"/>
    <w:rsid w:val="00435525"/>
    <w:rsid w:val="00486AC2"/>
    <w:rsid w:val="00512768"/>
    <w:rsid w:val="00567B1D"/>
    <w:rsid w:val="00573097"/>
    <w:rsid w:val="00575377"/>
    <w:rsid w:val="005B23D8"/>
    <w:rsid w:val="005C3428"/>
    <w:rsid w:val="005D5956"/>
    <w:rsid w:val="005E63D3"/>
    <w:rsid w:val="006011F6"/>
    <w:rsid w:val="00611D03"/>
    <w:rsid w:val="00660134"/>
    <w:rsid w:val="00685DC2"/>
    <w:rsid w:val="00691233"/>
    <w:rsid w:val="006A3A58"/>
    <w:rsid w:val="006B54D6"/>
    <w:rsid w:val="007012E9"/>
    <w:rsid w:val="00705709"/>
    <w:rsid w:val="00755C32"/>
    <w:rsid w:val="00757260"/>
    <w:rsid w:val="00767A04"/>
    <w:rsid w:val="00790CB0"/>
    <w:rsid w:val="007A706A"/>
    <w:rsid w:val="007F10B1"/>
    <w:rsid w:val="00873C83"/>
    <w:rsid w:val="008901B8"/>
    <w:rsid w:val="008B35C4"/>
    <w:rsid w:val="008C06B0"/>
    <w:rsid w:val="008D74DC"/>
    <w:rsid w:val="00932C52"/>
    <w:rsid w:val="00944084"/>
    <w:rsid w:val="009A32A3"/>
    <w:rsid w:val="009B6E06"/>
    <w:rsid w:val="009E4D47"/>
    <w:rsid w:val="00A05D81"/>
    <w:rsid w:val="00A66982"/>
    <w:rsid w:val="00B47A6C"/>
    <w:rsid w:val="00B6121E"/>
    <w:rsid w:val="00BA3BBC"/>
    <w:rsid w:val="00BB2451"/>
    <w:rsid w:val="00BB58F4"/>
    <w:rsid w:val="00BD5F3D"/>
    <w:rsid w:val="00BE5587"/>
    <w:rsid w:val="00BF4815"/>
    <w:rsid w:val="00C67695"/>
    <w:rsid w:val="00CB686B"/>
    <w:rsid w:val="00CB74CA"/>
    <w:rsid w:val="00CC6414"/>
    <w:rsid w:val="00CE0FC7"/>
    <w:rsid w:val="00D247BC"/>
    <w:rsid w:val="00D266D3"/>
    <w:rsid w:val="00D410E0"/>
    <w:rsid w:val="00D62EB9"/>
    <w:rsid w:val="00D75DB6"/>
    <w:rsid w:val="00DD091D"/>
    <w:rsid w:val="00DD1A1C"/>
    <w:rsid w:val="00DF22E8"/>
    <w:rsid w:val="00DF2D40"/>
    <w:rsid w:val="00E01752"/>
    <w:rsid w:val="00E4292E"/>
    <w:rsid w:val="00E9022F"/>
    <w:rsid w:val="00EA152A"/>
    <w:rsid w:val="00EB30DB"/>
    <w:rsid w:val="00EB5B2A"/>
    <w:rsid w:val="00EC13E7"/>
    <w:rsid w:val="00EC21FD"/>
    <w:rsid w:val="00F33E05"/>
    <w:rsid w:val="00F540BE"/>
    <w:rsid w:val="00F72631"/>
    <w:rsid w:val="00F7390E"/>
    <w:rsid w:val="00FF5B4D"/>
    <w:rsid w:val="00FF6917"/>
    <w:rsid w:val="058F2FB5"/>
    <w:rsid w:val="0CDB4E1A"/>
    <w:rsid w:val="25E87461"/>
    <w:rsid w:val="2CB154A3"/>
    <w:rsid w:val="34441718"/>
    <w:rsid w:val="3E603A85"/>
    <w:rsid w:val="47287A2B"/>
    <w:rsid w:val="5D1630CC"/>
    <w:rsid w:val="6CF30BCD"/>
    <w:rsid w:val="70353EAB"/>
    <w:rsid w:val="71B83D3C"/>
    <w:rsid w:val="7F14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4">
    <w:name w:val="_Style 32"/>
    <w:basedOn w:val="6"/>
    <w:qFormat/>
    <w:uiPriority w:val="0"/>
    <w:rPr>
      <w:rFonts w:ascii="Calibri" w:hAnsi="Calibri" w:cs="Calibri"/>
    </w:rPr>
    <w:tblPr>
      <w:tblCellMar>
        <w:left w:w="0" w:type="dxa"/>
        <w:right w:w="0" w:type="dxa"/>
      </w:tblCellMar>
    </w:tbl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font11"/>
    <w:basedOn w:val="7"/>
    <w:uiPriority w:val="0"/>
    <w:rPr>
      <w:rFonts w:hint="eastAsia"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17">
    <w:name w:val="font21"/>
    <w:basedOn w:val="7"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657</Characters>
  <Lines>5</Lines>
  <Paragraphs>1</Paragraphs>
  <TotalTime>1</TotalTime>
  <ScaleCrop>false</ScaleCrop>
  <LinksUpToDate>false</LinksUpToDate>
  <CharactersWithSpaces>771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2021-07-23T08:38:00Z</dcterms:created>
  <dc:creator>陈 炳任</dc:creator>
  <cp:lastModifiedBy>Wow...</cp:lastModifiedBy>
  <cp:lastPrinted>2021-07-23T08:52:00Z</cp:lastPrinted>
  <dcterms:modified xsi:type="dcterms:W3CDTF">2024-06-25T08:06:32Z</dcterms:modified>
  <dc:title>金琥新能源汽车（成都）有限公司</dc:title>
  <cp:revision>339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9AEF6105DE4244A28250DCB831C3213F</vt:lpwstr>
  </property>
</Properties>
</file>