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8"/>
        <w:spacing w:line="240" w:lineRule="auto"/>
        <w:ind w:firstLine="0" w:firstLineChars="0"/>
        <w:jc w:val="center"/>
        <w:rPr>
          <w:rFonts w:asciiTheme="minorEastAsia" w:hAnsiTheme="minorEastAsia" w:eastAsiaTheme="minorEastAsia"/>
          <w:b/>
          <w:color w:val="auto"/>
          <w:spacing w:val="20"/>
          <w:w w:val="66"/>
          <w:sz w:val="44"/>
          <w:szCs w:val="44"/>
        </w:rPr>
      </w:pPr>
      <w:bookmarkStart w:id="388" w:name="_GoBack"/>
      <w:bookmarkEnd w:id="388"/>
    </w:p>
    <w:p>
      <w:pPr>
        <w:pStyle w:val="38"/>
        <w:spacing w:line="240" w:lineRule="auto"/>
        <w:ind w:firstLine="0" w:firstLineChars="0"/>
        <w:rPr>
          <w:rFonts w:asciiTheme="minorEastAsia" w:hAnsiTheme="minorEastAsia" w:eastAsiaTheme="minorEastAsia"/>
          <w:b/>
          <w:color w:val="auto"/>
          <w:spacing w:val="20"/>
          <w:w w:val="66"/>
          <w:sz w:val="44"/>
          <w:szCs w:val="44"/>
        </w:rPr>
      </w:pPr>
    </w:p>
    <w:p>
      <w:pPr>
        <w:pStyle w:val="38"/>
        <w:spacing w:line="240" w:lineRule="auto"/>
        <w:ind w:firstLine="0" w:firstLineChars="0"/>
        <w:jc w:val="center"/>
        <w:rPr>
          <w:rFonts w:hint="eastAsia" w:asciiTheme="minorEastAsia" w:hAnsiTheme="minorEastAsia"/>
          <w:b/>
          <w:w w:val="75"/>
          <w:sz w:val="44"/>
          <w:lang w:eastAsia="zh-CN"/>
        </w:rPr>
      </w:pPr>
      <w:r>
        <w:rPr>
          <w:rFonts w:hint="eastAsia" w:asciiTheme="minorEastAsia" w:hAnsiTheme="minorEastAsia"/>
          <w:b/>
          <w:w w:val="75"/>
          <w:sz w:val="44"/>
          <w:lang w:eastAsia="zh-CN"/>
        </w:rPr>
        <w:t>湖南光华荣昌汽车部件有限公司</w:t>
      </w:r>
    </w:p>
    <w:p>
      <w:pPr>
        <w:pStyle w:val="38"/>
        <w:spacing w:line="240" w:lineRule="auto"/>
        <w:ind w:firstLine="0" w:firstLineChars="0"/>
        <w:jc w:val="center"/>
        <w:rPr>
          <w:rFonts w:asciiTheme="minorEastAsia" w:hAnsiTheme="minorEastAsia" w:eastAsiaTheme="minorEastAsia"/>
          <w:b/>
          <w:color w:val="auto"/>
          <w:sz w:val="48"/>
          <w:szCs w:val="48"/>
        </w:rPr>
      </w:pPr>
      <w:r>
        <w:rPr>
          <w:rFonts w:hint="eastAsia" w:asciiTheme="minorEastAsia" w:hAnsiTheme="minorEastAsia" w:eastAsiaTheme="minorEastAsia"/>
          <w:b/>
          <w:color w:val="auto"/>
          <w:sz w:val="48"/>
          <w:szCs w:val="48"/>
        </w:rPr>
        <w:t>自愿性清洁生产审核报告</w:t>
      </w:r>
    </w:p>
    <w:p>
      <w:pPr>
        <w:pStyle w:val="38"/>
        <w:spacing w:line="240" w:lineRule="auto"/>
        <w:ind w:firstLine="0" w:firstLineChars="0"/>
        <w:jc w:val="center"/>
        <w:rPr>
          <w:rFonts w:ascii="黑体" w:hAnsi="黑体" w:eastAsia="黑体"/>
          <w:color w:val="auto"/>
          <w:spacing w:val="20"/>
          <w:w w:val="66"/>
          <w:sz w:val="44"/>
          <w:szCs w:val="44"/>
        </w:rPr>
      </w:pPr>
      <w:r>
        <w:rPr>
          <w:rFonts w:hint="eastAsia" w:ascii="黑体" w:hAnsi="黑体" w:eastAsia="黑体"/>
          <w:color w:val="auto"/>
          <w:spacing w:val="20"/>
          <w:w w:val="66"/>
          <w:sz w:val="44"/>
          <w:szCs w:val="44"/>
        </w:rPr>
        <w:t>（</w:t>
      </w:r>
      <w:r>
        <w:rPr>
          <w:rFonts w:hint="eastAsia" w:ascii="黑体" w:hAnsi="黑体" w:eastAsia="黑体"/>
          <w:color w:val="auto"/>
          <w:spacing w:val="20"/>
          <w:w w:val="66"/>
          <w:sz w:val="44"/>
          <w:szCs w:val="44"/>
          <w:lang w:val="en-US" w:eastAsia="zh-CN"/>
        </w:rPr>
        <w:t>备案</w:t>
      </w:r>
      <w:r>
        <w:rPr>
          <w:rFonts w:hint="eastAsia" w:ascii="黑体" w:hAnsi="黑体" w:eastAsia="黑体"/>
          <w:color w:val="auto"/>
          <w:spacing w:val="20"/>
          <w:w w:val="66"/>
          <w:sz w:val="44"/>
          <w:szCs w:val="44"/>
        </w:rPr>
        <w:t>稿）</w:t>
      </w:r>
    </w:p>
    <w:p>
      <w:pPr>
        <w:pStyle w:val="38"/>
        <w:spacing w:line="240" w:lineRule="auto"/>
        <w:ind w:firstLine="0" w:firstLineChars="0"/>
        <w:jc w:val="center"/>
        <w:rPr>
          <w:rFonts w:ascii="黑体" w:hAnsi="黑体" w:eastAsia="黑体"/>
          <w:color w:val="auto"/>
          <w:spacing w:val="20"/>
          <w:w w:val="66"/>
          <w:sz w:val="44"/>
          <w:szCs w:val="44"/>
        </w:rPr>
      </w:pPr>
    </w:p>
    <w:p>
      <w:pPr>
        <w:jc w:val="left"/>
      </w:pPr>
      <w:r>
        <w:drawing>
          <wp:inline distT="0" distB="0" distL="114300" distR="114300">
            <wp:extent cx="5266690" cy="3928745"/>
            <wp:effectExtent l="0" t="0" r="10160" b="146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6690" cy="3928745"/>
                    </a:xfrm>
                    <a:prstGeom prst="rect">
                      <a:avLst/>
                    </a:prstGeom>
                    <a:noFill/>
                    <a:ln>
                      <a:noFill/>
                    </a:ln>
                  </pic:spPr>
                </pic:pic>
              </a:graphicData>
            </a:graphic>
          </wp:inline>
        </w:drawing>
      </w:r>
    </w:p>
    <w:p/>
    <w:p/>
    <w:p/>
    <w:p>
      <w:pPr>
        <w:spacing w:line="220" w:lineRule="atLeast"/>
        <w:rPr>
          <w:rFonts w:hint="eastAsia" w:ascii="黑体" w:hAnsi="黑体" w:eastAsia="黑体"/>
          <w:sz w:val="28"/>
          <w:szCs w:val="28"/>
          <w:u w:val="single"/>
          <w:lang w:eastAsia="zh-CN"/>
        </w:rPr>
      </w:pPr>
      <w:r>
        <w:rPr>
          <w:rFonts w:hint="eastAsia" w:ascii="黑体" w:hAnsi="黑体" w:eastAsia="黑体"/>
          <w:sz w:val="28"/>
          <w:szCs w:val="28"/>
        </w:rPr>
        <w:t>企业名称（公章）：</w:t>
      </w:r>
      <w:r>
        <w:rPr>
          <w:rFonts w:hint="eastAsia" w:ascii="黑体" w:hAnsi="黑体" w:eastAsia="黑体"/>
          <w:sz w:val="28"/>
          <w:szCs w:val="28"/>
          <w:u w:val="single"/>
          <w:lang w:eastAsia="zh-CN"/>
        </w:rPr>
        <w:t>湖南光华荣昌汽车部件有限公司</w:t>
      </w:r>
    </w:p>
    <w:p>
      <w:pPr>
        <w:spacing w:line="220" w:lineRule="atLeast"/>
        <w:rPr>
          <w:rFonts w:hint="eastAsia" w:ascii="黑体" w:hAnsi="黑体" w:eastAsia="黑体"/>
          <w:sz w:val="28"/>
          <w:szCs w:val="28"/>
          <w:u w:val="single"/>
          <w:lang w:eastAsia="zh-CN"/>
        </w:rPr>
      </w:pPr>
      <w:r>
        <w:rPr>
          <w:rFonts w:hint="eastAsia" w:ascii="黑体" w:hAnsi="黑体" w:eastAsia="黑体"/>
          <w:sz w:val="28"/>
          <w:szCs w:val="28"/>
        </w:rPr>
        <w:t>咨询服务机构名称（公章）：</w:t>
      </w:r>
      <w:r>
        <w:rPr>
          <w:rFonts w:hint="eastAsia" w:ascii="黑体" w:hAnsi="黑体" w:eastAsia="黑体"/>
          <w:sz w:val="28"/>
          <w:szCs w:val="28"/>
          <w:u w:val="single"/>
          <w:lang w:eastAsia="zh-CN"/>
        </w:rPr>
        <w:t>湖南阳光伟业科技有限公司</w:t>
      </w:r>
    </w:p>
    <w:p>
      <w:pPr>
        <w:widowControl/>
        <w:jc w:val="left"/>
        <w:rPr>
          <w:rFonts w:ascii="Times New Roman" w:hAnsi="黑体" w:eastAsia="黑体" w:cs="Times New Roman"/>
          <w:sz w:val="28"/>
          <w:szCs w:val="28"/>
        </w:rPr>
        <w:sectPr>
          <w:footerReference r:id="rId3" w:type="default"/>
          <w:pgSz w:w="11906" w:h="16838"/>
          <w:pgMar w:top="1440" w:right="1800" w:bottom="1440" w:left="1800" w:header="851" w:footer="992" w:gutter="0"/>
          <w:cols w:space="425" w:num="1"/>
          <w:docGrid w:type="lines" w:linePitch="312" w:charSpace="0"/>
        </w:sectPr>
      </w:pPr>
      <w:r>
        <w:rPr>
          <w:rFonts w:ascii="Times New Roman" w:hAnsi="黑体" w:eastAsia="黑体" w:cs="Times New Roman"/>
          <w:sz w:val="28"/>
          <w:szCs w:val="28"/>
        </w:rPr>
        <w:t>报告编制日期：</w:t>
      </w:r>
      <w:r>
        <w:rPr>
          <w:rFonts w:ascii="Times New Roman" w:hAnsi="Times New Roman" w:eastAsia="黑体" w:cs="Times New Roman"/>
          <w:sz w:val="28"/>
          <w:szCs w:val="28"/>
          <w:u w:val="single"/>
        </w:rPr>
        <w:t>20</w:t>
      </w:r>
      <w:r>
        <w:rPr>
          <w:rFonts w:hint="eastAsia" w:ascii="Times New Roman" w:hAnsi="Times New Roman" w:eastAsia="黑体" w:cs="Times New Roman"/>
          <w:sz w:val="28"/>
          <w:szCs w:val="28"/>
          <w:u w:val="single"/>
        </w:rPr>
        <w:t>2</w:t>
      </w:r>
      <w:r>
        <w:rPr>
          <w:rFonts w:hint="eastAsia" w:ascii="Times New Roman" w:hAnsi="Times New Roman" w:eastAsia="黑体" w:cs="Times New Roman"/>
          <w:sz w:val="28"/>
          <w:szCs w:val="28"/>
          <w:u w:val="single"/>
          <w:lang w:val="en-US" w:eastAsia="zh-CN"/>
        </w:rPr>
        <w:t>4</w:t>
      </w:r>
      <w:r>
        <w:rPr>
          <w:rFonts w:ascii="Times New Roman" w:hAnsi="黑体" w:eastAsia="黑体" w:cs="Times New Roman"/>
          <w:sz w:val="28"/>
          <w:szCs w:val="28"/>
        </w:rPr>
        <w:t>年</w:t>
      </w:r>
      <w:r>
        <w:rPr>
          <w:rFonts w:hint="eastAsia" w:ascii="Times New Roman" w:hAnsi="黑体" w:eastAsia="黑体" w:cs="Times New Roman"/>
          <w:sz w:val="28"/>
          <w:szCs w:val="28"/>
          <w:u w:val="single"/>
          <w:lang w:val="en-US" w:eastAsia="zh-CN"/>
        </w:rPr>
        <w:t>4</w:t>
      </w:r>
      <w:r>
        <w:rPr>
          <w:rFonts w:ascii="Times New Roman" w:hAnsi="黑体" w:eastAsia="黑体" w:cs="Times New Roman"/>
          <w:sz w:val="28"/>
          <w:szCs w:val="28"/>
        </w:rPr>
        <w:t>月</w:t>
      </w:r>
      <w:r>
        <w:rPr>
          <w:rFonts w:hint="eastAsia" w:ascii="Times New Roman" w:hAnsi="Times New Roman" w:eastAsia="黑体" w:cs="Times New Roman"/>
          <w:sz w:val="28"/>
          <w:szCs w:val="28"/>
          <w:u w:val="single"/>
          <w:lang w:val="en-US" w:eastAsia="zh-CN"/>
        </w:rPr>
        <w:t>15</w:t>
      </w:r>
      <w:r>
        <w:rPr>
          <w:rFonts w:ascii="Times New Roman" w:hAnsi="黑体" w:eastAsia="黑体" w:cs="Times New Roman"/>
          <w:sz w:val="28"/>
          <w:szCs w:val="28"/>
        </w:rPr>
        <w:t>日</w:t>
      </w:r>
    </w:p>
    <w:p>
      <w:pPr>
        <w:widowControl/>
        <w:adjustRightInd w:val="0"/>
        <w:snapToGrid w:val="0"/>
        <w:contextualSpacing/>
        <w:jc w:val="center"/>
        <w:rPr>
          <w:rFonts w:ascii="黑体" w:hAnsi="黑体" w:eastAsia="黑体"/>
          <w:bCs/>
          <w:sz w:val="36"/>
          <w:szCs w:val="36"/>
        </w:rPr>
      </w:pPr>
      <w:r>
        <w:rPr>
          <w:rFonts w:hint="eastAsia" w:ascii="黑体" w:hAnsi="黑体" w:eastAsia="黑体"/>
          <w:bCs/>
          <w:sz w:val="36"/>
          <w:szCs w:val="36"/>
          <w:u w:val="single"/>
          <w:lang w:eastAsia="zh-CN"/>
        </w:rPr>
        <w:t>湖南光华荣昌汽车部件有限公司</w:t>
      </w:r>
      <w:r>
        <w:rPr>
          <w:rFonts w:hint="eastAsia" w:ascii="黑体" w:hAnsi="黑体" w:eastAsia="黑体"/>
          <w:bCs/>
          <w:sz w:val="36"/>
          <w:szCs w:val="36"/>
        </w:rPr>
        <w:t xml:space="preserve"> 清洁生产审核报告</w:t>
      </w:r>
    </w:p>
    <w:p>
      <w:pPr>
        <w:widowControl/>
        <w:adjustRightInd w:val="0"/>
        <w:snapToGrid w:val="0"/>
        <w:spacing w:after="156" w:afterLines="50"/>
        <w:contextualSpacing/>
        <w:jc w:val="center"/>
        <w:rPr>
          <w:rFonts w:ascii="黑体" w:hAnsi="黑体" w:eastAsia="黑体"/>
          <w:bCs/>
          <w:sz w:val="36"/>
          <w:szCs w:val="36"/>
        </w:rPr>
      </w:pPr>
      <w:r>
        <w:rPr>
          <w:rFonts w:hint="eastAsia" w:ascii="黑体" w:hAnsi="黑体" w:eastAsia="黑体"/>
          <w:bCs/>
          <w:sz w:val="36"/>
          <w:szCs w:val="36"/>
        </w:rPr>
        <w:t>专家</w:t>
      </w:r>
      <w:r>
        <w:rPr>
          <w:rFonts w:hint="eastAsia" w:ascii="黑体" w:hAnsi="黑体" w:eastAsia="黑体"/>
          <w:bCs/>
          <w:sz w:val="36"/>
          <w:szCs w:val="36"/>
          <w:lang w:val="en-US" w:eastAsia="zh-CN"/>
        </w:rPr>
        <w:t>审核</w:t>
      </w:r>
      <w:r>
        <w:rPr>
          <w:rFonts w:hint="eastAsia" w:ascii="黑体" w:hAnsi="黑体" w:eastAsia="黑体"/>
          <w:bCs/>
          <w:sz w:val="36"/>
          <w:szCs w:val="36"/>
        </w:rPr>
        <w:t>意见修改说明</w:t>
      </w:r>
    </w:p>
    <w:p>
      <w:pPr>
        <w:widowControl/>
        <w:adjustRightInd w:val="0"/>
        <w:snapToGrid w:val="0"/>
        <w:contextualSpacing/>
        <w:rPr>
          <w:rFonts w:ascii="Times New Roman" w:hAnsi="Times New Roman" w:cs="Times New Roman"/>
          <w:b/>
          <w:sz w:val="36"/>
          <w:szCs w:val="36"/>
        </w:rPr>
      </w:pPr>
    </w:p>
    <w:tbl>
      <w:tblPr>
        <w:tblStyle w:val="27"/>
        <w:tblW w:w="54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3454"/>
        <w:gridCol w:w="4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ascii="Times New Roman" w:hAnsi="Times New Roman" w:cs="Times New Roman"/>
                <w:kern w:val="0"/>
                <w:sz w:val="24"/>
                <w:szCs w:val="24"/>
              </w:rPr>
            </w:pPr>
            <w:r>
              <w:rPr>
                <w:rFonts w:hint="eastAsia" w:ascii="Times New Roman" w:hAnsi="宋体" w:cs="Times New Roman"/>
                <w:b/>
                <w:kern w:val="0"/>
                <w:sz w:val="24"/>
                <w:szCs w:val="24"/>
              </w:rPr>
              <w:t>序号</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ascii="Times New Roman" w:hAnsi="Times New Roman" w:cs="Times New Roman"/>
                <w:b/>
                <w:kern w:val="0"/>
                <w:sz w:val="24"/>
                <w:szCs w:val="24"/>
              </w:rPr>
            </w:pPr>
            <w:r>
              <w:rPr>
                <w:rFonts w:hint="eastAsia" w:ascii="Times New Roman" w:hAnsi="宋体" w:cs="Times New Roman"/>
                <w:b/>
                <w:kern w:val="0"/>
                <w:sz w:val="24"/>
                <w:szCs w:val="24"/>
              </w:rPr>
              <w:t>专家意见</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ascii="Times New Roman" w:hAnsi="Times New Roman" w:cs="Times New Roman"/>
                <w:b/>
                <w:kern w:val="0"/>
                <w:sz w:val="24"/>
                <w:szCs w:val="24"/>
              </w:rPr>
            </w:pPr>
            <w:r>
              <w:rPr>
                <w:rFonts w:hint="eastAsia" w:ascii="Times New Roman" w:hAnsi="宋体" w:cs="Times New Roman"/>
                <w:b/>
                <w:kern w:val="0"/>
                <w:sz w:val="24"/>
                <w:szCs w:val="24"/>
              </w:rPr>
              <w:t>修改情况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ascii="Times New Roman" w:hAnsi="Times New Roman" w:cs="Times New Roman"/>
                <w:kern w:val="0"/>
                <w:sz w:val="24"/>
                <w:szCs w:val="24"/>
              </w:rPr>
            </w:pPr>
            <w:r>
              <w:rPr>
                <w:rFonts w:ascii="Times New Roman" w:hAnsi="Times New Roman" w:cs="Times New Roman"/>
                <w:kern w:val="0"/>
                <w:sz w:val="24"/>
                <w:szCs w:val="24"/>
              </w:rPr>
              <w:t>1</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ascii="仿宋_GB2312" w:hAnsi="仿宋_GB2312" w:eastAsia="仿宋_GB2312" w:cs="仿宋_GB2312"/>
                <w:kern w:val="0"/>
                <w:sz w:val="24"/>
                <w:szCs w:val="24"/>
              </w:rPr>
            </w:pPr>
            <w:r>
              <w:rPr>
                <w:rFonts w:hint="default" w:ascii="Times New Roman" w:hAnsi="Times New Roman" w:eastAsia="宋体" w:cs="Times New Roman"/>
                <w:b w:val="0"/>
                <w:bCs w:val="0"/>
                <w:color w:val="auto"/>
                <w:kern w:val="0"/>
                <w:sz w:val="24"/>
                <w:szCs w:val="24"/>
                <w:lang w:val="en-US" w:eastAsia="zh-CN" w:bidi="ar-SA"/>
              </w:rPr>
              <w:t>核实产能、产品产量、工艺流程及设备清单，完善环保手续说明</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kern w:val="0"/>
                <w:sz w:val="24"/>
                <w:szCs w:val="24"/>
                <w:lang w:val="en-US" w:eastAsia="zh-CN"/>
              </w:rPr>
            </w:pPr>
            <w:r>
              <w:rPr>
                <w:rFonts w:hint="eastAsia" w:ascii="仿宋_GB2312" w:hAnsi="仿宋_GB2312" w:eastAsia="仿宋_GB2312" w:cs="仿宋_GB2312"/>
                <w:sz w:val="30"/>
                <w:szCs w:val="30"/>
                <w:lang w:val="en-US" w:eastAsia="zh-CN"/>
              </w:rPr>
              <w:t>已更新完善（第一章节P3-P4页）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ascii="Times New Roman" w:hAnsi="Times New Roman" w:cs="Times New Roman"/>
                <w:kern w:val="0"/>
                <w:sz w:val="24"/>
                <w:szCs w:val="24"/>
              </w:rPr>
            </w:pPr>
            <w:r>
              <w:rPr>
                <w:rFonts w:ascii="Times New Roman" w:hAnsi="Times New Roman" w:cs="Times New Roman"/>
                <w:kern w:val="0"/>
                <w:sz w:val="24"/>
                <w:szCs w:val="24"/>
              </w:rPr>
              <w:t>2</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核实完善企业各环节水电气消耗、原辅材料种类及消耗、物料平衡，重点关注有毒有害</w:t>
            </w:r>
          </w:p>
          <w:p>
            <w:pPr>
              <w:widowControl/>
              <w:spacing w:before="62" w:beforeLines="20" w:after="62" w:afterLines="20"/>
              <w:jc w:val="center"/>
              <w:rPr>
                <w:rFonts w:hint="eastAsia"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物质使用情况</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已补充完成（第三章3.1.3节P18-P22页）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ascii="Times New Roman" w:hAnsi="Times New Roman" w:cs="Times New Roman"/>
                <w:kern w:val="0"/>
                <w:sz w:val="24"/>
                <w:szCs w:val="24"/>
              </w:rPr>
            </w:pPr>
            <w:r>
              <w:rPr>
                <w:rFonts w:ascii="Times New Roman" w:hAnsi="Times New Roman" w:cs="Times New Roman"/>
                <w:kern w:val="0"/>
                <w:sz w:val="24"/>
                <w:szCs w:val="24"/>
              </w:rPr>
              <w:t>3</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eastAsia" w:ascii="仿宋_GB2312" w:hAnsi="仿宋_GB2312" w:eastAsia="仿宋_GB2312" w:cs="仿宋_GB2312"/>
                <w:sz w:val="30"/>
                <w:szCs w:val="30"/>
                <w:lang w:val="en-US" w:eastAsia="zh-CN"/>
              </w:rPr>
            </w:pPr>
            <w:r>
              <w:rPr>
                <w:rFonts w:hint="default" w:ascii="Times New Roman" w:hAnsi="Times New Roman" w:cs="Times New Roman"/>
                <w:b w:val="0"/>
                <w:bCs w:val="0"/>
                <w:color w:val="auto"/>
                <w:sz w:val="24"/>
                <w:szCs w:val="24"/>
                <w:lang w:val="en-US" w:eastAsia="zh-CN"/>
              </w:rPr>
              <w:t>完善产排污数据、浓度和总量达标情况</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已补充完成（第三章3.1.4节P22-P25页）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hint="eastAsia" w:ascii="Times New Roman" w:hAnsi="Times New Roman" w:cs="Times New Roman" w:eastAsiaTheme="minorEastAsia"/>
                <w:kern w:val="0"/>
                <w:sz w:val="24"/>
                <w:szCs w:val="24"/>
                <w:lang w:val="en-US" w:eastAsia="zh-CN"/>
              </w:rPr>
            </w:pPr>
            <w:r>
              <w:rPr>
                <w:rFonts w:hint="eastAsia" w:ascii="Times New Roman" w:hAnsi="Times New Roman" w:cs="Times New Roman"/>
                <w:kern w:val="0"/>
                <w:sz w:val="24"/>
                <w:szCs w:val="24"/>
                <w:lang w:val="en-US" w:eastAsia="zh-CN"/>
              </w:rPr>
              <w:t>4</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eastAsia" w:ascii="仿宋_GB2312" w:hAnsi="仿宋_GB2312" w:eastAsia="仿宋_GB2312" w:cs="仿宋_GB2312"/>
                <w:sz w:val="30"/>
                <w:szCs w:val="30"/>
                <w:lang w:val="en-US" w:eastAsia="zh-CN"/>
              </w:rPr>
            </w:pPr>
            <w:r>
              <w:rPr>
                <w:rFonts w:hint="default" w:ascii="Times New Roman" w:hAnsi="Times New Roman" w:cs="Times New Roman"/>
                <w:b w:val="0"/>
                <w:bCs w:val="0"/>
                <w:color w:val="auto"/>
                <w:sz w:val="24"/>
                <w:szCs w:val="24"/>
                <w:lang w:val="en-US" w:eastAsia="zh-CN"/>
              </w:rPr>
              <w:t>核实清洁生产水平评价体系，核实完善清洁生产审核前后的清洁生产水平分析</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已补充完成（附件危废协议：P122页）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hint="eastAsia" w:ascii="Times New Roman" w:hAnsi="Times New Roman" w:cs="Times New Roman" w:eastAsiaTheme="minorEastAsia"/>
                <w:kern w:val="0"/>
                <w:sz w:val="24"/>
                <w:szCs w:val="24"/>
                <w:lang w:eastAsia="zh-CN"/>
              </w:rPr>
            </w:pPr>
            <w:r>
              <w:rPr>
                <w:rFonts w:hint="eastAsia" w:ascii="Times New Roman" w:hAnsi="Times New Roman" w:cs="Times New Roman"/>
                <w:kern w:val="0"/>
                <w:sz w:val="24"/>
                <w:szCs w:val="24"/>
                <w:lang w:val="en-US" w:eastAsia="zh-CN"/>
              </w:rPr>
              <w:t>5</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eastAsia" w:ascii="仿宋_GB2312" w:hAnsi="仿宋_GB2312" w:eastAsia="仿宋_GB2312" w:cs="仿宋_GB2312"/>
                <w:sz w:val="30"/>
                <w:szCs w:val="30"/>
                <w:lang w:val="en-US" w:eastAsia="zh-CN"/>
              </w:rPr>
            </w:pPr>
            <w:r>
              <w:rPr>
                <w:rFonts w:hint="default" w:ascii="Times New Roman" w:hAnsi="Times New Roman" w:cs="Times New Roman"/>
                <w:b w:val="0"/>
                <w:bCs w:val="0"/>
                <w:color w:val="auto"/>
                <w:sz w:val="24"/>
                <w:szCs w:val="24"/>
                <w:lang w:val="en-US" w:eastAsia="zh-CN"/>
              </w:rPr>
              <w:t>完善清洁生产目标设置、细化方案内容和效益核算，补充相关监测报告</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已补充完成（第三章3.1.2.2节P16-P18页）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hint="eastAsia" w:ascii="Times New Roman" w:hAnsi="Times New Roman" w:cs="Times New Roman" w:eastAsiaTheme="minorEastAsia"/>
                <w:kern w:val="0"/>
                <w:sz w:val="24"/>
                <w:szCs w:val="24"/>
                <w:lang w:eastAsia="zh-CN"/>
              </w:rPr>
            </w:pPr>
            <w:r>
              <w:rPr>
                <w:rFonts w:hint="eastAsia" w:ascii="Times New Roman" w:hAnsi="Times New Roman" w:cs="Times New Roman"/>
                <w:kern w:val="0"/>
                <w:sz w:val="24"/>
                <w:szCs w:val="24"/>
                <w:lang w:val="en-US" w:eastAsia="zh-CN"/>
              </w:rPr>
              <w:t>6</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eastAsia" w:ascii="仿宋_GB2312" w:hAnsi="仿宋_GB2312" w:eastAsia="仿宋_GB2312" w:cs="仿宋_GB2312"/>
                <w:sz w:val="30"/>
                <w:szCs w:val="30"/>
                <w:lang w:val="en-US" w:eastAsia="zh-CN"/>
              </w:rPr>
            </w:pPr>
            <w:r>
              <w:rPr>
                <w:rFonts w:hint="default" w:ascii="Times New Roman" w:hAnsi="Times New Roman" w:cs="Times New Roman"/>
                <w:b w:val="0"/>
                <w:bCs w:val="0"/>
                <w:color w:val="auto"/>
                <w:sz w:val="24"/>
                <w:szCs w:val="24"/>
                <w:highlight w:val="none"/>
                <w:lang w:val="en-US" w:eastAsia="zh-CN"/>
              </w:rPr>
              <w:t>核实VOC产排情况，分析存在的问题并挖掘减排潜力</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已补充完成（第三章3.2.2.3节P28页VOCs平衡，3.1.3.2节P21页能源平衡）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0" w:type="pct"/>
            <w:tcBorders>
              <w:top w:val="single" w:color="000000" w:sz="4" w:space="0"/>
              <w:left w:val="single" w:color="000000" w:sz="4" w:space="0"/>
              <w:bottom w:val="single" w:color="000000" w:sz="4" w:space="0"/>
              <w:right w:val="single" w:color="000000" w:sz="4" w:space="0"/>
            </w:tcBorders>
            <w:noWrap w:val="0"/>
            <w:vAlign w:val="center"/>
          </w:tcPr>
          <w:p>
            <w:pPr>
              <w:widowControl/>
              <w:spacing w:before="62" w:beforeLines="20" w:after="62" w:afterLines="20"/>
              <w:jc w:val="center"/>
              <w:rPr>
                <w:rFonts w:hint="eastAsia" w:ascii="Times New Roman" w:hAnsi="Times New Roman" w:cs="Times New Roman" w:eastAsiaTheme="minorEastAsia"/>
                <w:kern w:val="0"/>
                <w:sz w:val="24"/>
                <w:szCs w:val="24"/>
                <w:lang w:eastAsia="zh-CN"/>
              </w:rPr>
            </w:pPr>
            <w:r>
              <w:rPr>
                <w:rFonts w:hint="eastAsia" w:ascii="Times New Roman" w:hAnsi="Times New Roman" w:cs="Times New Roman"/>
                <w:kern w:val="0"/>
                <w:sz w:val="24"/>
                <w:szCs w:val="24"/>
                <w:lang w:val="en-US" w:eastAsia="zh-CN"/>
              </w:rPr>
              <w:t>7</w:t>
            </w:r>
          </w:p>
        </w:tc>
        <w:tc>
          <w:tcPr>
            <w:tcW w:w="1863"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补充中高费方案实施佐证材料（合同、付款凭证、现场照片等)、补充清洁生产组织和</w:t>
            </w:r>
          </w:p>
          <w:p>
            <w:pPr>
              <w:pStyle w:val="69"/>
              <w:widowControl/>
              <w:adjustRightInd w:val="0"/>
              <w:snapToGrid w:val="0"/>
              <w:ind w:left="0" w:leftChars="0" w:firstLine="0" w:firstLineChars="0"/>
              <w:contextualSpacing/>
              <w:jc w:val="center"/>
              <w:rPr>
                <w:rFonts w:hint="eastAsia" w:ascii="仿宋_GB2312" w:hAnsi="仿宋_GB2312" w:eastAsia="仿宋_GB2312" w:cs="仿宋_GB2312"/>
                <w:sz w:val="30"/>
                <w:szCs w:val="30"/>
                <w:lang w:val="en-US" w:eastAsia="zh-CN"/>
              </w:rPr>
            </w:pPr>
            <w:r>
              <w:rPr>
                <w:rFonts w:hint="default" w:ascii="Times New Roman" w:hAnsi="Times New Roman" w:cs="Times New Roman"/>
                <w:b w:val="0"/>
                <w:bCs w:val="0"/>
                <w:color w:val="auto"/>
                <w:sz w:val="24"/>
                <w:szCs w:val="24"/>
                <w:highlight w:val="none"/>
                <w:lang w:val="en-US" w:eastAsia="zh-CN"/>
              </w:rPr>
              <w:t>筹划相关证明材料</w:t>
            </w:r>
          </w:p>
        </w:tc>
        <w:tc>
          <w:tcPr>
            <w:tcW w:w="2616" w:type="pct"/>
            <w:tcBorders>
              <w:top w:val="single" w:color="000000" w:sz="4" w:space="0"/>
              <w:left w:val="single" w:color="000000" w:sz="4" w:space="0"/>
              <w:bottom w:val="single" w:color="000000" w:sz="4" w:space="0"/>
              <w:right w:val="single" w:color="000000" w:sz="4" w:space="0"/>
            </w:tcBorders>
            <w:noWrap w:val="0"/>
            <w:vAlign w:val="center"/>
          </w:tcPr>
          <w:p>
            <w:pPr>
              <w:pStyle w:val="69"/>
              <w:widowControl/>
              <w:adjustRightInd w:val="0"/>
              <w:snapToGrid w:val="0"/>
              <w:ind w:left="0" w:leftChars="0" w:firstLine="0" w:firstLineChars="0"/>
              <w:contextualSpacing/>
              <w:jc w:val="center"/>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已补充完成（第三章、单位：原材料、取水量、综合能耗、注塑电耗、危废产生量以及产品合格率，分别为P18/P22/P19/P20/P16/P31）；P40</w:t>
            </w:r>
          </w:p>
        </w:tc>
      </w:tr>
    </w:tbl>
    <w:p>
      <w:pPr>
        <w:widowControl/>
        <w:jc w:val="left"/>
        <w:rPr>
          <w:rFonts w:ascii="Times New Roman" w:hAnsi="黑体" w:eastAsia="黑体" w:cs="Times New Roman"/>
          <w:sz w:val="28"/>
          <w:szCs w:val="28"/>
        </w:rPr>
        <w:sectPr>
          <w:pgSz w:w="11906" w:h="16838"/>
          <w:pgMar w:top="1440" w:right="1800" w:bottom="1440" w:left="1800" w:header="851" w:footer="992" w:gutter="0"/>
          <w:cols w:space="425" w:num="1"/>
          <w:docGrid w:type="lines" w:linePitch="312" w:charSpace="0"/>
        </w:sectPr>
      </w:pPr>
    </w:p>
    <w:p>
      <w:pPr>
        <w:spacing w:line="360" w:lineRule="auto"/>
        <w:rPr>
          <w:rFonts w:hint="eastAsia" w:ascii="黑体" w:hAnsi="黑体" w:eastAsia="黑体"/>
          <w:sz w:val="28"/>
          <w:szCs w:val="28"/>
          <w:lang w:eastAsia="zh-CN"/>
        </w:rPr>
      </w:pPr>
      <w:r>
        <w:rPr>
          <w:rFonts w:hint="eastAsia" w:ascii="Times New Roman" w:hAnsi="Times New Roman" w:eastAsia="黑体" w:cs="Times New Roman"/>
          <w:sz w:val="28"/>
          <w:szCs w:val="28"/>
        </w:rPr>
        <w:t>企业名称：</w:t>
      </w:r>
      <w:r>
        <w:rPr>
          <w:rFonts w:hint="eastAsia" w:ascii="黑体" w:hAnsi="黑体" w:eastAsia="黑体"/>
          <w:sz w:val="28"/>
          <w:szCs w:val="28"/>
          <w:lang w:eastAsia="zh-CN"/>
        </w:rPr>
        <w:t>湖南光华荣昌汽车部件有限公司</w:t>
      </w:r>
    </w:p>
    <w:p>
      <w:pPr>
        <w:spacing w:line="360" w:lineRule="auto"/>
        <w:rPr>
          <w:rFonts w:hint="default" w:ascii="Times New Roman" w:hAnsi="Times New Roman" w:eastAsia="黑体" w:cs="Times New Roman"/>
          <w:sz w:val="28"/>
          <w:szCs w:val="28"/>
          <w:lang w:val="en-US" w:eastAsia="zh-CN"/>
        </w:rPr>
      </w:pPr>
      <w:r>
        <w:rPr>
          <w:rFonts w:hint="eastAsia" w:ascii="Times New Roman" w:hAnsi="Times New Roman" w:eastAsia="黑体" w:cs="Times New Roman"/>
          <w:sz w:val="28"/>
          <w:szCs w:val="28"/>
        </w:rPr>
        <w:t>法人代表：</w:t>
      </w:r>
      <w:r>
        <w:rPr>
          <w:rFonts w:hint="eastAsia" w:ascii="Times New Roman" w:hAnsi="Times New Roman" w:eastAsia="黑体" w:cs="Times New Roman"/>
          <w:sz w:val="28"/>
          <w:szCs w:val="28"/>
          <w:lang w:val="en-US" w:eastAsia="zh-CN"/>
        </w:rPr>
        <w:t>赵月强</w:t>
      </w:r>
    </w:p>
    <w:p>
      <w:pPr>
        <w:spacing w:line="360" w:lineRule="auto"/>
        <w:rPr>
          <w:rFonts w:hint="eastAsia" w:ascii="Times New Roman" w:hAnsi="Times New Roman" w:eastAsia="黑体" w:cs="Times New Roman"/>
          <w:sz w:val="28"/>
          <w:szCs w:val="28"/>
          <w:lang w:val="en-US" w:eastAsia="zh-CN"/>
        </w:rPr>
      </w:pPr>
      <w:r>
        <w:rPr>
          <w:rFonts w:hint="eastAsia" w:ascii="Times New Roman" w:hAnsi="Times New Roman" w:eastAsia="黑体" w:cs="Times New Roman"/>
          <w:sz w:val="28"/>
          <w:szCs w:val="28"/>
        </w:rPr>
        <w:t>工商注册地址：</w:t>
      </w:r>
      <w:r>
        <w:rPr>
          <w:rFonts w:hint="eastAsia" w:ascii="Times New Roman" w:hAnsi="Times New Roman" w:eastAsia="黑体" w:cs="Times New Roman"/>
          <w:sz w:val="28"/>
          <w:szCs w:val="28"/>
          <w:lang w:val="en-US" w:eastAsia="zh-CN"/>
        </w:rPr>
        <w:t xml:space="preserve">湖南省株洲市天元区栗雨工业园46区 </w:t>
      </w:r>
    </w:p>
    <w:p>
      <w:pPr>
        <w:spacing w:line="360" w:lineRule="auto"/>
        <w:rPr>
          <w:rFonts w:hint="default" w:ascii="Times New Roman" w:hAnsi="Times New Roman" w:eastAsia="黑体" w:cs="Times New Roman"/>
          <w:sz w:val="28"/>
          <w:szCs w:val="28"/>
          <w:lang w:val="en-US" w:eastAsia="zh-CN"/>
        </w:rPr>
      </w:pPr>
      <w:r>
        <w:rPr>
          <w:rFonts w:hint="eastAsia" w:ascii="Times New Roman" w:hAnsi="Times New Roman" w:eastAsia="黑体" w:cs="Times New Roman"/>
          <w:sz w:val="28"/>
          <w:szCs w:val="28"/>
        </w:rPr>
        <w:t>统一社会信用代码：</w:t>
      </w:r>
      <w:r>
        <w:rPr>
          <w:rFonts w:hint="eastAsia" w:ascii="Times New Roman" w:hAnsi="Times New Roman" w:eastAsia="黑体" w:cs="Times New Roman"/>
          <w:sz w:val="28"/>
          <w:szCs w:val="28"/>
          <w:lang w:eastAsia="zh-CN"/>
        </w:rPr>
        <w:t>91430</w:t>
      </w:r>
      <w:r>
        <w:rPr>
          <w:rFonts w:hint="eastAsia" w:ascii="Times New Roman" w:hAnsi="Times New Roman" w:eastAsia="黑体" w:cs="Times New Roman"/>
          <w:sz w:val="28"/>
          <w:szCs w:val="28"/>
          <w:lang w:val="en-US" w:eastAsia="zh-CN"/>
        </w:rPr>
        <w:t>211055811476G</w:t>
      </w:r>
    </w:p>
    <w:p>
      <w:pPr>
        <w:spacing w:line="360" w:lineRule="auto"/>
        <w:rPr>
          <w:rFonts w:hint="default" w:ascii="Times New Roman" w:hAnsi="Times New Roman" w:eastAsia="黑体" w:cs="Times New Roman"/>
          <w:sz w:val="28"/>
          <w:szCs w:val="28"/>
          <w:lang w:val="en-US" w:eastAsia="zh-CN"/>
        </w:rPr>
      </w:pPr>
      <w:r>
        <w:rPr>
          <w:rFonts w:hint="eastAsia" w:ascii="Times New Roman" w:hAnsi="Times New Roman" w:eastAsia="黑体" w:cs="Times New Roman"/>
          <w:sz w:val="28"/>
          <w:szCs w:val="28"/>
        </w:rPr>
        <w:t>公司类型：</w:t>
      </w:r>
      <w:r>
        <w:rPr>
          <w:rFonts w:hint="eastAsia" w:ascii="Times New Roman" w:hAnsi="Times New Roman" w:eastAsia="黑体" w:cs="Times New Roman"/>
          <w:sz w:val="28"/>
          <w:szCs w:val="28"/>
          <w:lang w:val="en-US" w:eastAsia="zh-CN"/>
        </w:rPr>
        <w:t>有限责任公司</w:t>
      </w:r>
    </w:p>
    <w:p>
      <w:pPr>
        <w:spacing w:line="360" w:lineRule="auto"/>
        <w:rPr>
          <w:rFonts w:hint="eastAsia" w:ascii="Times New Roman" w:hAnsi="Times New Roman" w:eastAsia="黑体" w:cs="Times New Roman"/>
          <w:sz w:val="28"/>
          <w:szCs w:val="28"/>
          <w:lang w:val="en-US" w:eastAsia="zh-CN"/>
        </w:rPr>
      </w:pPr>
      <w:r>
        <w:rPr>
          <w:rFonts w:hint="eastAsia" w:ascii="Times New Roman" w:hAnsi="Times New Roman" w:eastAsia="黑体" w:cs="Times New Roman"/>
          <w:sz w:val="28"/>
          <w:szCs w:val="28"/>
        </w:rPr>
        <w:t>所属行业：</w:t>
      </w:r>
      <w:r>
        <w:rPr>
          <w:rFonts w:hint="eastAsia" w:ascii="Times New Roman" w:hAnsi="Times New Roman" w:eastAsia="黑体" w:cs="Times New Roman"/>
          <w:sz w:val="28"/>
          <w:szCs w:val="28"/>
          <w:lang w:val="en-US" w:eastAsia="zh-CN"/>
        </w:rPr>
        <w:t>汽车零部件及配件制造</w:t>
      </w:r>
    </w:p>
    <w:p>
      <w:pPr>
        <w:spacing w:line="360" w:lineRule="auto"/>
        <w:rPr>
          <w:rFonts w:hint="eastAsia" w:ascii="Times New Roman" w:hAnsi="Times New Roman" w:eastAsia="黑体" w:cs="Times New Roman"/>
          <w:sz w:val="28"/>
          <w:szCs w:val="28"/>
          <w:lang w:eastAsia="zh-CN"/>
        </w:rPr>
      </w:pPr>
      <w:r>
        <w:rPr>
          <w:rFonts w:hint="eastAsia" w:ascii="Times New Roman" w:hAnsi="Times New Roman" w:eastAsia="黑体" w:cs="Times New Roman"/>
          <w:sz w:val="28"/>
          <w:szCs w:val="28"/>
        </w:rPr>
        <w:t>企业生产地：</w:t>
      </w:r>
      <w:r>
        <w:rPr>
          <w:rFonts w:hint="eastAsia" w:ascii="Times New Roman" w:hAnsi="Times New Roman" w:eastAsia="黑体" w:cs="Times New Roman"/>
          <w:sz w:val="28"/>
          <w:szCs w:val="28"/>
          <w:lang w:val="en-US" w:eastAsia="zh-CN"/>
        </w:rPr>
        <w:t>湖南省株洲市天元区栗雨工业园46区</w:t>
      </w:r>
      <w:r>
        <w:rPr>
          <w:rFonts w:hint="eastAsia" w:ascii="Times New Roman" w:hAnsi="Times New Roman" w:eastAsia="黑体" w:cs="Times New Roman"/>
          <w:sz w:val="28"/>
          <w:szCs w:val="28"/>
          <w:lang w:eastAsia="zh-CN"/>
        </w:rPr>
        <w:t xml:space="preserve"> </w:t>
      </w:r>
    </w:p>
    <w:p>
      <w:pPr>
        <w:spacing w:line="360" w:lineRule="auto"/>
        <w:rPr>
          <w:rFonts w:hint="eastAsia" w:ascii="Times New Roman" w:hAnsi="Times New Roman" w:eastAsia="黑体" w:cs="Times New Roman"/>
          <w:sz w:val="28"/>
          <w:szCs w:val="28"/>
        </w:rPr>
      </w:pPr>
      <w:r>
        <w:rPr>
          <w:rFonts w:hint="eastAsia" w:ascii="Times New Roman" w:hAnsi="Times New Roman" w:eastAsia="黑体" w:cs="Times New Roman"/>
          <w:sz w:val="28"/>
          <w:szCs w:val="28"/>
        </w:rPr>
        <w:t>审核负责人：</w:t>
      </w:r>
      <w:r>
        <w:rPr>
          <w:rFonts w:hint="eastAsia" w:ascii="Times New Roman" w:hAnsi="Times New Roman" w:eastAsia="黑体" w:cs="Times New Roman"/>
          <w:sz w:val="28"/>
          <w:szCs w:val="28"/>
          <w:lang w:val="en-US" w:eastAsia="zh-CN"/>
        </w:rPr>
        <w:t>曾琼</w:t>
      </w:r>
      <w:r>
        <w:rPr>
          <w:rFonts w:hint="eastAsia" w:ascii="Times New Roman" w:hAnsi="Times New Roman" w:eastAsia="黑体" w:cs="Times New Roman"/>
          <w:sz w:val="28"/>
          <w:szCs w:val="28"/>
        </w:rPr>
        <w:t xml:space="preserve">   联系电话：</w:t>
      </w:r>
      <w:r>
        <w:rPr>
          <w:rFonts w:hint="eastAsia" w:ascii="Times New Roman" w:hAnsi="Times New Roman" w:eastAsia="黑体" w:cs="Times New Roman"/>
          <w:sz w:val="28"/>
          <w:szCs w:val="28"/>
          <w:lang w:val="en-US" w:eastAsia="zh-CN"/>
        </w:rPr>
        <w:t>15573332808</w:t>
      </w:r>
      <w:r>
        <w:rPr>
          <w:rFonts w:hint="eastAsia" w:ascii="Times New Roman" w:hAnsi="Times New Roman" w:eastAsia="黑体" w:cs="Times New Roman"/>
          <w:sz w:val="28"/>
          <w:szCs w:val="28"/>
        </w:rPr>
        <w:t xml:space="preserve">    </w:t>
      </w:r>
    </w:p>
    <w:p>
      <w:pPr>
        <w:spacing w:line="360" w:lineRule="auto"/>
        <w:rPr>
          <w:rFonts w:cs="Times New Roman" w:asciiTheme="minorEastAsia" w:hAnsiTheme="minorEastAsia"/>
          <w:sz w:val="28"/>
          <w:szCs w:val="28"/>
        </w:rPr>
      </w:pPr>
      <w:r>
        <w:rPr>
          <w:rFonts w:hint="eastAsia" w:cs="Times New Roman" w:asciiTheme="minorEastAsia" w:hAnsiTheme="minorEastAsia"/>
          <w:sz w:val="28"/>
          <w:szCs w:val="28"/>
        </w:rPr>
        <w:t>审核企业承诺：我们对本审核报告的真实性和完整性负责。</w:t>
      </w:r>
    </w:p>
    <w:p>
      <w:pPr>
        <w:spacing w:line="360" w:lineRule="auto"/>
        <w:ind w:right="560"/>
        <w:jc w:val="center"/>
        <w:rPr>
          <w:rFonts w:cs="Times New Roman" w:asciiTheme="minorEastAsia" w:hAnsiTheme="minorEastAsia"/>
          <w:sz w:val="28"/>
          <w:szCs w:val="28"/>
        </w:rPr>
      </w:pPr>
      <w:r>
        <w:rPr>
          <w:rFonts w:hint="eastAsia" w:cs="Times New Roman" w:asciiTheme="minorEastAsia" w:hAnsiTheme="minorEastAsia"/>
          <w:sz w:val="28"/>
          <w:szCs w:val="28"/>
        </w:rPr>
        <w:t xml:space="preserve">                                  （盖章）</w:t>
      </w:r>
    </w:p>
    <w:p>
      <w:pPr>
        <w:spacing w:line="360" w:lineRule="auto"/>
        <w:ind w:right="560" w:firstLine="6160" w:firstLineChars="2200"/>
        <w:rPr>
          <w:rFonts w:cs="Times New Roman" w:asciiTheme="minorEastAsia" w:hAnsiTheme="minorEastAsia"/>
          <w:sz w:val="28"/>
          <w:szCs w:val="28"/>
        </w:rPr>
      </w:pPr>
      <w:r>
        <w:rPr>
          <w:rFonts w:hint="eastAsia" w:cs="Times New Roman" w:asciiTheme="minorEastAsia" w:hAnsiTheme="minorEastAsia"/>
          <w:sz w:val="28"/>
          <w:szCs w:val="28"/>
        </w:rPr>
        <w:t>日期：</w:t>
      </w:r>
    </w:p>
    <w:tbl>
      <w:tblPr>
        <w:tblStyle w:val="2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522" w:type="dxa"/>
          </w:tcPr>
          <w:p>
            <w:pPr>
              <w:spacing w:line="360" w:lineRule="auto"/>
              <w:rPr>
                <w:rFonts w:hint="eastAsia" w:ascii="黑体" w:hAnsi="黑体" w:eastAsia="黑体"/>
                <w:b/>
                <w:color w:val="FF0000"/>
                <w:w w:val="66"/>
                <w:sz w:val="24"/>
                <w:szCs w:val="24"/>
                <w:lang w:eastAsia="zh-CN"/>
              </w:rPr>
            </w:pPr>
            <w:r>
              <w:rPr>
                <w:rFonts w:hint="eastAsia" w:ascii="黑体" w:hAnsi="黑体" w:eastAsia="黑体"/>
                <w:sz w:val="24"/>
                <w:szCs w:val="24"/>
              </w:rPr>
              <w:t>咨询服务机构名称：</w:t>
            </w:r>
            <w:r>
              <w:rPr>
                <w:rFonts w:hint="eastAsia" w:ascii="黑体" w:hAnsi="黑体" w:eastAsia="黑体"/>
                <w:sz w:val="24"/>
                <w:szCs w:val="24"/>
                <w:lang w:eastAsia="zh-CN"/>
              </w:rPr>
              <w:t>湖南阳光伟业科技有限公司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Times New Roman" w:hAnsi="宋体" w:eastAsia="宋体"/>
                <w:sz w:val="24"/>
                <w:szCs w:val="24"/>
              </w:rPr>
            </w:pPr>
            <w:r>
              <w:rPr>
                <w:rFonts w:hint="eastAsia" w:ascii="黑体" w:hAnsi="黑体" w:eastAsia="黑体"/>
                <w:sz w:val="24"/>
                <w:szCs w:val="24"/>
              </w:rPr>
              <w:t>法人代表：</w:t>
            </w:r>
            <w:r>
              <w:rPr>
                <w:rFonts w:hint="eastAsia" w:ascii="Times New Roman" w:hAnsi="宋体" w:eastAsia="宋体"/>
                <w:sz w:val="24"/>
                <w:szCs w:val="24"/>
              </w:rPr>
              <w:t>乔朝辉                                    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黑体" w:hAnsi="黑体" w:eastAsia="黑体"/>
                <w:sz w:val="24"/>
                <w:szCs w:val="24"/>
              </w:rPr>
            </w:pPr>
            <w:r>
              <w:rPr>
                <w:rFonts w:hint="eastAsia" w:ascii="黑体" w:hAnsi="黑体" w:eastAsia="黑体"/>
                <w:sz w:val="24"/>
                <w:szCs w:val="24"/>
              </w:rPr>
              <w:t>报告编制人：</w:t>
            </w:r>
          </w:p>
          <w:p>
            <w:pPr>
              <w:spacing w:line="360" w:lineRule="auto"/>
              <w:rPr>
                <w:rFonts w:ascii="Times New Roman" w:hAnsi="宋体" w:eastAsia="宋体"/>
                <w:sz w:val="24"/>
                <w:szCs w:val="24"/>
              </w:rPr>
            </w:pPr>
            <w:r>
              <w:rPr>
                <w:rFonts w:hint="eastAsia" w:ascii="Times New Roman" w:hAnsi="宋体" w:eastAsia="宋体"/>
                <w:sz w:val="24"/>
                <w:szCs w:val="24"/>
              </w:rPr>
              <w:t>姓名：黄健      证书编号：[E028968]                  签名：</w:t>
            </w:r>
          </w:p>
          <w:p>
            <w:pPr>
              <w:spacing w:line="360" w:lineRule="auto"/>
              <w:rPr>
                <w:rFonts w:ascii="Times New Roman" w:hAnsi="宋体" w:eastAsia="宋体"/>
                <w:sz w:val="24"/>
                <w:szCs w:val="24"/>
              </w:rPr>
            </w:pPr>
            <w:r>
              <w:rPr>
                <w:rFonts w:hint="eastAsia" w:ascii="Times New Roman" w:hAnsi="宋体" w:eastAsia="宋体"/>
                <w:sz w:val="24"/>
                <w:szCs w:val="24"/>
              </w:rPr>
              <w:t>姓名：邓志前    证书编号：[E036188]                  签名：</w:t>
            </w:r>
          </w:p>
          <w:p>
            <w:pPr>
              <w:spacing w:line="360" w:lineRule="auto"/>
              <w:rPr>
                <w:rFonts w:ascii="Times New Roman" w:hAnsi="宋体" w:eastAsia="宋体"/>
                <w:sz w:val="24"/>
                <w:szCs w:val="24"/>
              </w:rPr>
            </w:pPr>
            <w:r>
              <w:rPr>
                <w:rFonts w:hint="eastAsia" w:ascii="Times New Roman" w:hAnsi="宋体" w:eastAsia="宋体"/>
                <w:sz w:val="24"/>
                <w:szCs w:val="24"/>
              </w:rPr>
              <w:t>姓名：</w:t>
            </w:r>
            <w:r>
              <w:rPr>
                <w:rFonts w:hint="eastAsia" w:ascii="Times New Roman" w:hAnsi="宋体" w:eastAsia="宋体"/>
                <w:sz w:val="24"/>
                <w:szCs w:val="24"/>
                <w:lang w:eastAsia="zh-CN"/>
              </w:rPr>
              <w:t>廖海广</w:t>
            </w:r>
            <w:r>
              <w:rPr>
                <w:rFonts w:hint="eastAsia" w:ascii="Times New Roman" w:hAnsi="宋体" w:eastAsia="宋体"/>
                <w:sz w:val="24"/>
                <w:szCs w:val="24"/>
              </w:rPr>
              <w:t xml:space="preserve">    证书编号：[E0</w:t>
            </w:r>
            <w:r>
              <w:rPr>
                <w:rFonts w:hint="eastAsia" w:ascii="Times New Roman" w:hAnsi="宋体" w:eastAsia="宋体"/>
                <w:sz w:val="24"/>
                <w:szCs w:val="24"/>
                <w:lang w:val="en-US" w:eastAsia="zh-CN"/>
              </w:rPr>
              <w:t>3</w:t>
            </w:r>
            <w:r>
              <w:rPr>
                <w:rFonts w:hint="eastAsia" w:ascii="Times New Roman" w:hAnsi="宋体" w:eastAsia="宋体"/>
                <w:sz w:val="24"/>
                <w:szCs w:val="24"/>
              </w:rPr>
              <w:t>82</w:t>
            </w:r>
            <w:r>
              <w:rPr>
                <w:rFonts w:hint="eastAsia" w:ascii="Times New Roman" w:hAnsi="宋体" w:eastAsia="宋体"/>
                <w:sz w:val="24"/>
                <w:szCs w:val="24"/>
                <w:lang w:val="en-US" w:eastAsia="zh-CN"/>
              </w:rPr>
              <w:t>87</w:t>
            </w:r>
            <w:r>
              <w:rPr>
                <w:rFonts w:hint="eastAsia" w:ascii="Times New Roman" w:hAnsi="宋体" w:eastAsia="宋体"/>
                <w:sz w:val="24"/>
                <w:szCs w:val="24"/>
              </w:rPr>
              <w:t>]                  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黑体" w:hAnsi="黑体" w:eastAsia="黑体"/>
                <w:sz w:val="24"/>
                <w:szCs w:val="24"/>
              </w:rPr>
            </w:pPr>
            <w:r>
              <w:rPr>
                <w:rFonts w:hint="eastAsia" w:ascii="黑体" w:hAnsi="黑体" w:eastAsia="黑体"/>
                <w:sz w:val="24"/>
                <w:szCs w:val="24"/>
              </w:rPr>
              <w:t>报告审核人：</w:t>
            </w:r>
            <w:r>
              <w:rPr>
                <w:rFonts w:hint="eastAsia" w:ascii="Times New Roman" w:hAnsi="宋体" w:eastAsia="宋体"/>
                <w:sz w:val="24"/>
                <w:szCs w:val="24"/>
              </w:rPr>
              <w:t>姓名：</w:t>
            </w:r>
            <w:r>
              <w:rPr>
                <w:rFonts w:hint="eastAsia" w:ascii="Times New Roman" w:hAnsi="宋体" w:eastAsia="宋体"/>
                <w:sz w:val="24"/>
                <w:szCs w:val="24"/>
                <w:lang w:eastAsia="zh-CN"/>
              </w:rPr>
              <w:t>廖海广</w:t>
            </w:r>
            <w:r>
              <w:rPr>
                <w:rFonts w:hint="eastAsia" w:ascii="Times New Roman" w:hAnsi="宋体" w:eastAsia="宋体"/>
                <w:sz w:val="24"/>
                <w:szCs w:val="24"/>
              </w:rPr>
              <w:t xml:space="preserve">    </w:t>
            </w:r>
            <w:r>
              <w:rPr>
                <w:rFonts w:hint="eastAsia" w:ascii="Times New Roman" w:hAnsi="宋体" w:eastAsia="宋体"/>
                <w:sz w:val="24"/>
                <w:szCs w:val="24"/>
                <w:lang w:val="en-US" w:eastAsia="zh-CN"/>
              </w:rPr>
              <w:t xml:space="preserve"> </w:t>
            </w:r>
            <w:r>
              <w:rPr>
                <w:rFonts w:hint="eastAsia" w:ascii="Times New Roman" w:hAnsi="宋体" w:eastAsia="宋体"/>
                <w:sz w:val="24"/>
                <w:szCs w:val="24"/>
              </w:rPr>
              <w:t>证书编号：[E0</w:t>
            </w:r>
            <w:r>
              <w:rPr>
                <w:rFonts w:hint="eastAsia" w:ascii="Times New Roman" w:hAnsi="宋体" w:eastAsia="宋体"/>
                <w:sz w:val="24"/>
                <w:szCs w:val="24"/>
                <w:lang w:val="en-US" w:eastAsia="zh-CN"/>
              </w:rPr>
              <w:t>3</w:t>
            </w:r>
            <w:r>
              <w:rPr>
                <w:rFonts w:hint="eastAsia" w:ascii="Times New Roman" w:hAnsi="宋体" w:eastAsia="宋体"/>
                <w:sz w:val="24"/>
                <w:szCs w:val="24"/>
              </w:rPr>
              <w:t>82</w:t>
            </w:r>
            <w:r>
              <w:rPr>
                <w:rFonts w:hint="eastAsia" w:ascii="Times New Roman" w:hAnsi="宋体" w:eastAsia="宋体"/>
                <w:sz w:val="24"/>
                <w:szCs w:val="24"/>
                <w:lang w:val="en-US" w:eastAsia="zh-CN"/>
              </w:rPr>
              <w:t>87</w:t>
            </w:r>
            <w:r>
              <w:rPr>
                <w:rFonts w:hint="eastAsia" w:ascii="Times New Roman" w:hAnsi="宋体" w:eastAsia="宋体"/>
                <w:sz w:val="24"/>
                <w:szCs w:val="24"/>
              </w:rPr>
              <w:t>]     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黑体" w:hAnsi="黑体" w:eastAsia="黑体"/>
                <w:sz w:val="24"/>
                <w:szCs w:val="24"/>
              </w:rPr>
            </w:pPr>
            <w:r>
              <w:rPr>
                <w:rFonts w:hint="eastAsia" w:ascii="黑体" w:hAnsi="黑体" w:eastAsia="黑体"/>
                <w:sz w:val="24"/>
                <w:szCs w:val="24"/>
              </w:rPr>
              <w:t>报告审批人：</w:t>
            </w:r>
            <w:r>
              <w:rPr>
                <w:rFonts w:hint="eastAsia" w:ascii="Times New Roman" w:hAnsi="宋体" w:eastAsia="宋体"/>
                <w:sz w:val="24"/>
                <w:szCs w:val="24"/>
              </w:rPr>
              <w:t>姓名：乔朝辉     证书编号：[E018226]     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ascii="Times New Roman" w:hAnsi="宋体" w:eastAsia="宋体"/>
                <w:szCs w:val="21"/>
              </w:rPr>
            </w:pPr>
            <w:r>
              <w:rPr>
                <w:rFonts w:hint="eastAsia" w:ascii="黑体" w:hAnsi="黑体" w:eastAsia="黑体"/>
                <w:sz w:val="24"/>
                <w:szCs w:val="24"/>
              </w:rPr>
              <w:t>联系电话：</w:t>
            </w:r>
            <w:r>
              <w:rPr>
                <w:rFonts w:hint="eastAsia" w:ascii="Times New Roman" w:hAnsi="宋体" w:eastAsia="宋体"/>
                <w:szCs w:val="21"/>
              </w:rPr>
              <w:t>0731-82760888             网站</w:t>
            </w:r>
            <w:r>
              <w:rPr>
                <w:rFonts w:hint="eastAsia" w:ascii="Times New Roman" w:hAnsi="宋体" w:eastAsia="宋体"/>
                <w:sz w:val="24"/>
                <w:szCs w:val="24"/>
              </w:rPr>
              <w:t>：</w:t>
            </w:r>
            <w:r>
              <w:fldChar w:fldCharType="begin"/>
            </w:r>
            <w:r>
              <w:instrText xml:space="preserve"> HYPERLINK "http://www.sunshineway.com.cn/" </w:instrText>
            </w:r>
            <w:r>
              <w:fldChar w:fldCharType="separate"/>
            </w:r>
            <w:r>
              <w:rPr>
                <w:rFonts w:ascii="Times New Roman" w:hAnsi="宋体" w:eastAsia="宋体"/>
                <w:sz w:val="24"/>
                <w:szCs w:val="24"/>
              </w:rPr>
              <w:t>http://www.sunshineway.com.cn/</w:t>
            </w:r>
            <w:r>
              <w:rPr>
                <w:rFonts w:ascii="Times New Roman" w:hAnsi="宋体" w:eastAsia="宋体"/>
                <w:sz w:val="24"/>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38"/>
              <w:widowControl/>
              <w:ind w:firstLine="174" w:firstLineChars="83"/>
              <w:rPr>
                <w:rFonts w:hAnsi="宋体"/>
                <w:color w:val="auto"/>
                <w:sz w:val="21"/>
                <w:szCs w:val="21"/>
              </w:rPr>
            </w:pPr>
            <w:r>
              <w:rPr>
                <w:rFonts w:hint="eastAsia" w:hAnsi="宋体"/>
                <w:color w:val="auto"/>
                <w:sz w:val="21"/>
                <w:szCs w:val="21"/>
              </w:rPr>
              <w:t>咨询服务机构承诺（盖章）：我们对本报告的真实性和完整性负责。</w:t>
            </w:r>
          </w:p>
          <w:p>
            <w:pPr>
              <w:pStyle w:val="38"/>
              <w:widowControl/>
              <w:ind w:right="420" w:firstLine="6079" w:firstLineChars="2895"/>
              <w:rPr>
                <w:rFonts w:hAnsi="宋体"/>
                <w:color w:val="auto"/>
                <w:sz w:val="21"/>
                <w:szCs w:val="21"/>
              </w:rPr>
            </w:pPr>
            <w:r>
              <w:rPr>
                <w:rFonts w:hint="eastAsia" w:hAnsi="宋体"/>
                <w:color w:val="auto"/>
                <w:sz w:val="21"/>
                <w:szCs w:val="21"/>
              </w:rPr>
              <w:t>（盖章）</w:t>
            </w:r>
          </w:p>
          <w:p>
            <w:pPr>
              <w:pStyle w:val="38"/>
              <w:widowControl/>
              <w:ind w:right="840" w:firstLine="6300" w:firstLineChars="3000"/>
              <w:rPr>
                <w:rFonts w:hAnsi="宋体"/>
                <w:color w:val="auto"/>
                <w:sz w:val="21"/>
                <w:szCs w:val="21"/>
              </w:rPr>
            </w:pPr>
            <w:r>
              <w:rPr>
                <w:rFonts w:hint="eastAsia" w:hAnsi="宋体"/>
                <w:color w:val="auto"/>
                <w:sz w:val="21"/>
                <w:szCs w:val="21"/>
              </w:rPr>
              <w:t>日期：</w:t>
            </w:r>
          </w:p>
        </w:tc>
      </w:tr>
    </w:tbl>
    <w:p/>
    <w:p>
      <w:pPr>
        <w:pStyle w:val="11"/>
        <w:jc w:val="center"/>
        <w:rPr>
          <w:color w:val="FF0000"/>
          <w:sz w:val="20"/>
        </w:rPr>
      </w:pPr>
      <w:r>
        <w:drawing>
          <wp:inline distT="0" distB="0" distL="114300" distR="114300">
            <wp:extent cx="2577465" cy="2456815"/>
            <wp:effectExtent l="0" t="0" r="13335"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
                    <a:stretch>
                      <a:fillRect/>
                    </a:stretch>
                  </pic:blipFill>
                  <pic:spPr>
                    <a:xfrm>
                      <a:off x="0" y="0"/>
                      <a:ext cx="2577465" cy="2456815"/>
                    </a:xfrm>
                    <a:prstGeom prst="rect">
                      <a:avLst/>
                    </a:prstGeom>
                    <a:noFill/>
                    <a:ln>
                      <a:noFill/>
                    </a:ln>
                  </pic:spPr>
                </pic:pic>
              </a:graphicData>
            </a:graphic>
          </wp:inline>
        </w:drawing>
      </w:r>
      <w:r>
        <w:drawing>
          <wp:inline distT="0" distB="0" distL="114300" distR="114300">
            <wp:extent cx="2563495" cy="2446020"/>
            <wp:effectExtent l="0" t="0" r="8255"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8"/>
                    <a:stretch>
                      <a:fillRect/>
                    </a:stretch>
                  </pic:blipFill>
                  <pic:spPr>
                    <a:xfrm>
                      <a:off x="0" y="0"/>
                      <a:ext cx="2563495" cy="2446020"/>
                    </a:xfrm>
                    <a:prstGeom prst="rect">
                      <a:avLst/>
                    </a:prstGeom>
                    <a:noFill/>
                    <a:ln>
                      <a:noFill/>
                    </a:ln>
                  </pic:spPr>
                </pic:pic>
              </a:graphicData>
            </a:graphic>
          </wp:inline>
        </w:drawing>
      </w:r>
    </w:p>
    <w:p>
      <w:pPr>
        <w:bidi w:val="0"/>
        <w:jc w:val="center"/>
        <w:rPr>
          <w:rFonts w:ascii="华文中宋" w:eastAsia="华文中宋"/>
          <w:color w:val="000000" w:themeColor="text1"/>
          <w:w w:val="75"/>
          <w:sz w:val="24"/>
          <w:szCs w:val="24"/>
        </w:rPr>
      </w:pPr>
      <w:r>
        <w:rPr>
          <w:rFonts w:hint="eastAsia" w:asciiTheme="minorEastAsia" w:hAnsiTheme="minorEastAsia" w:eastAsiaTheme="minorEastAsia"/>
          <w:b w:val="0"/>
          <w:color w:val="000000" w:themeColor="text1"/>
          <w:w w:val="75"/>
          <w:sz w:val="24"/>
          <w:szCs w:val="24"/>
        </w:rPr>
        <w:t>宣</w:t>
      </w:r>
      <w:r>
        <w:rPr>
          <w:rFonts w:hint="eastAsia" w:asciiTheme="minorEastAsia" w:hAnsiTheme="minorEastAsia" w:eastAsiaTheme="minorEastAsia"/>
          <w:b w:val="0"/>
          <w:color w:val="000000" w:themeColor="text1"/>
          <w:spacing w:val="3"/>
          <w:w w:val="75"/>
          <w:sz w:val="24"/>
          <w:szCs w:val="24"/>
        </w:rPr>
        <w:t>传</w:t>
      </w:r>
      <w:r>
        <w:rPr>
          <w:rFonts w:hint="eastAsia" w:asciiTheme="minorEastAsia" w:hAnsiTheme="minorEastAsia" w:eastAsiaTheme="minorEastAsia"/>
          <w:b w:val="0"/>
          <w:color w:val="000000" w:themeColor="text1"/>
          <w:w w:val="75"/>
          <w:sz w:val="24"/>
          <w:szCs w:val="24"/>
        </w:rPr>
        <w:t>培训</w:t>
      </w:r>
      <w:r>
        <w:rPr>
          <w:rFonts w:hint="eastAsia" w:ascii="华文中宋" w:eastAsia="华文中宋"/>
          <w:color w:val="000000" w:themeColor="text1"/>
          <w:w w:val="75"/>
          <w:sz w:val="24"/>
          <w:szCs w:val="24"/>
        </w:rPr>
        <w:tab/>
      </w:r>
      <w:r>
        <w:rPr>
          <w:rFonts w:hint="eastAsia" w:ascii="华文中宋" w:eastAsia="华文中宋"/>
          <w:color w:val="000000" w:themeColor="text1"/>
          <w:w w:val="75"/>
          <w:sz w:val="24"/>
          <w:szCs w:val="24"/>
          <w:lang w:val="en-US" w:eastAsia="zh-CN"/>
        </w:rPr>
        <w:t xml:space="preserve">                                    </w:t>
      </w:r>
      <w:r>
        <w:rPr>
          <w:rFonts w:hint="eastAsia" w:asciiTheme="minorEastAsia" w:hAnsiTheme="minorEastAsia" w:eastAsiaTheme="minorEastAsia"/>
          <w:b w:val="0"/>
          <w:color w:val="000000" w:themeColor="text1"/>
          <w:w w:val="75"/>
          <w:sz w:val="24"/>
          <w:szCs w:val="24"/>
        </w:rPr>
        <w:t>宣传培训</w:t>
      </w:r>
    </w:p>
    <w:p>
      <w:pPr>
        <w:bidi w:val="0"/>
        <w:jc w:val="center"/>
      </w:pPr>
      <w:r>
        <w:drawing>
          <wp:inline distT="0" distB="0" distL="114300" distR="114300">
            <wp:extent cx="2516505" cy="2582545"/>
            <wp:effectExtent l="0" t="0" r="17145" b="825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9"/>
                    <a:stretch>
                      <a:fillRect/>
                    </a:stretch>
                  </pic:blipFill>
                  <pic:spPr>
                    <a:xfrm>
                      <a:off x="0" y="0"/>
                      <a:ext cx="2516505" cy="2582545"/>
                    </a:xfrm>
                    <a:prstGeom prst="rect">
                      <a:avLst/>
                    </a:prstGeom>
                    <a:noFill/>
                    <a:ln>
                      <a:noFill/>
                    </a:ln>
                  </pic:spPr>
                </pic:pic>
              </a:graphicData>
            </a:graphic>
          </wp:inline>
        </w:drawing>
      </w:r>
      <w:r>
        <w:drawing>
          <wp:inline distT="0" distB="0" distL="114300" distR="114300">
            <wp:extent cx="2637155" cy="2561590"/>
            <wp:effectExtent l="0" t="0" r="10795" b="1016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0"/>
                    <a:stretch>
                      <a:fillRect/>
                    </a:stretch>
                  </pic:blipFill>
                  <pic:spPr>
                    <a:xfrm>
                      <a:off x="0" y="0"/>
                      <a:ext cx="2637155" cy="2561590"/>
                    </a:xfrm>
                    <a:prstGeom prst="rect">
                      <a:avLst/>
                    </a:prstGeom>
                    <a:noFill/>
                    <a:ln>
                      <a:noFill/>
                    </a:ln>
                  </pic:spPr>
                </pic:pic>
              </a:graphicData>
            </a:graphic>
          </wp:inline>
        </w:drawing>
      </w:r>
      <w:r>
        <w:drawing>
          <wp:inline distT="0" distB="0" distL="114300" distR="114300">
            <wp:extent cx="2548255" cy="2589530"/>
            <wp:effectExtent l="0" t="0" r="4445" b="12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1"/>
                    <a:stretch>
                      <a:fillRect/>
                    </a:stretch>
                  </pic:blipFill>
                  <pic:spPr>
                    <a:xfrm>
                      <a:off x="0" y="0"/>
                      <a:ext cx="2548255" cy="2589530"/>
                    </a:xfrm>
                    <a:prstGeom prst="rect">
                      <a:avLst/>
                    </a:prstGeom>
                    <a:noFill/>
                    <a:ln>
                      <a:noFill/>
                    </a:ln>
                  </pic:spPr>
                </pic:pic>
              </a:graphicData>
            </a:graphic>
          </wp:inline>
        </w:drawing>
      </w:r>
      <w:r>
        <w:drawing>
          <wp:inline distT="0" distB="0" distL="114300" distR="114300">
            <wp:extent cx="2623820" cy="2582545"/>
            <wp:effectExtent l="0" t="0" r="5080" b="825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2"/>
                    <a:stretch>
                      <a:fillRect/>
                    </a:stretch>
                  </pic:blipFill>
                  <pic:spPr>
                    <a:xfrm>
                      <a:off x="0" y="0"/>
                      <a:ext cx="2623820" cy="2582545"/>
                    </a:xfrm>
                    <a:prstGeom prst="rect">
                      <a:avLst/>
                    </a:prstGeom>
                    <a:noFill/>
                    <a:ln>
                      <a:noFill/>
                    </a:ln>
                  </pic:spPr>
                </pic:pic>
              </a:graphicData>
            </a:graphic>
          </wp:inline>
        </w:drawing>
      </w:r>
    </w:p>
    <w:p>
      <w:pPr>
        <w:tabs>
          <w:tab w:val="left" w:pos="6360"/>
        </w:tabs>
        <w:spacing w:before="51" w:after="104"/>
        <w:ind w:left="36" w:firstLine="1710" w:firstLineChars="950"/>
        <w:rPr>
          <w:rFonts w:ascii="华文中宋"/>
          <w:sz w:val="20"/>
        </w:rPr>
      </w:pPr>
      <w:r>
        <w:rPr>
          <w:rFonts w:hint="eastAsia" w:asciiTheme="minorEastAsia" w:hAnsiTheme="minorEastAsia"/>
          <w:w w:val="75"/>
          <w:sz w:val="24"/>
          <w:szCs w:val="24"/>
        </w:rPr>
        <w:t>车间</w:t>
      </w:r>
      <w:r>
        <w:rPr>
          <w:rFonts w:hint="eastAsia" w:ascii="华文中宋" w:eastAsia="华文中宋"/>
          <w:b/>
          <w:w w:val="75"/>
          <w:sz w:val="24"/>
          <w:szCs w:val="24"/>
        </w:rPr>
        <w:t xml:space="preserve">                                   </w:t>
      </w:r>
      <w:r>
        <w:rPr>
          <w:rFonts w:hint="eastAsia" w:asciiTheme="minorEastAsia" w:hAnsiTheme="minorEastAsia"/>
          <w:w w:val="75"/>
          <w:sz w:val="24"/>
          <w:szCs w:val="24"/>
        </w:rPr>
        <w:t>车间</w:t>
      </w:r>
    </w:p>
    <w:sdt>
      <w:sdtPr>
        <w:rPr>
          <w:rFonts w:asciiTheme="minorHAnsi" w:hAnsiTheme="minorHAnsi" w:eastAsiaTheme="minorEastAsia" w:cstheme="minorBidi"/>
          <w:b w:val="0"/>
          <w:bCs w:val="0"/>
          <w:color w:val="auto"/>
          <w:kern w:val="2"/>
          <w:sz w:val="21"/>
          <w:szCs w:val="22"/>
          <w:lang w:val="zh-CN"/>
        </w:rPr>
        <w:id w:val="20305927"/>
        <w:docPartObj>
          <w:docPartGallery w:val="Table of Contents"/>
          <w:docPartUnique/>
        </w:docPartObj>
      </w:sdtPr>
      <w:sdtEndPr>
        <w:rPr>
          <w:rFonts w:asciiTheme="minorHAnsi" w:hAnsiTheme="minorHAnsi" w:eastAsiaTheme="minorEastAsia" w:cstheme="minorBidi"/>
          <w:b w:val="0"/>
          <w:bCs w:val="0"/>
          <w:color w:val="auto"/>
          <w:kern w:val="2"/>
          <w:sz w:val="21"/>
          <w:szCs w:val="22"/>
          <w:lang w:val="en-US"/>
        </w:rPr>
      </w:sdtEndPr>
      <w:sdtContent>
        <w:p>
          <w:pPr>
            <w:pStyle w:val="57"/>
            <w:jc w:val="center"/>
          </w:pPr>
          <w:r>
            <w:rPr>
              <w:lang w:val="zh-CN"/>
            </w:rPr>
            <w:t>目录</w:t>
          </w:r>
        </w:p>
        <w:p>
          <w:pPr>
            <w:pStyle w:val="21"/>
            <w:tabs>
              <w:tab w:val="right" w:leader="dot" w:pos="8306"/>
            </w:tabs>
          </w:pPr>
          <w:r>
            <w:fldChar w:fldCharType="begin"/>
          </w:r>
          <w:r>
            <w:instrText xml:space="preserve"> TOC \o "1-3" \h \z \u </w:instrText>
          </w:r>
          <w:r>
            <w:fldChar w:fldCharType="separate"/>
          </w:r>
          <w:r>
            <w:fldChar w:fldCharType="begin"/>
          </w:r>
          <w:r>
            <w:instrText xml:space="preserve"> HYPERLINK \l _Toc17536 </w:instrText>
          </w:r>
          <w:r>
            <w:fldChar w:fldCharType="separate"/>
          </w:r>
          <w:r>
            <w:rPr>
              <w:rFonts w:hint="eastAsia" w:cs="Times New Roman" w:asciiTheme="minorEastAsia" w:hAnsiTheme="minorEastAsia" w:eastAsiaTheme="minorEastAsia"/>
              <w:szCs w:val="36"/>
            </w:rPr>
            <w:t>一、前言</w:t>
          </w:r>
          <w:r>
            <w:tab/>
          </w:r>
          <w:r>
            <w:fldChar w:fldCharType="begin"/>
          </w:r>
          <w:r>
            <w:instrText xml:space="preserve"> PAGEREF _Toc17536 \h </w:instrText>
          </w:r>
          <w:r>
            <w:fldChar w:fldCharType="separate"/>
          </w:r>
          <w:r>
            <w:t>1</w:t>
          </w:r>
          <w:r>
            <w:fldChar w:fldCharType="end"/>
          </w:r>
          <w:r>
            <w:fldChar w:fldCharType="end"/>
          </w:r>
        </w:p>
        <w:p>
          <w:pPr>
            <w:pStyle w:val="24"/>
            <w:tabs>
              <w:tab w:val="right" w:leader="dot" w:pos="8306"/>
            </w:tabs>
          </w:pPr>
          <w:r>
            <w:fldChar w:fldCharType="begin"/>
          </w:r>
          <w:r>
            <w:instrText xml:space="preserve"> HYPERLINK \l _Toc22305 </w:instrText>
          </w:r>
          <w:r>
            <w:fldChar w:fldCharType="separate"/>
          </w:r>
          <w:r>
            <w:rPr>
              <w:rFonts w:ascii="Times New Roman" w:hAnsi="Times New Roman"/>
              <w:szCs w:val="30"/>
            </w:rPr>
            <w:t>1、</w:t>
          </w:r>
          <w:r>
            <w:rPr>
              <w:rFonts w:hint="eastAsia" w:ascii="Times New Roman" w:hAnsi="Times New Roman"/>
              <w:szCs w:val="30"/>
            </w:rPr>
            <w:t>清洁生产的背景和目的</w:t>
          </w:r>
          <w:r>
            <w:tab/>
          </w:r>
          <w:r>
            <w:fldChar w:fldCharType="begin"/>
          </w:r>
          <w:r>
            <w:instrText xml:space="preserve"> PAGEREF _Toc22305 \h </w:instrText>
          </w:r>
          <w:r>
            <w:fldChar w:fldCharType="separate"/>
          </w:r>
          <w:r>
            <w:t>1</w:t>
          </w:r>
          <w:r>
            <w:fldChar w:fldCharType="end"/>
          </w:r>
          <w:r>
            <w:fldChar w:fldCharType="end"/>
          </w:r>
        </w:p>
        <w:p>
          <w:pPr>
            <w:pStyle w:val="24"/>
            <w:tabs>
              <w:tab w:val="right" w:leader="dot" w:pos="8306"/>
            </w:tabs>
          </w:pPr>
          <w:r>
            <w:fldChar w:fldCharType="begin"/>
          </w:r>
          <w:r>
            <w:instrText xml:space="preserve"> HYPERLINK \l _Toc13807 </w:instrText>
          </w:r>
          <w:r>
            <w:fldChar w:fldCharType="separate"/>
          </w:r>
          <w:r>
            <w:rPr>
              <w:rFonts w:ascii="Times New Roman" w:hAnsi="Times New Roman"/>
              <w:szCs w:val="30"/>
            </w:rPr>
            <w:t>2、清洁生产审核</w:t>
          </w:r>
          <w:r>
            <w:rPr>
              <w:rFonts w:hint="eastAsia" w:ascii="Times New Roman" w:hAnsi="Times New Roman"/>
              <w:szCs w:val="30"/>
            </w:rPr>
            <w:t>工作要求</w:t>
          </w:r>
          <w:r>
            <w:tab/>
          </w:r>
          <w:r>
            <w:fldChar w:fldCharType="begin"/>
          </w:r>
          <w:r>
            <w:instrText xml:space="preserve"> PAGEREF _Toc13807 \h </w:instrText>
          </w:r>
          <w:r>
            <w:fldChar w:fldCharType="separate"/>
          </w:r>
          <w:r>
            <w:t>1</w:t>
          </w:r>
          <w:r>
            <w:fldChar w:fldCharType="end"/>
          </w:r>
          <w:r>
            <w:fldChar w:fldCharType="end"/>
          </w:r>
        </w:p>
        <w:p>
          <w:pPr>
            <w:pStyle w:val="24"/>
            <w:tabs>
              <w:tab w:val="right" w:leader="dot" w:pos="8306"/>
            </w:tabs>
          </w:pPr>
          <w:r>
            <w:fldChar w:fldCharType="begin"/>
          </w:r>
          <w:r>
            <w:instrText xml:space="preserve"> HYPERLINK \l _Toc22242 </w:instrText>
          </w:r>
          <w:r>
            <w:fldChar w:fldCharType="separate"/>
          </w:r>
          <w:r>
            <w:rPr>
              <w:rFonts w:ascii="Times New Roman" w:hAnsi="Times New Roman"/>
              <w:szCs w:val="30"/>
            </w:rPr>
            <w:t>3、企业简况及审核范围及时限划分</w:t>
          </w:r>
          <w:r>
            <w:tab/>
          </w:r>
          <w:r>
            <w:fldChar w:fldCharType="begin"/>
          </w:r>
          <w:r>
            <w:instrText xml:space="preserve"> PAGEREF _Toc22242 \h </w:instrText>
          </w:r>
          <w:r>
            <w:fldChar w:fldCharType="separate"/>
          </w:r>
          <w:r>
            <w:t>2</w:t>
          </w:r>
          <w:r>
            <w:fldChar w:fldCharType="end"/>
          </w:r>
          <w:r>
            <w:fldChar w:fldCharType="end"/>
          </w:r>
        </w:p>
        <w:p>
          <w:pPr>
            <w:pStyle w:val="24"/>
            <w:tabs>
              <w:tab w:val="right" w:leader="dot" w:pos="8306"/>
            </w:tabs>
          </w:pPr>
          <w:r>
            <w:fldChar w:fldCharType="begin"/>
          </w:r>
          <w:r>
            <w:instrText xml:space="preserve"> HYPERLINK \l _Toc30631 </w:instrText>
          </w:r>
          <w:r>
            <w:fldChar w:fldCharType="separate"/>
          </w:r>
          <w:r>
            <w:rPr>
              <w:rFonts w:hint="eastAsia" w:ascii="Times New Roman" w:hAnsi="Times New Roman"/>
              <w:szCs w:val="30"/>
            </w:rPr>
            <w:t>4、企业存在的主要环境问题</w:t>
          </w:r>
          <w:r>
            <w:tab/>
          </w:r>
          <w:r>
            <w:fldChar w:fldCharType="begin"/>
          </w:r>
          <w:r>
            <w:instrText xml:space="preserve"> PAGEREF _Toc30631 \h </w:instrText>
          </w:r>
          <w:r>
            <w:fldChar w:fldCharType="separate"/>
          </w:r>
          <w:r>
            <w:t>3</w:t>
          </w:r>
          <w:r>
            <w:fldChar w:fldCharType="end"/>
          </w:r>
          <w:r>
            <w:fldChar w:fldCharType="end"/>
          </w:r>
        </w:p>
        <w:p>
          <w:pPr>
            <w:pStyle w:val="24"/>
            <w:tabs>
              <w:tab w:val="right" w:leader="dot" w:pos="8306"/>
            </w:tabs>
          </w:pPr>
          <w:r>
            <w:fldChar w:fldCharType="begin"/>
          </w:r>
          <w:r>
            <w:instrText xml:space="preserve"> HYPERLINK \l _Toc5995 </w:instrText>
          </w:r>
          <w:r>
            <w:fldChar w:fldCharType="separate"/>
          </w:r>
          <w:r>
            <w:rPr>
              <w:rFonts w:hint="eastAsia" w:ascii="Times New Roman" w:hAnsi="Times New Roman"/>
              <w:szCs w:val="30"/>
            </w:rPr>
            <w:t>5</w:t>
          </w:r>
          <w:r>
            <w:rPr>
              <w:rFonts w:ascii="Times New Roman" w:hAnsi="Times New Roman"/>
              <w:szCs w:val="30"/>
            </w:rPr>
            <w:t>、审核依据</w:t>
          </w:r>
          <w:r>
            <w:tab/>
          </w:r>
          <w:r>
            <w:fldChar w:fldCharType="begin"/>
          </w:r>
          <w:r>
            <w:instrText xml:space="preserve"> PAGEREF _Toc5995 \h </w:instrText>
          </w:r>
          <w:r>
            <w:fldChar w:fldCharType="separate"/>
          </w:r>
          <w:r>
            <w:t>3</w:t>
          </w:r>
          <w:r>
            <w:fldChar w:fldCharType="end"/>
          </w:r>
          <w:r>
            <w:fldChar w:fldCharType="end"/>
          </w:r>
        </w:p>
        <w:p>
          <w:pPr>
            <w:pStyle w:val="21"/>
            <w:tabs>
              <w:tab w:val="right" w:leader="dot" w:pos="8306"/>
            </w:tabs>
          </w:pPr>
          <w:r>
            <w:fldChar w:fldCharType="begin"/>
          </w:r>
          <w:r>
            <w:instrText xml:space="preserve"> HYPERLINK \l _Toc19218 </w:instrText>
          </w:r>
          <w:r>
            <w:fldChar w:fldCharType="separate"/>
          </w:r>
          <w:r>
            <w:rPr>
              <w:rFonts w:hint="eastAsia" w:cs="Times New Roman" w:asciiTheme="minorEastAsia" w:hAnsiTheme="minorEastAsia" w:eastAsiaTheme="minorEastAsia"/>
              <w:szCs w:val="36"/>
            </w:rPr>
            <w:t>二、</w:t>
          </w:r>
          <w:r>
            <w:rPr>
              <w:rFonts w:cs="Times New Roman" w:asciiTheme="minorEastAsia" w:hAnsiTheme="minorEastAsia" w:eastAsiaTheme="minorEastAsia"/>
              <w:szCs w:val="36"/>
            </w:rPr>
            <w:t>审核准备</w:t>
          </w:r>
          <w:r>
            <w:tab/>
          </w:r>
          <w:r>
            <w:fldChar w:fldCharType="begin"/>
          </w:r>
          <w:r>
            <w:instrText xml:space="preserve"> PAGEREF _Toc19218 \h </w:instrText>
          </w:r>
          <w:r>
            <w:fldChar w:fldCharType="separate"/>
          </w:r>
          <w:r>
            <w:t>6</w:t>
          </w:r>
          <w:r>
            <w:fldChar w:fldCharType="end"/>
          </w:r>
          <w:r>
            <w:fldChar w:fldCharType="end"/>
          </w:r>
        </w:p>
        <w:p>
          <w:pPr>
            <w:pStyle w:val="24"/>
            <w:tabs>
              <w:tab w:val="right" w:leader="dot" w:pos="8306"/>
            </w:tabs>
          </w:pPr>
          <w:r>
            <w:fldChar w:fldCharType="begin"/>
          </w:r>
          <w:r>
            <w:instrText xml:space="preserve"> HYPERLINK \l _Toc27576 </w:instrText>
          </w:r>
          <w:r>
            <w:fldChar w:fldCharType="separate"/>
          </w:r>
          <w:r>
            <w:rPr>
              <w:rFonts w:ascii="Times New Roman" w:hAnsi="Times New Roman"/>
              <w:szCs w:val="30"/>
            </w:rPr>
            <w:t>2.1取得领导支持</w:t>
          </w:r>
          <w:r>
            <w:tab/>
          </w:r>
          <w:r>
            <w:fldChar w:fldCharType="begin"/>
          </w:r>
          <w:r>
            <w:instrText xml:space="preserve"> PAGEREF _Toc27576 \h </w:instrText>
          </w:r>
          <w:r>
            <w:fldChar w:fldCharType="separate"/>
          </w:r>
          <w:r>
            <w:t>6</w:t>
          </w:r>
          <w:r>
            <w:fldChar w:fldCharType="end"/>
          </w:r>
          <w:r>
            <w:fldChar w:fldCharType="end"/>
          </w:r>
        </w:p>
        <w:p>
          <w:pPr>
            <w:pStyle w:val="24"/>
            <w:tabs>
              <w:tab w:val="right" w:leader="dot" w:pos="8306"/>
            </w:tabs>
          </w:pPr>
          <w:r>
            <w:fldChar w:fldCharType="begin"/>
          </w:r>
          <w:r>
            <w:instrText xml:space="preserve"> HYPERLINK \l _Toc14763 </w:instrText>
          </w:r>
          <w:r>
            <w:fldChar w:fldCharType="separate"/>
          </w:r>
          <w:r>
            <w:rPr>
              <w:rFonts w:ascii="Times New Roman" w:hAnsi="Times New Roman"/>
              <w:szCs w:val="30"/>
            </w:rPr>
            <w:t>2.2组建清洁生产审核小组</w:t>
          </w:r>
          <w:r>
            <w:tab/>
          </w:r>
          <w:r>
            <w:fldChar w:fldCharType="begin"/>
          </w:r>
          <w:r>
            <w:instrText xml:space="preserve"> PAGEREF _Toc14763 \h </w:instrText>
          </w:r>
          <w:r>
            <w:fldChar w:fldCharType="separate"/>
          </w:r>
          <w:r>
            <w:t>6</w:t>
          </w:r>
          <w:r>
            <w:fldChar w:fldCharType="end"/>
          </w:r>
          <w:r>
            <w:fldChar w:fldCharType="end"/>
          </w:r>
        </w:p>
        <w:p>
          <w:pPr>
            <w:pStyle w:val="24"/>
            <w:tabs>
              <w:tab w:val="right" w:leader="dot" w:pos="8306"/>
            </w:tabs>
          </w:pPr>
          <w:r>
            <w:fldChar w:fldCharType="begin"/>
          </w:r>
          <w:r>
            <w:instrText xml:space="preserve"> HYPERLINK \l _Toc22545 </w:instrText>
          </w:r>
          <w:r>
            <w:fldChar w:fldCharType="separate"/>
          </w:r>
          <w:r>
            <w:rPr>
              <w:rFonts w:hint="eastAsia" w:ascii="Times New Roman" w:hAnsi="Times New Roman"/>
              <w:szCs w:val="30"/>
            </w:rPr>
            <w:t>2.3</w:t>
          </w:r>
          <w:r>
            <w:rPr>
              <w:rFonts w:hint="eastAsia" w:ascii="Times New Roman"/>
              <w:szCs w:val="30"/>
            </w:rPr>
            <w:t>制定</w:t>
          </w:r>
          <w:r>
            <w:rPr>
              <w:rFonts w:ascii="Times New Roman"/>
              <w:szCs w:val="30"/>
            </w:rPr>
            <w:t>工作计划</w:t>
          </w:r>
          <w:r>
            <w:tab/>
          </w:r>
          <w:r>
            <w:fldChar w:fldCharType="begin"/>
          </w:r>
          <w:r>
            <w:instrText xml:space="preserve"> PAGEREF _Toc22545 \h </w:instrText>
          </w:r>
          <w:r>
            <w:fldChar w:fldCharType="separate"/>
          </w:r>
          <w:r>
            <w:t>7</w:t>
          </w:r>
          <w:r>
            <w:fldChar w:fldCharType="end"/>
          </w:r>
          <w:r>
            <w:fldChar w:fldCharType="end"/>
          </w:r>
        </w:p>
        <w:p>
          <w:pPr>
            <w:pStyle w:val="24"/>
            <w:tabs>
              <w:tab w:val="right" w:leader="dot" w:pos="8306"/>
            </w:tabs>
          </w:pPr>
          <w:r>
            <w:fldChar w:fldCharType="begin"/>
          </w:r>
          <w:r>
            <w:instrText xml:space="preserve"> HYPERLINK \l _Toc23631 </w:instrText>
          </w:r>
          <w:r>
            <w:fldChar w:fldCharType="separate"/>
          </w:r>
          <w:r>
            <w:rPr>
              <w:rFonts w:hint="eastAsia" w:ascii="Times New Roman" w:hAnsi="Times New Roman"/>
              <w:szCs w:val="30"/>
            </w:rPr>
            <w:t>2.4开展</w:t>
          </w:r>
          <w:r>
            <w:rPr>
              <w:rFonts w:ascii="Times New Roman"/>
              <w:szCs w:val="30"/>
            </w:rPr>
            <w:t>宣传和培训</w:t>
          </w:r>
          <w:r>
            <w:tab/>
          </w:r>
          <w:r>
            <w:fldChar w:fldCharType="begin"/>
          </w:r>
          <w:r>
            <w:instrText xml:space="preserve"> PAGEREF _Toc23631 \h </w:instrText>
          </w:r>
          <w:r>
            <w:fldChar w:fldCharType="separate"/>
          </w:r>
          <w:r>
            <w:t>8</w:t>
          </w:r>
          <w:r>
            <w:fldChar w:fldCharType="end"/>
          </w:r>
          <w:r>
            <w:fldChar w:fldCharType="end"/>
          </w:r>
        </w:p>
        <w:p>
          <w:pPr>
            <w:pStyle w:val="24"/>
            <w:tabs>
              <w:tab w:val="right" w:leader="dot" w:pos="8306"/>
            </w:tabs>
          </w:pPr>
          <w:r>
            <w:fldChar w:fldCharType="begin"/>
          </w:r>
          <w:r>
            <w:instrText xml:space="preserve"> HYPERLINK \l _Toc2230 </w:instrText>
          </w:r>
          <w:r>
            <w:fldChar w:fldCharType="separate"/>
          </w:r>
          <w:r>
            <w:rPr>
              <w:rFonts w:ascii="Times New Roman" w:hAnsi="Times New Roman"/>
              <w:szCs w:val="30"/>
            </w:rPr>
            <w:t>2.</w:t>
          </w:r>
          <w:r>
            <w:rPr>
              <w:rFonts w:hint="eastAsia" w:ascii="Times New Roman" w:hAnsi="Times New Roman"/>
              <w:szCs w:val="30"/>
            </w:rPr>
            <w:t>5建立清洁生产的激励机制</w:t>
          </w:r>
          <w:r>
            <w:tab/>
          </w:r>
          <w:r>
            <w:fldChar w:fldCharType="begin"/>
          </w:r>
          <w:r>
            <w:instrText xml:space="preserve"> PAGEREF _Toc2230 \h </w:instrText>
          </w:r>
          <w:r>
            <w:fldChar w:fldCharType="separate"/>
          </w:r>
          <w:r>
            <w:t>11</w:t>
          </w:r>
          <w:r>
            <w:fldChar w:fldCharType="end"/>
          </w:r>
          <w:r>
            <w:fldChar w:fldCharType="end"/>
          </w:r>
        </w:p>
        <w:p>
          <w:pPr>
            <w:pStyle w:val="21"/>
            <w:tabs>
              <w:tab w:val="right" w:leader="dot" w:pos="8306"/>
            </w:tabs>
          </w:pPr>
          <w:r>
            <w:fldChar w:fldCharType="begin"/>
          </w:r>
          <w:r>
            <w:instrText xml:space="preserve"> HYPERLINK \l _Toc4554 </w:instrText>
          </w:r>
          <w:r>
            <w:fldChar w:fldCharType="separate"/>
          </w:r>
          <w:r>
            <w:rPr>
              <w:rFonts w:hint="eastAsia" w:cs="Times New Roman" w:asciiTheme="minorEastAsia" w:hAnsiTheme="minorEastAsia" w:eastAsiaTheme="minorEastAsia"/>
              <w:szCs w:val="36"/>
            </w:rPr>
            <w:t>三、</w:t>
          </w:r>
          <w:r>
            <w:rPr>
              <w:rFonts w:cs="Times New Roman" w:asciiTheme="minorEastAsia" w:hAnsiTheme="minorEastAsia" w:eastAsiaTheme="minorEastAsia"/>
              <w:szCs w:val="36"/>
            </w:rPr>
            <w:t>预审核</w:t>
          </w:r>
          <w:r>
            <w:tab/>
          </w:r>
          <w:r>
            <w:fldChar w:fldCharType="begin"/>
          </w:r>
          <w:r>
            <w:instrText xml:space="preserve"> PAGEREF _Toc4554 \h </w:instrText>
          </w:r>
          <w:r>
            <w:fldChar w:fldCharType="separate"/>
          </w:r>
          <w:r>
            <w:t>12</w:t>
          </w:r>
          <w:r>
            <w:fldChar w:fldCharType="end"/>
          </w:r>
          <w:r>
            <w:fldChar w:fldCharType="end"/>
          </w:r>
        </w:p>
        <w:p>
          <w:pPr>
            <w:pStyle w:val="24"/>
            <w:tabs>
              <w:tab w:val="right" w:leader="dot" w:pos="8306"/>
            </w:tabs>
          </w:pPr>
          <w:r>
            <w:fldChar w:fldCharType="begin"/>
          </w:r>
          <w:r>
            <w:instrText xml:space="preserve"> HYPERLINK \l _Toc24230 </w:instrText>
          </w:r>
          <w:r>
            <w:fldChar w:fldCharType="separate"/>
          </w:r>
          <w:r>
            <w:rPr>
              <w:rFonts w:hint="eastAsia" w:ascii="Times New Roman" w:hAnsi="Times New Roman"/>
              <w:szCs w:val="30"/>
            </w:rPr>
            <w:t>3</w:t>
          </w:r>
          <w:r>
            <w:rPr>
              <w:rFonts w:ascii="Times New Roman" w:hAnsi="Times New Roman"/>
              <w:szCs w:val="30"/>
            </w:rPr>
            <w:t>.1企业概况</w:t>
          </w:r>
          <w:r>
            <w:tab/>
          </w:r>
          <w:r>
            <w:fldChar w:fldCharType="begin"/>
          </w:r>
          <w:r>
            <w:instrText xml:space="preserve"> PAGEREF _Toc24230 \h </w:instrText>
          </w:r>
          <w:r>
            <w:fldChar w:fldCharType="separate"/>
          </w:r>
          <w:r>
            <w:t>12</w:t>
          </w:r>
          <w:r>
            <w:fldChar w:fldCharType="end"/>
          </w:r>
          <w:r>
            <w:fldChar w:fldCharType="end"/>
          </w:r>
        </w:p>
        <w:p>
          <w:pPr>
            <w:pStyle w:val="15"/>
            <w:tabs>
              <w:tab w:val="right" w:leader="dot" w:pos="8306"/>
            </w:tabs>
          </w:pPr>
          <w:r>
            <w:fldChar w:fldCharType="begin"/>
          </w:r>
          <w:r>
            <w:instrText xml:space="preserve"> HYPERLINK \l _Toc18171 </w:instrText>
          </w:r>
          <w:r>
            <w:fldChar w:fldCharType="separate"/>
          </w:r>
          <w:r>
            <w:rPr>
              <w:rFonts w:hint="eastAsia" w:ascii="Times New Roman" w:hAnsi="Times New Roman" w:eastAsia="宋体"/>
              <w:szCs w:val="28"/>
            </w:rPr>
            <w:t>3</w:t>
          </w:r>
          <w:r>
            <w:rPr>
              <w:rFonts w:ascii="Times New Roman" w:hAnsi="Times New Roman" w:eastAsia="宋体"/>
              <w:szCs w:val="28"/>
            </w:rPr>
            <w:t>.1.1</w:t>
          </w:r>
          <w:r>
            <w:rPr>
              <w:rFonts w:ascii="Times New Roman" w:hAnsi="宋体" w:eastAsia="宋体"/>
              <w:szCs w:val="28"/>
            </w:rPr>
            <w:t>企业</w:t>
          </w:r>
          <w:r>
            <w:rPr>
              <w:rFonts w:hint="eastAsia" w:ascii="Times New Roman" w:hAnsi="宋体" w:eastAsia="宋体"/>
              <w:szCs w:val="28"/>
            </w:rPr>
            <w:t>的基本情况</w:t>
          </w:r>
          <w:r>
            <w:tab/>
          </w:r>
          <w:r>
            <w:fldChar w:fldCharType="begin"/>
          </w:r>
          <w:r>
            <w:instrText xml:space="preserve"> PAGEREF _Toc18171 \h </w:instrText>
          </w:r>
          <w:r>
            <w:fldChar w:fldCharType="separate"/>
          </w:r>
          <w:r>
            <w:t>12</w:t>
          </w:r>
          <w:r>
            <w:fldChar w:fldCharType="end"/>
          </w:r>
          <w:r>
            <w:fldChar w:fldCharType="end"/>
          </w:r>
        </w:p>
        <w:p>
          <w:pPr>
            <w:pStyle w:val="15"/>
            <w:tabs>
              <w:tab w:val="right" w:leader="dot" w:pos="8306"/>
            </w:tabs>
          </w:pPr>
          <w:r>
            <w:fldChar w:fldCharType="begin"/>
          </w:r>
          <w:r>
            <w:instrText xml:space="preserve"> HYPERLINK \l _Toc19379 </w:instrText>
          </w:r>
          <w:r>
            <w:fldChar w:fldCharType="separate"/>
          </w:r>
          <w:r>
            <w:rPr>
              <w:rFonts w:hint="eastAsia" w:ascii="Times New Roman" w:hAnsi="Times New Roman" w:eastAsia="宋体" w:cs="Courier New"/>
              <w:szCs w:val="30"/>
            </w:rPr>
            <w:t>3</w:t>
          </w:r>
          <w:r>
            <w:rPr>
              <w:rFonts w:ascii="Times New Roman" w:hAnsi="Times New Roman" w:eastAsia="宋体" w:cs="Courier New"/>
              <w:szCs w:val="30"/>
            </w:rPr>
            <w:t>.</w:t>
          </w:r>
          <w:r>
            <w:rPr>
              <w:rFonts w:hint="eastAsia" w:ascii="Times New Roman" w:hAnsi="Times New Roman" w:eastAsia="宋体" w:cs="Courier New"/>
              <w:szCs w:val="30"/>
            </w:rPr>
            <w:t>1.2企业生产现状</w:t>
          </w:r>
          <w:r>
            <w:tab/>
          </w:r>
          <w:r>
            <w:fldChar w:fldCharType="begin"/>
          </w:r>
          <w:r>
            <w:instrText xml:space="preserve"> PAGEREF _Toc19379 \h </w:instrText>
          </w:r>
          <w:r>
            <w:fldChar w:fldCharType="separate"/>
          </w:r>
          <w:r>
            <w:t>17</w:t>
          </w:r>
          <w:r>
            <w:fldChar w:fldCharType="end"/>
          </w:r>
          <w:r>
            <w:fldChar w:fldCharType="end"/>
          </w:r>
        </w:p>
        <w:p>
          <w:pPr>
            <w:pStyle w:val="15"/>
            <w:tabs>
              <w:tab w:val="right" w:leader="dot" w:pos="8306"/>
            </w:tabs>
          </w:pPr>
          <w:r>
            <w:fldChar w:fldCharType="begin"/>
          </w:r>
          <w:r>
            <w:instrText xml:space="preserve"> HYPERLINK \l _Toc17681 </w:instrText>
          </w:r>
          <w:r>
            <w:fldChar w:fldCharType="separate"/>
          </w:r>
          <w:r>
            <w:rPr>
              <w:rFonts w:hint="eastAsia" w:ascii="Times New Roman" w:hAnsi="Times New Roman" w:eastAsia="宋体" w:cs="Courier New"/>
              <w:szCs w:val="30"/>
            </w:rPr>
            <w:t>3</w:t>
          </w:r>
          <w:r>
            <w:rPr>
              <w:rFonts w:ascii="Times New Roman" w:hAnsi="Times New Roman" w:eastAsia="宋体" w:cs="Courier New"/>
              <w:szCs w:val="30"/>
            </w:rPr>
            <w:t>.</w:t>
          </w:r>
          <w:r>
            <w:rPr>
              <w:rFonts w:hint="eastAsia" w:ascii="Times New Roman" w:hAnsi="Times New Roman" w:eastAsia="宋体" w:cs="Courier New"/>
              <w:szCs w:val="30"/>
            </w:rPr>
            <w:t>1.3原辅材料、水、能源消耗</w:t>
          </w:r>
          <w:r>
            <w:tab/>
          </w:r>
          <w:r>
            <w:fldChar w:fldCharType="begin"/>
          </w:r>
          <w:r>
            <w:instrText xml:space="preserve"> PAGEREF _Toc17681 \h </w:instrText>
          </w:r>
          <w:r>
            <w:fldChar w:fldCharType="separate"/>
          </w:r>
          <w:r>
            <w:t>18</w:t>
          </w:r>
          <w:r>
            <w:fldChar w:fldCharType="end"/>
          </w:r>
          <w:r>
            <w:fldChar w:fldCharType="end"/>
          </w:r>
        </w:p>
        <w:p>
          <w:pPr>
            <w:pStyle w:val="15"/>
            <w:tabs>
              <w:tab w:val="right" w:leader="dot" w:pos="8306"/>
            </w:tabs>
          </w:pPr>
          <w:r>
            <w:fldChar w:fldCharType="begin"/>
          </w:r>
          <w:r>
            <w:instrText xml:space="preserve"> HYPERLINK \l _Toc16468 </w:instrText>
          </w:r>
          <w:r>
            <w:fldChar w:fldCharType="separate"/>
          </w:r>
          <w:r>
            <w:rPr>
              <w:rFonts w:hint="eastAsia" w:ascii="Times New Roman" w:hAnsi="Times New Roman" w:eastAsia="宋体" w:cs="Courier New"/>
              <w:szCs w:val="30"/>
            </w:rPr>
            <w:t>3.1.4生产设备及运行情况</w:t>
          </w:r>
          <w:r>
            <w:tab/>
          </w:r>
          <w:r>
            <w:fldChar w:fldCharType="begin"/>
          </w:r>
          <w:r>
            <w:instrText xml:space="preserve"> PAGEREF _Toc16468 \h </w:instrText>
          </w:r>
          <w:r>
            <w:fldChar w:fldCharType="separate"/>
          </w:r>
          <w:r>
            <w:t>21</w:t>
          </w:r>
          <w:r>
            <w:fldChar w:fldCharType="end"/>
          </w:r>
          <w:r>
            <w:fldChar w:fldCharType="end"/>
          </w:r>
        </w:p>
        <w:p>
          <w:pPr>
            <w:pStyle w:val="24"/>
            <w:tabs>
              <w:tab w:val="right" w:leader="dot" w:pos="8306"/>
            </w:tabs>
          </w:pPr>
          <w:r>
            <w:fldChar w:fldCharType="begin"/>
          </w:r>
          <w:r>
            <w:instrText xml:space="preserve"> HYPERLINK \l _Toc24232 </w:instrText>
          </w:r>
          <w:r>
            <w:fldChar w:fldCharType="separate"/>
          </w:r>
          <w:r>
            <w:rPr>
              <w:rFonts w:hint="eastAsia" w:ascii="Times New Roman" w:hAnsi="Times New Roman"/>
              <w:szCs w:val="30"/>
            </w:rPr>
            <w:t>3.2企业环境保护状况</w:t>
          </w:r>
          <w:r>
            <w:tab/>
          </w:r>
          <w:r>
            <w:fldChar w:fldCharType="begin"/>
          </w:r>
          <w:r>
            <w:instrText xml:space="preserve"> PAGEREF _Toc24232 \h </w:instrText>
          </w:r>
          <w:r>
            <w:fldChar w:fldCharType="separate"/>
          </w:r>
          <w:r>
            <w:t>22</w:t>
          </w:r>
          <w:r>
            <w:fldChar w:fldCharType="end"/>
          </w:r>
          <w:r>
            <w:fldChar w:fldCharType="end"/>
          </w:r>
        </w:p>
        <w:p>
          <w:pPr>
            <w:pStyle w:val="15"/>
            <w:tabs>
              <w:tab w:val="right" w:leader="dot" w:pos="8306"/>
            </w:tabs>
          </w:pPr>
          <w:r>
            <w:fldChar w:fldCharType="begin"/>
          </w:r>
          <w:r>
            <w:instrText xml:space="preserve"> HYPERLINK \l _Toc16581 </w:instrText>
          </w:r>
          <w:r>
            <w:fldChar w:fldCharType="separate"/>
          </w:r>
          <w:r>
            <w:rPr>
              <w:rFonts w:hint="eastAsia" w:ascii="Times New Roman" w:hAnsi="Times New Roman" w:eastAsia="宋体" w:cs="Courier New"/>
              <w:szCs w:val="30"/>
            </w:rPr>
            <w:t>3.2.1环境管理情况</w:t>
          </w:r>
          <w:r>
            <w:tab/>
          </w:r>
          <w:r>
            <w:fldChar w:fldCharType="begin"/>
          </w:r>
          <w:r>
            <w:instrText xml:space="preserve"> PAGEREF _Toc16581 \h </w:instrText>
          </w:r>
          <w:r>
            <w:fldChar w:fldCharType="separate"/>
          </w:r>
          <w:r>
            <w:t>22</w:t>
          </w:r>
          <w:r>
            <w:fldChar w:fldCharType="end"/>
          </w:r>
          <w:r>
            <w:fldChar w:fldCharType="end"/>
          </w:r>
        </w:p>
        <w:p>
          <w:pPr>
            <w:pStyle w:val="15"/>
            <w:tabs>
              <w:tab w:val="right" w:leader="dot" w:pos="8306"/>
            </w:tabs>
          </w:pPr>
          <w:r>
            <w:fldChar w:fldCharType="begin"/>
          </w:r>
          <w:r>
            <w:instrText xml:space="preserve"> HYPERLINK \l _Toc23247 </w:instrText>
          </w:r>
          <w:r>
            <w:fldChar w:fldCharType="separate"/>
          </w:r>
          <w:r>
            <w:rPr>
              <w:rFonts w:hint="eastAsia" w:ascii="Times New Roman" w:hAnsi="Times New Roman" w:eastAsia="宋体" w:cs="Courier New"/>
              <w:szCs w:val="30"/>
            </w:rPr>
            <w:t>3.2.2排污状况</w:t>
          </w:r>
          <w:r>
            <w:tab/>
          </w:r>
          <w:r>
            <w:fldChar w:fldCharType="begin"/>
          </w:r>
          <w:r>
            <w:instrText xml:space="preserve"> PAGEREF _Toc23247 \h </w:instrText>
          </w:r>
          <w:r>
            <w:fldChar w:fldCharType="separate"/>
          </w:r>
          <w:r>
            <w:t>22</w:t>
          </w:r>
          <w:r>
            <w:fldChar w:fldCharType="end"/>
          </w:r>
          <w:r>
            <w:fldChar w:fldCharType="end"/>
          </w:r>
        </w:p>
        <w:p>
          <w:pPr>
            <w:pStyle w:val="15"/>
            <w:tabs>
              <w:tab w:val="right" w:leader="dot" w:pos="8306"/>
            </w:tabs>
          </w:pPr>
          <w:r>
            <w:fldChar w:fldCharType="begin"/>
          </w:r>
          <w:r>
            <w:instrText xml:space="preserve"> HYPERLINK \l _Toc9342 </w:instrText>
          </w:r>
          <w:r>
            <w:fldChar w:fldCharType="separate"/>
          </w:r>
          <w:r>
            <w:rPr>
              <w:rFonts w:hint="eastAsia" w:ascii="Times New Roman" w:hAnsi="Times New Roman" w:eastAsia="宋体" w:cs="Courier New"/>
              <w:szCs w:val="30"/>
            </w:rPr>
            <w:t>3.2.3环境保护情况</w:t>
          </w:r>
          <w:r>
            <w:tab/>
          </w:r>
          <w:r>
            <w:fldChar w:fldCharType="begin"/>
          </w:r>
          <w:r>
            <w:instrText xml:space="preserve"> PAGEREF _Toc9342 \h </w:instrText>
          </w:r>
          <w:r>
            <w:fldChar w:fldCharType="separate"/>
          </w:r>
          <w:r>
            <w:t>27</w:t>
          </w:r>
          <w:r>
            <w:fldChar w:fldCharType="end"/>
          </w:r>
          <w:r>
            <w:fldChar w:fldCharType="end"/>
          </w:r>
        </w:p>
        <w:p>
          <w:pPr>
            <w:pStyle w:val="24"/>
            <w:tabs>
              <w:tab w:val="right" w:leader="dot" w:pos="8306"/>
            </w:tabs>
          </w:pPr>
          <w:r>
            <w:fldChar w:fldCharType="begin"/>
          </w:r>
          <w:r>
            <w:instrText xml:space="preserve"> HYPERLINK \l _Toc13630 </w:instrText>
          </w:r>
          <w:r>
            <w:fldChar w:fldCharType="separate"/>
          </w:r>
          <w:r>
            <w:rPr>
              <w:rFonts w:hint="eastAsia" w:ascii="Times New Roman" w:hAnsi="Times New Roman"/>
              <w:szCs w:val="30"/>
            </w:rPr>
            <w:t>3.3企业的管理状况</w:t>
          </w:r>
          <w:r>
            <w:tab/>
          </w:r>
          <w:r>
            <w:fldChar w:fldCharType="begin"/>
          </w:r>
          <w:r>
            <w:instrText xml:space="preserve"> PAGEREF _Toc13630 \h </w:instrText>
          </w:r>
          <w:r>
            <w:fldChar w:fldCharType="separate"/>
          </w:r>
          <w:r>
            <w:t>28</w:t>
          </w:r>
          <w:r>
            <w:fldChar w:fldCharType="end"/>
          </w:r>
          <w:r>
            <w:fldChar w:fldCharType="end"/>
          </w:r>
        </w:p>
        <w:p>
          <w:pPr>
            <w:pStyle w:val="24"/>
            <w:tabs>
              <w:tab w:val="right" w:leader="dot" w:pos="8306"/>
            </w:tabs>
          </w:pPr>
          <w:r>
            <w:fldChar w:fldCharType="begin"/>
          </w:r>
          <w:r>
            <w:instrText xml:space="preserve"> HYPERLINK \l _Toc23045 </w:instrText>
          </w:r>
          <w:r>
            <w:fldChar w:fldCharType="separate"/>
          </w:r>
          <w:r>
            <w:rPr>
              <w:rFonts w:hint="eastAsia" w:ascii="Times New Roman" w:hAnsi="Times New Roman"/>
              <w:szCs w:val="30"/>
            </w:rPr>
            <w:t>3.4清洁生产水平评估（审核前）</w:t>
          </w:r>
          <w:r>
            <w:tab/>
          </w:r>
          <w:r>
            <w:fldChar w:fldCharType="begin"/>
          </w:r>
          <w:r>
            <w:instrText xml:space="preserve"> PAGEREF _Toc23045 \h </w:instrText>
          </w:r>
          <w:r>
            <w:fldChar w:fldCharType="separate"/>
          </w:r>
          <w:r>
            <w:t>29</w:t>
          </w:r>
          <w:r>
            <w:fldChar w:fldCharType="end"/>
          </w:r>
          <w:r>
            <w:fldChar w:fldCharType="end"/>
          </w:r>
        </w:p>
        <w:p>
          <w:pPr>
            <w:pStyle w:val="15"/>
            <w:tabs>
              <w:tab w:val="right" w:leader="dot" w:pos="8306"/>
            </w:tabs>
          </w:pPr>
          <w:r>
            <w:fldChar w:fldCharType="begin"/>
          </w:r>
          <w:r>
            <w:instrText xml:space="preserve"> HYPERLINK \l _Toc17737 </w:instrText>
          </w:r>
          <w:r>
            <w:fldChar w:fldCharType="separate"/>
          </w:r>
          <w:r>
            <w:rPr>
              <w:rFonts w:hint="eastAsia" w:ascii="Times New Roman" w:hAnsi="Times New Roman" w:eastAsia="宋体" w:cs="Courier New"/>
              <w:szCs w:val="30"/>
            </w:rPr>
            <w:t>3.4</w:t>
          </w:r>
          <w:r>
            <w:rPr>
              <w:rFonts w:ascii="Times New Roman" w:hAnsi="Times New Roman" w:eastAsia="宋体" w:cs="Courier New"/>
              <w:szCs w:val="30"/>
            </w:rPr>
            <w:t>.1</w:t>
          </w:r>
          <w:r>
            <w:rPr>
              <w:rFonts w:hint="eastAsia" w:ascii="Times New Roman" w:hAnsi="Times New Roman" w:eastAsia="宋体" w:cs="Courier New"/>
              <w:szCs w:val="30"/>
            </w:rPr>
            <w:t>政策符合性分析</w:t>
          </w:r>
          <w:r>
            <w:tab/>
          </w:r>
          <w:r>
            <w:fldChar w:fldCharType="begin"/>
          </w:r>
          <w:r>
            <w:instrText xml:space="preserve"> PAGEREF _Toc17737 \h </w:instrText>
          </w:r>
          <w:r>
            <w:fldChar w:fldCharType="separate"/>
          </w:r>
          <w:r>
            <w:t>29</w:t>
          </w:r>
          <w:r>
            <w:fldChar w:fldCharType="end"/>
          </w:r>
          <w:r>
            <w:fldChar w:fldCharType="end"/>
          </w:r>
        </w:p>
        <w:p>
          <w:pPr>
            <w:pStyle w:val="15"/>
            <w:tabs>
              <w:tab w:val="right" w:leader="dot" w:pos="8306"/>
            </w:tabs>
          </w:pPr>
          <w:r>
            <w:fldChar w:fldCharType="begin"/>
          </w:r>
          <w:r>
            <w:instrText xml:space="preserve"> HYPERLINK \l _Toc6820 </w:instrText>
          </w:r>
          <w:r>
            <w:fldChar w:fldCharType="separate"/>
          </w:r>
          <w:r>
            <w:rPr>
              <w:rFonts w:hint="eastAsia" w:ascii="Times New Roman" w:hAnsi="Times New Roman" w:eastAsia="宋体" w:cs="Courier New"/>
              <w:szCs w:val="30"/>
            </w:rPr>
            <w:t>3.4</w:t>
          </w:r>
          <w:r>
            <w:rPr>
              <w:rFonts w:ascii="Times New Roman" w:hAnsi="Times New Roman" w:eastAsia="宋体" w:cs="Courier New"/>
              <w:szCs w:val="30"/>
            </w:rPr>
            <w:t>.</w:t>
          </w:r>
          <w:r>
            <w:rPr>
              <w:rFonts w:hint="eastAsia" w:ascii="Times New Roman" w:hAnsi="Times New Roman" w:eastAsia="宋体" w:cs="Courier New"/>
              <w:szCs w:val="30"/>
            </w:rPr>
            <w:t>2清洁生产水平评价</w:t>
          </w:r>
          <w:r>
            <w:tab/>
          </w:r>
          <w:r>
            <w:fldChar w:fldCharType="begin"/>
          </w:r>
          <w:r>
            <w:instrText xml:space="preserve"> PAGEREF _Toc6820 \h </w:instrText>
          </w:r>
          <w:r>
            <w:fldChar w:fldCharType="separate"/>
          </w:r>
          <w:r>
            <w:t>29</w:t>
          </w:r>
          <w:r>
            <w:fldChar w:fldCharType="end"/>
          </w:r>
          <w:r>
            <w:fldChar w:fldCharType="end"/>
          </w:r>
        </w:p>
        <w:p>
          <w:pPr>
            <w:pStyle w:val="15"/>
            <w:tabs>
              <w:tab w:val="right" w:leader="dot" w:pos="8306"/>
            </w:tabs>
          </w:pPr>
          <w:r>
            <w:fldChar w:fldCharType="begin"/>
          </w:r>
          <w:r>
            <w:instrText xml:space="preserve"> HYPERLINK \l _Toc10574 </w:instrText>
          </w:r>
          <w:r>
            <w:fldChar w:fldCharType="separate"/>
          </w:r>
          <w:r>
            <w:rPr>
              <w:rFonts w:hint="eastAsia" w:ascii="Times New Roman" w:hAnsi="Times New Roman" w:eastAsia="宋体" w:cs="Courier New"/>
              <w:szCs w:val="30"/>
            </w:rPr>
            <w:t>3.4.3清洁生产潜力分析</w:t>
          </w:r>
          <w:r>
            <w:tab/>
          </w:r>
          <w:r>
            <w:fldChar w:fldCharType="begin"/>
          </w:r>
          <w:r>
            <w:instrText xml:space="preserve"> PAGEREF _Toc10574 \h </w:instrText>
          </w:r>
          <w:r>
            <w:fldChar w:fldCharType="separate"/>
          </w:r>
          <w:r>
            <w:t>34</w:t>
          </w:r>
          <w:r>
            <w:fldChar w:fldCharType="end"/>
          </w:r>
          <w:r>
            <w:fldChar w:fldCharType="end"/>
          </w:r>
        </w:p>
        <w:p>
          <w:pPr>
            <w:pStyle w:val="24"/>
            <w:tabs>
              <w:tab w:val="right" w:leader="dot" w:pos="8306"/>
            </w:tabs>
          </w:pPr>
          <w:r>
            <w:fldChar w:fldCharType="begin"/>
          </w:r>
          <w:r>
            <w:instrText xml:space="preserve"> HYPERLINK \l _Toc5266 </w:instrText>
          </w:r>
          <w:r>
            <w:fldChar w:fldCharType="separate"/>
          </w:r>
          <w:r>
            <w:rPr>
              <w:rFonts w:hint="eastAsia" w:ascii="Times New Roman" w:hAnsi="Times New Roman"/>
              <w:szCs w:val="30"/>
            </w:rPr>
            <w:t>3.5</w:t>
          </w:r>
          <w:r>
            <w:rPr>
              <w:rFonts w:ascii="Times New Roman" w:hAnsi="Times New Roman"/>
              <w:szCs w:val="30"/>
            </w:rPr>
            <w:t>确定审核重点</w:t>
          </w:r>
          <w:r>
            <w:tab/>
          </w:r>
          <w:r>
            <w:fldChar w:fldCharType="begin"/>
          </w:r>
          <w:r>
            <w:instrText xml:space="preserve"> PAGEREF _Toc5266 \h </w:instrText>
          </w:r>
          <w:r>
            <w:fldChar w:fldCharType="separate"/>
          </w:r>
          <w:r>
            <w:t>34</w:t>
          </w:r>
          <w:r>
            <w:fldChar w:fldCharType="end"/>
          </w:r>
          <w:r>
            <w:fldChar w:fldCharType="end"/>
          </w:r>
        </w:p>
        <w:p>
          <w:pPr>
            <w:pStyle w:val="15"/>
            <w:tabs>
              <w:tab w:val="right" w:leader="dot" w:pos="8306"/>
            </w:tabs>
          </w:pPr>
          <w:r>
            <w:fldChar w:fldCharType="begin"/>
          </w:r>
          <w:r>
            <w:instrText xml:space="preserve"> HYPERLINK \l _Toc687 </w:instrText>
          </w:r>
          <w:r>
            <w:fldChar w:fldCharType="separate"/>
          </w:r>
          <w:r>
            <w:rPr>
              <w:rFonts w:hint="eastAsia" w:ascii="Times New Roman" w:hAnsi="Times New Roman" w:eastAsia="宋体" w:cs="Courier New"/>
              <w:szCs w:val="30"/>
            </w:rPr>
            <w:t>3.5.</w:t>
          </w:r>
          <w:r>
            <w:rPr>
              <w:rFonts w:ascii="Times New Roman" w:hAnsi="Times New Roman" w:eastAsia="宋体" w:cs="Courier New"/>
              <w:szCs w:val="30"/>
            </w:rPr>
            <w:t>1原则与依据</w:t>
          </w:r>
          <w:r>
            <w:tab/>
          </w:r>
          <w:r>
            <w:fldChar w:fldCharType="begin"/>
          </w:r>
          <w:r>
            <w:instrText xml:space="preserve"> PAGEREF _Toc687 \h </w:instrText>
          </w:r>
          <w:r>
            <w:fldChar w:fldCharType="separate"/>
          </w:r>
          <w:r>
            <w:t>34</w:t>
          </w:r>
          <w:r>
            <w:fldChar w:fldCharType="end"/>
          </w:r>
          <w:r>
            <w:fldChar w:fldCharType="end"/>
          </w:r>
        </w:p>
        <w:p>
          <w:pPr>
            <w:pStyle w:val="15"/>
            <w:tabs>
              <w:tab w:val="right" w:leader="dot" w:pos="8306"/>
            </w:tabs>
          </w:pPr>
          <w:r>
            <w:fldChar w:fldCharType="begin"/>
          </w:r>
          <w:r>
            <w:instrText xml:space="preserve"> HYPERLINK \l _Toc1927 </w:instrText>
          </w:r>
          <w:r>
            <w:fldChar w:fldCharType="separate"/>
          </w:r>
          <w:r>
            <w:rPr>
              <w:rFonts w:hint="eastAsia" w:ascii="Times New Roman" w:hAnsi="Times New Roman" w:eastAsia="宋体" w:cs="Courier New"/>
              <w:szCs w:val="30"/>
            </w:rPr>
            <w:t>3.5</w:t>
          </w:r>
          <w:r>
            <w:rPr>
              <w:rFonts w:ascii="Times New Roman" w:hAnsi="Times New Roman" w:eastAsia="宋体" w:cs="Courier New"/>
              <w:szCs w:val="30"/>
            </w:rPr>
            <w:t>.</w:t>
          </w:r>
          <w:r>
            <w:rPr>
              <w:rFonts w:hint="eastAsia" w:ascii="Times New Roman" w:hAnsi="Times New Roman" w:eastAsia="宋体" w:cs="Courier New"/>
              <w:szCs w:val="30"/>
            </w:rPr>
            <w:t>2确定</w:t>
          </w:r>
          <w:r>
            <w:rPr>
              <w:rFonts w:ascii="Times New Roman" w:hAnsi="Times New Roman" w:eastAsia="宋体" w:cs="Courier New"/>
              <w:szCs w:val="30"/>
            </w:rPr>
            <w:t>审核重点</w:t>
          </w:r>
          <w:r>
            <w:tab/>
          </w:r>
          <w:r>
            <w:fldChar w:fldCharType="begin"/>
          </w:r>
          <w:r>
            <w:instrText xml:space="preserve"> PAGEREF _Toc1927 \h </w:instrText>
          </w:r>
          <w:r>
            <w:fldChar w:fldCharType="separate"/>
          </w:r>
          <w:r>
            <w:t>34</w:t>
          </w:r>
          <w:r>
            <w:fldChar w:fldCharType="end"/>
          </w:r>
          <w:r>
            <w:fldChar w:fldCharType="end"/>
          </w:r>
        </w:p>
        <w:p>
          <w:pPr>
            <w:pStyle w:val="15"/>
            <w:tabs>
              <w:tab w:val="right" w:leader="dot" w:pos="8306"/>
            </w:tabs>
          </w:pPr>
          <w:r>
            <w:fldChar w:fldCharType="begin"/>
          </w:r>
          <w:r>
            <w:instrText xml:space="preserve"> HYPERLINK \l _Toc11938 </w:instrText>
          </w:r>
          <w:r>
            <w:fldChar w:fldCharType="separate"/>
          </w:r>
          <w:r>
            <w:rPr>
              <w:rFonts w:hint="eastAsia" w:ascii="Times New Roman" w:hAnsi="Times New Roman" w:eastAsia="宋体" w:cs="Courier New"/>
              <w:szCs w:val="30"/>
            </w:rPr>
            <w:t>3.5.3 确定审核重点因素</w:t>
          </w:r>
          <w:r>
            <w:tab/>
          </w:r>
          <w:r>
            <w:fldChar w:fldCharType="begin"/>
          </w:r>
          <w:r>
            <w:instrText xml:space="preserve"> PAGEREF _Toc11938 \h </w:instrText>
          </w:r>
          <w:r>
            <w:fldChar w:fldCharType="separate"/>
          </w:r>
          <w:r>
            <w:t>35</w:t>
          </w:r>
          <w:r>
            <w:fldChar w:fldCharType="end"/>
          </w:r>
          <w:r>
            <w:fldChar w:fldCharType="end"/>
          </w:r>
        </w:p>
        <w:p>
          <w:pPr>
            <w:pStyle w:val="15"/>
            <w:tabs>
              <w:tab w:val="right" w:leader="dot" w:pos="8306"/>
            </w:tabs>
          </w:pPr>
          <w:r>
            <w:fldChar w:fldCharType="begin"/>
          </w:r>
          <w:r>
            <w:instrText xml:space="preserve"> HYPERLINK \l _Toc28377 </w:instrText>
          </w:r>
          <w:r>
            <w:fldChar w:fldCharType="separate"/>
          </w:r>
          <w:r>
            <w:rPr>
              <w:rFonts w:hint="eastAsia" w:ascii="Times New Roman" w:hAnsi="Times New Roman" w:eastAsia="宋体" w:cs="Courier New"/>
              <w:szCs w:val="30"/>
            </w:rPr>
            <w:t>3.5.4 权重因素表征</w:t>
          </w:r>
          <w:r>
            <w:tab/>
          </w:r>
          <w:r>
            <w:fldChar w:fldCharType="begin"/>
          </w:r>
          <w:r>
            <w:instrText xml:space="preserve"> PAGEREF _Toc28377 \h </w:instrText>
          </w:r>
          <w:r>
            <w:fldChar w:fldCharType="separate"/>
          </w:r>
          <w:r>
            <w:t>35</w:t>
          </w:r>
          <w:r>
            <w:fldChar w:fldCharType="end"/>
          </w:r>
          <w:r>
            <w:fldChar w:fldCharType="end"/>
          </w:r>
        </w:p>
        <w:p>
          <w:pPr>
            <w:pStyle w:val="15"/>
            <w:tabs>
              <w:tab w:val="right" w:leader="dot" w:pos="8306"/>
            </w:tabs>
          </w:pPr>
          <w:r>
            <w:fldChar w:fldCharType="begin"/>
          </w:r>
          <w:r>
            <w:instrText xml:space="preserve"> HYPERLINK \l _Toc19023 </w:instrText>
          </w:r>
          <w:r>
            <w:fldChar w:fldCharType="separate"/>
          </w:r>
          <w:r>
            <w:rPr>
              <w:rFonts w:hint="eastAsia" w:ascii="Times New Roman" w:hAnsi="Times New Roman" w:eastAsia="宋体" w:cs="Courier New"/>
              <w:szCs w:val="30"/>
            </w:rPr>
            <w:t>3.5.5</w:t>
          </w:r>
          <w:r>
            <w:rPr>
              <w:rFonts w:ascii="Times New Roman" w:hAnsi="Times New Roman" w:eastAsia="宋体" w:cs="Courier New"/>
              <w:szCs w:val="30"/>
            </w:rPr>
            <w:t>权重排序结果</w:t>
          </w:r>
          <w:r>
            <w:tab/>
          </w:r>
          <w:r>
            <w:fldChar w:fldCharType="begin"/>
          </w:r>
          <w:r>
            <w:instrText xml:space="preserve"> PAGEREF _Toc19023 \h </w:instrText>
          </w:r>
          <w:r>
            <w:fldChar w:fldCharType="separate"/>
          </w:r>
          <w:r>
            <w:t>36</w:t>
          </w:r>
          <w:r>
            <w:fldChar w:fldCharType="end"/>
          </w:r>
          <w:r>
            <w:fldChar w:fldCharType="end"/>
          </w:r>
        </w:p>
        <w:p>
          <w:pPr>
            <w:pStyle w:val="24"/>
            <w:tabs>
              <w:tab w:val="right" w:leader="dot" w:pos="8306"/>
            </w:tabs>
          </w:pPr>
          <w:r>
            <w:fldChar w:fldCharType="begin"/>
          </w:r>
          <w:r>
            <w:instrText xml:space="preserve"> HYPERLINK \l _Toc28046 </w:instrText>
          </w:r>
          <w:r>
            <w:fldChar w:fldCharType="separate"/>
          </w:r>
          <w:r>
            <w:rPr>
              <w:rFonts w:hint="eastAsia" w:ascii="Times New Roman" w:hAnsi="Times New Roman"/>
              <w:szCs w:val="30"/>
            </w:rPr>
            <w:t>3.6</w:t>
          </w:r>
          <w:r>
            <w:rPr>
              <w:rFonts w:ascii="Times New Roman" w:hAnsi="Times New Roman"/>
              <w:szCs w:val="30"/>
            </w:rPr>
            <w:t>设置清洁生产目标</w:t>
          </w:r>
          <w:r>
            <w:tab/>
          </w:r>
          <w:r>
            <w:fldChar w:fldCharType="begin"/>
          </w:r>
          <w:r>
            <w:instrText xml:space="preserve"> PAGEREF _Toc28046 \h </w:instrText>
          </w:r>
          <w:r>
            <w:fldChar w:fldCharType="separate"/>
          </w:r>
          <w:r>
            <w:t>36</w:t>
          </w:r>
          <w:r>
            <w:fldChar w:fldCharType="end"/>
          </w:r>
          <w:r>
            <w:fldChar w:fldCharType="end"/>
          </w:r>
        </w:p>
        <w:p>
          <w:pPr>
            <w:pStyle w:val="15"/>
            <w:tabs>
              <w:tab w:val="right" w:leader="dot" w:pos="8306"/>
            </w:tabs>
          </w:pPr>
          <w:r>
            <w:fldChar w:fldCharType="begin"/>
          </w:r>
          <w:r>
            <w:instrText xml:space="preserve"> HYPERLINK \l _Toc1305 </w:instrText>
          </w:r>
          <w:r>
            <w:fldChar w:fldCharType="separate"/>
          </w:r>
          <w:r>
            <w:rPr>
              <w:rFonts w:hint="eastAsia" w:ascii="Times New Roman" w:hAnsi="Times New Roman" w:eastAsia="宋体" w:cs="Courier New"/>
              <w:szCs w:val="30"/>
            </w:rPr>
            <w:t>3.6</w:t>
          </w:r>
          <w:r>
            <w:rPr>
              <w:rFonts w:ascii="Times New Roman" w:hAnsi="Times New Roman" w:eastAsia="宋体" w:cs="Courier New"/>
              <w:szCs w:val="30"/>
            </w:rPr>
            <w:t>.1</w:t>
          </w:r>
          <w:r>
            <w:rPr>
              <w:rFonts w:hint="eastAsia" w:ascii="Times New Roman" w:hAnsi="Times New Roman" w:eastAsia="宋体" w:cs="Courier New"/>
              <w:szCs w:val="30"/>
            </w:rPr>
            <w:t>清洁生产目标设置依据</w:t>
          </w:r>
          <w:r>
            <w:tab/>
          </w:r>
          <w:r>
            <w:fldChar w:fldCharType="begin"/>
          </w:r>
          <w:r>
            <w:instrText xml:space="preserve"> PAGEREF _Toc1305 \h </w:instrText>
          </w:r>
          <w:r>
            <w:fldChar w:fldCharType="separate"/>
          </w:r>
          <w:r>
            <w:t>36</w:t>
          </w:r>
          <w:r>
            <w:fldChar w:fldCharType="end"/>
          </w:r>
          <w:r>
            <w:fldChar w:fldCharType="end"/>
          </w:r>
        </w:p>
        <w:p>
          <w:pPr>
            <w:pStyle w:val="15"/>
            <w:tabs>
              <w:tab w:val="right" w:leader="dot" w:pos="8306"/>
            </w:tabs>
          </w:pPr>
          <w:r>
            <w:fldChar w:fldCharType="begin"/>
          </w:r>
          <w:r>
            <w:instrText xml:space="preserve"> HYPERLINK \l _Toc5139 </w:instrText>
          </w:r>
          <w:r>
            <w:fldChar w:fldCharType="separate"/>
          </w:r>
          <w:r>
            <w:rPr>
              <w:rFonts w:hint="eastAsia" w:ascii="Times New Roman" w:hAnsi="Times New Roman" w:eastAsia="宋体" w:cs="Courier New"/>
              <w:szCs w:val="30"/>
            </w:rPr>
            <w:t>3.6</w:t>
          </w:r>
          <w:r>
            <w:rPr>
              <w:rFonts w:ascii="Times New Roman" w:hAnsi="Times New Roman" w:eastAsia="宋体" w:cs="Courier New"/>
              <w:szCs w:val="30"/>
            </w:rPr>
            <w:t>.2清洁生产目标</w:t>
          </w:r>
          <w:r>
            <w:tab/>
          </w:r>
          <w:r>
            <w:fldChar w:fldCharType="begin"/>
          </w:r>
          <w:r>
            <w:instrText xml:space="preserve"> PAGEREF _Toc5139 \h </w:instrText>
          </w:r>
          <w:r>
            <w:fldChar w:fldCharType="separate"/>
          </w:r>
          <w:r>
            <w:t>37</w:t>
          </w:r>
          <w:r>
            <w:fldChar w:fldCharType="end"/>
          </w:r>
          <w:r>
            <w:fldChar w:fldCharType="end"/>
          </w:r>
        </w:p>
        <w:p>
          <w:pPr>
            <w:pStyle w:val="24"/>
            <w:tabs>
              <w:tab w:val="right" w:leader="dot" w:pos="8306"/>
            </w:tabs>
          </w:pPr>
          <w:r>
            <w:fldChar w:fldCharType="begin"/>
          </w:r>
          <w:r>
            <w:instrText xml:space="preserve"> HYPERLINK \l _Toc6665 </w:instrText>
          </w:r>
          <w:r>
            <w:fldChar w:fldCharType="separate"/>
          </w:r>
          <w:r>
            <w:rPr>
              <w:rFonts w:hint="eastAsia" w:ascii="Times New Roman" w:hAnsi="Times New Roman"/>
              <w:szCs w:val="30"/>
            </w:rPr>
            <w:t>3.7提出和实施清洁生产方案（1）</w:t>
          </w:r>
          <w:r>
            <w:tab/>
          </w:r>
          <w:r>
            <w:fldChar w:fldCharType="begin"/>
          </w:r>
          <w:r>
            <w:instrText xml:space="preserve"> PAGEREF _Toc6665 \h </w:instrText>
          </w:r>
          <w:r>
            <w:fldChar w:fldCharType="separate"/>
          </w:r>
          <w:r>
            <w:t>38</w:t>
          </w:r>
          <w:r>
            <w:fldChar w:fldCharType="end"/>
          </w:r>
          <w:r>
            <w:fldChar w:fldCharType="end"/>
          </w:r>
        </w:p>
        <w:p>
          <w:pPr>
            <w:pStyle w:val="21"/>
            <w:tabs>
              <w:tab w:val="right" w:leader="dot" w:pos="8306"/>
            </w:tabs>
          </w:pPr>
          <w:r>
            <w:fldChar w:fldCharType="begin"/>
          </w:r>
          <w:r>
            <w:instrText xml:space="preserve"> HYPERLINK \l _Toc5225 </w:instrText>
          </w:r>
          <w:r>
            <w:fldChar w:fldCharType="separate"/>
          </w:r>
          <w:r>
            <w:rPr>
              <w:rFonts w:hint="eastAsia" w:cs="Times New Roman" w:asciiTheme="minorEastAsia" w:hAnsiTheme="minorEastAsia" w:eastAsiaTheme="minorEastAsia"/>
              <w:szCs w:val="36"/>
            </w:rPr>
            <w:t>四、</w:t>
          </w:r>
          <w:r>
            <w:rPr>
              <w:rFonts w:cs="Times New Roman" w:asciiTheme="minorEastAsia" w:hAnsiTheme="minorEastAsia" w:eastAsiaTheme="minorEastAsia"/>
              <w:szCs w:val="36"/>
            </w:rPr>
            <w:t>审核</w:t>
          </w:r>
          <w:r>
            <w:tab/>
          </w:r>
          <w:r>
            <w:fldChar w:fldCharType="begin"/>
          </w:r>
          <w:r>
            <w:instrText xml:space="preserve"> PAGEREF _Toc5225 \h </w:instrText>
          </w:r>
          <w:r>
            <w:fldChar w:fldCharType="separate"/>
          </w:r>
          <w:r>
            <w:t>40</w:t>
          </w:r>
          <w:r>
            <w:fldChar w:fldCharType="end"/>
          </w:r>
          <w:r>
            <w:fldChar w:fldCharType="end"/>
          </w:r>
        </w:p>
        <w:p>
          <w:pPr>
            <w:pStyle w:val="24"/>
            <w:tabs>
              <w:tab w:val="right" w:leader="dot" w:pos="8306"/>
            </w:tabs>
          </w:pPr>
          <w:r>
            <w:fldChar w:fldCharType="begin"/>
          </w:r>
          <w:r>
            <w:instrText xml:space="preserve"> HYPERLINK \l _Toc20914 </w:instrText>
          </w:r>
          <w:r>
            <w:fldChar w:fldCharType="separate"/>
          </w:r>
          <w:r>
            <w:rPr>
              <w:rFonts w:hint="eastAsia" w:ascii="Times New Roman" w:hAnsi="Times New Roman"/>
              <w:szCs w:val="30"/>
            </w:rPr>
            <w:t>4</w:t>
          </w:r>
          <w:r>
            <w:rPr>
              <w:rFonts w:ascii="Times New Roman" w:hAnsi="Times New Roman"/>
              <w:szCs w:val="30"/>
            </w:rPr>
            <w:t>.1审核重点概况</w:t>
          </w:r>
          <w:r>
            <w:tab/>
          </w:r>
          <w:r>
            <w:fldChar w:fldCharType="begin"/>
          </w:r>
          <w:r>
            <w:instrText xml:space="preserve"> PAGEREF _Toc20914 \h </w:instrText>
          </w:r>
          <w:r>
            <w:fldChar w:fldCharType="separate"/>
          </w:r>
          <w:r>
            <w:t>40</w:t>
          </w:r>
          <w:r>
            <w:fldChar w:fldCharType="end"/>
          </w:r>
          <w:r>
            <w:fldChar w:fldCharType="end"/>
          </w:r>
        </w:p>
        <w:p>
          <w:pPr>
            <w:pStyle w:val="15"/>
            <w:tabs>
              <w:tab w:val="right" w:leader="dot" w:pos="8306"/>
            </w:tabs>
          </w:pPr>
          <w:r>
            <w:fldChar w:fldCharType="begin"/>
          </w:r>
          <w:r>
            <w:instrText xml:space="preserve"> HYPERLINK \l _Toc24846 </w:instrText>
          </w:r>
          <w:r>
            <w:fldChar w:fldCharType="separate"/>
          </w:r>
          <w:r>
            <w:rPr>
              <w:rFonts w:hint="eastAsia" w:ascii="Times New Roman" w:hAnsi="Times New Roman" w:eastAsia="宋体" w:cs="Courier New"/>
              <w:szCs w:val="30"/>
            </w:rPr>
            <w:t>4.1.1审核重点概况</w:t>
          </w:r>
          <w:r>
            <w:tab/>
          </w:r>
          <w:r>
            <w:fldChar w:fldCharType="begin"/>
          </w:r>
          <w:r>
            <w:instrText xml:space="preserve"> PAGEREF _Toc24846 \h </w:instrText>
          </w:r>
          <w:r>
            <w:fldChar w:fldCharType="separate"/>
          </w:r>
          <w:r>
            <w:t>40</w:t>
          </w:r>
          <w:r>
            <w:fldChar w:fldCharType="end"/>
          </w:r>
          <w:r>
            <w:fldChar w:fldCharType="end"/>
          </w:r>
        </w:p>
        <w:p>
          <w:pPr>
            <w:pStyle w:val="15"/>
            <w:tabs>
              <w:tab w:val="right" w:leader="dot" w:pos="8306"/>
            </w:tabs>
          </w:pPr>
          <w:r>
            <w:fldChar w:fldCharType="begin"/>
          </w:r>
          <w:r>
            <w:instrText xml:space="preserve"> HYPERLINK \l _Toc14339 </w:instrText>
          </w:r>
          <w:r>
            <w:fldChar w:fldCharType="separate"/>
          </w:r>
          <w:r>
            <w:rPr>
              <w:rFonts w:hint="eastAsia" w:ascii="Times New Roman" w:hAnsi="Times New Roman" w:eastAsia="宋体" w:cs="Courier New"/>
              <w:szCs w:val="30"/>
            </w:rPr>
            <w:t>4.1.2审核重点工艺流程</w:t>
          </w:r>
          <w:r>
            <w:tab/>
          </w:r>
          <w:r>
            <w:fldChar w:fldCharType="begin"/>
          </w:r>
          <w:r>
            <w:instrText xml:space="preserve"> PAGEREF _Toc14339 \h </w:instrText>
          </w:r>
          <w:r>
            <w:fldChar w:fldCharType="separate"/>
          </w:r>
          <w:r>
            <w:t>40</w:t>
          </w:r>
          <w:r>
            <w:fldChar w:fldCharType="end"/>
          </w:r>
          <w:r>
            <w:fldChar w:fldCharType="end"/>
          </w:r>
        </w:p>
        <w:p>
          <w:pPr>
            <w:pStyle w:val="24"/>
            <w:tabs>
              <w:tab w:val="right" w:leader="dot" w:pos="8306"/>
            </w:tabs>
          </w:pPr>
          <w:r>
            <w:fldChar w:fldCharType="begin"/>
          </w:r>
          <w:r>
            <w:instrText xml:space="preserve"> HYPERLINK \l _Toc21492 </w:instrText>
          </w:r>
          <w:r>
            <w:fldChar w:fldCharType="separate"/>
          </w:r>
          <w:r>
            <w:rPr>
              <w:rFonts w:hint="eastAsia" w:ascii="Times New Roman" w:hAnsi="Times New Roman"/>
              <w:szCs w:val="30"/>
            </w:rPr>
            <w:t>4.2输入输出物料的测定</w:t>
          </w:r>
          <w:r>
            <w:tab/>
          </w:r>
          <w:r>
            <w:fldChar w:fldCharType="begin"/>
          </w:r>
          <w:r>
            <w:instrText xml:space="preserve"> PAGEREF _Toc21492 \h </w:instrText>
          </w:r>
          <w:r>
            <w:fldChar w:fldCharType="separate"/>
          </w:r>
          <w:r>
            <w:t>41</w:t>
          </w:r>
          <w:r>
            <w:fldChar w:fldCharType="end"/>
          </w:r>
          <w:r>
            <w:fldChar w:fldCharType="end"/>
          </w:r>
        </w:p>
        <w:p>
          <w:pPr>
            <w:pStyle w:val="15"/>
            <w:tabs>
              <w:tab w:val="right" w:leader="dot" w:pos="8306"/>
            </w:tabs>
          </w:pPr>
          <w:r>
            <w:fldChar w:fldCharType="begin"/>
          </w:r>
          <w:r>
            <w:instrText xml:space="preserve"> HYPERLINK \l _Toc19942 </w:instrText>
          </w:r>
          <w:r>
            <w:fldChar w:fldCharType="separate"/>
          </w:r>
          <w:r>
            <w:rPr>
              <w:rFonts w:hint="eastAsia" w:ascii="Times New Roman" w:hAnsi="Times New Roman" w:eastAsia="宋体" w:cs="Courier New"/>
              <w:szCs w:val="30"/>
              <w:lang w:val="zh-CN"/>
            </w:rPr>
            <w:t>4.2.1实测准备</w:t>
          </w:r>
          <w:r>
            <w:tab/>
          </w:r>
          <w:r>
            <w:fldChar w:fldCharType="begin"/>
          </w:r>
          <w:r>
            <w:instrText xml:space="preserve"> PAGEREF _Toc19942 \h </w:instrText>
          </w:r>
          <w:r>
            <w:fldChar w:fldCharType="separate"/>
          </w:r>
          <w:r>
            <w:t>41</w:t>
          </w:r>
          <w:r>
            <w:fldChar w:fldCharType="end"/>
          </w:r>
          <w:r>
            <w:fldChar w:fldCharType="end"/>
          </w:r>
        </w:p>
        <w:p>
          <w:pPr>
            <w:pStyle w:val="15"/>
            <w:tabs>
              <w:tab w:val="right" w:leader="dot" w:pos="8306"/>
            </w:tabs>
          </w:pPr>
          <w:r>
            <w:fldChar w:fldCharType="begin"/>
          </w:r>
          <w:r>
            <w:instrText xml:space="preserve"> HYPERLINK \l _Toc9777 </w:instrText>
          </w:r>
          <w:r>
            <w:fldChar w:fldCharType="separate"/>
          </w:r>
          <w:r>
            <w:rPr>
              <w:rFonts w:hint="eastAsia" w:ascii="Times New Roman" w:hAnsi="Times New Roman" w:eastAsia="宋体" w:cs="Courier New"/>
              <w:szCs w:val="28"/>
              <w:lang w:val="zh-CN"/>
            </w:rPr>
            <w:t>4.2.2实测结果</w:t>
          </w:r>
          <w:r>
            <w:tab/>
          </w:r>
          <w:r>
            <w:fldChar w:fldCharType="begin"/>
          </w:r>
          <w:r>
            <w:instrText xml:space="preserve"> PAGEREF _Toc9777 \h </w:instrText>
          </w:r>
          <w:r>
            <w:fldChar w:fldCharType="separate"/>
          </w:r>
          <w:r>
            <w:t>42</w:t>
          </w:r>
          <w:r>
            <w:fldChar w:fldCharType="end"/>
          </w:r>
          <w:r>
            <w:fldChar w:fldCharType="end"/>
          </w:r>
        </w:p>
        <w:p>
          <w:pPr>
            <w:pStyle w:val="24"/>
            <w:tabs>
              <w:tab w:val="right" w:leader="dot" w:pos="8306"/>
            </w:tabs>
          </w:pPr>
          <w:r>
            <w:fldChar w:fldCharType="begin"/>
          </w:r>
          <w:r>
            <w:instrText xml:space="preserve"> HYPERLINK \l _Toc31902 </w:instrText>
          </w:r>
          <w:r>
            <w:fldChar w:fldCharType="separate"/>
          </w:r>
          <w:r>
            <w:rPr>
              <w:rFonts w:hint="eastAsia" w:ascii="Times New Roman" w:hAnsi="Times New Roman"/>
              <w:szCs w:val="30"/>
            </w:rPr>
            <w:t>4.3建立物料平衡及损失分析</w:t>
          </w:r>
          <w:r>
            <w:tab/>
          </w:r>
          <w:r>
            <w:fldChar w:fldCharType="begin"/>
          </w:r>
          <w:r>
            <w:instrText xml:space="preserve"> PAGEREF _Toc31902 \h </w:instrText>
          </w:r>
          <w:r>
            <w:fldChar w:fldCharType="separate"/>
          </w:r>
          <w:r>
            <w:t>42</w:t>
          </w:r>
          <w:r>
            <w:fldChar w:fldCharType="end"/>
          </w:r>
          <w:r>
            <w:fldChar w:fldCharType="end"/>
          </w:r>
        </w:p>
        <w:p>
          <w:pPr>
            <w:pStyle w:val="24"/>
            <w:tabs>
              <w:tab w:val="right" w:leader="dot" w:pos="8306"/>
            </w:tabs>
          </w:pPr>
          <w:r>
            <w:fldChar w:fldCharType="begin"/>
          </w:r>
          <w:r>
            <w:instrText xml:space="preserve"> HYPERLINK \l _Toc1630 </w:instrText>
          </w:r>
          <w:r>
            <w:fldChar w:fldCharType="separate"/>
          </w:r>
          <w:r>
            <w:rPr>
              <w:rFonts w:hint="eastAsia" w:ascii="Times New Roman" w:hAnsi="Times New Roman"/>
              <w:szCs w:val="30"/>
            </w:rPr>
            <w:t>4.4能耗、物耗以及废弃物产生原因分析</w:t>
          </w:r>
          <w:r>
            <w:tab/>
          </w:r>
          <w:r>
            <w:fldChar w:fldCharType="begin"/>
          </w:r>
          <w:r>
            <w:instrText xml:space="preserve"> PAGEREF _Toc1630 \h </w:instrText>
          </w:r>
          <w:r>
            <w:fldChar w:fldCharType="separate"/>
          </w:r>
          <w:r>
            <w:t>45</w:t>
          </w:r>
          <w:r>
            <w:fldChar w:fldCharType="end"/>
          </w:r>
          <w:r>
            <w:fldChar w:fldCharType="end"/>
          </w:r>
        </w:p>
        <w:p>
          <w:pPr>
            <w:pStyle w:val="24"/>
            <w:tabs>
              <w:tab w:val="right" w:leader="dot" w:pos="8306"/>
            </w:tabs>
          </w:pPr>
          <w:r>
            <w:fldChar w:fldCharType="begin"/>
          </w:r>
          <w:r>
            <w:instrText xml:space="preserve"> HYPERLINK \l _Toc315 </w:instrText>
          </w:r>
          <w:r>
            <w:fldChar w:fldCharType="separate"/>
          </w:r>
          <w:r>
            <w:rPr>
              <w:rFonts w:hint="eastAsia" w:ascii="Times New Roman" w:hAnsi="Times New Roman"/>
              <w:szCs w:val="30"/>
            </w:rPr>
            <w:t>4.5针对审核重点提出清洁生产方案</w:t>
          </w:r>
          <w:r>
            <w:tab/>
          </w:r>
          <w:r>
            <w:fldChar w:fldCharType="begin"/>
          </w:r>
          <w:r>
            <w:instrText xml:space="preserve"> PAGEREF _Toc315 \h </w:instrText>
          </w:r>
          <w:r>
            <w:fldChar w:fldCharType="separate"/>
          </w:r>
          <w:r>
            <w:t>46</w:t>
          </w:r>
          <w:r>
            <w:fldChar w:fldCharType="end"/>
          </w:r>
          <w:r>
            <w:fldChar w:fldCharType="end"/>
          </w:r>
        </w:p>
        <w:p>
          <w:pPr>
            <w:pStyle w:val="21"/>
            <w:tabs>
              <w:tab w:val="right" w:leader="dot" w:pos="8306"/>
            </w:tabs>
          </w:pPr>
          <w:r>
            <w:fldChar w:fldCharType="begin"/>
          </w:r>
          <w:r>
            <w:instrText xml:space="preserve"> HYPERLINK \l _Toc19131 </w:instrText>
          </w:r>
          <w:r>
            <w:fldChar w:fldCharType="separate"/>
          </w:r>
          <w:r>
            <w:rPr>
              <w:rFonts w:hint="eastAsia" w:cs="Times New Roman" w:asciiTheme="minorEastAsia" w:hAnsiTheme="minorEastAsia" w:eastAsiaTheme="minorEastAsia"/>
              <w:szCs w:val="36"/>
            </w:rPr>
            <w:t>五、</w:t>
          </w:r>
          <w:r>
            <w:rPr>
              <w:rFonts w:cs="Times New Roman" w:asciiTheme="minorEastAsia" w:hAnsiTheme="minorEastAsia" w:eastAsiaTheme="minorEastAsia"/>
              <w:szCs w:val="36"/>
            </w:rPr>
            <w:t>方案的</w:t>
          </w:r>
          <w:r>
            <w:rPr>
              <w:rFonts w:hint="eastAsia" w:cs="Times New Roman" w:asciiTheme="minorEastAsia" w:hAnsiTheme="minorEastAsia" w:eastAsiaTheme="minorEastAsia"/>
              <w:szCs w:val="36"/>
            </w:rPr>
            <w:t>产生</w:t>
          </w:r>
          <w:r>
            <w:rPr>
              <w:rFonts w:cs="Times New Roman" w:asciiTheme="minorEastAsia" w:hAnsiTheme="minorEastAsia" w:eastAsiaTheme="minorEastAsia"/>
              <w:szCs w:val="36"/>
            </w:rPr>
            <w:t>与</w:t>
          </w:r>
          <w:r>
            <w:rPr>
              <w:rFonts w:hint="eastAsia" w:cs="Times New Roman" w:asciiTheme="minorEastAsia" w:hAnsiTheme="minorEastAsia" w:eastAsiaTheme="minorEastAsia"/>
              <w:szCs w:val="36"/>
            </w:rPr>
            <w:t>筛选</w:t>
          </w:r>
          <w:r>
            <w:tab/>
          </w:r>
          <w:r>
            <w:fldChar w:fldCharType="begin"/>
          </w:r>
          <w:r>
            <w:instrText xml:space="preserve"> PAGEREF _Toc19131 \h </w:instrText>
          </w:r>
          <w:r>
            <w:fldChar w:fldCharType="separate"/>
          </w:r>
          <w:r>
            <w:t>48</w:t>
          </w:r>
          <w:r>
            <w:fldChar w:fldCharType="end"/>
          </w:r>
          <w:r>
            <w:fldChar w:fldCharType="end"/>
          </w:r>
        </w:p>
        <w:p>
          <w:pPr>
            <w:pStyle w:val="24"/>
            <w:tabs>
              <w:tab w:val="right" w:leader="dot" w:pos="8306"/>
            </w:tabs>
          </w:pPr>
          <w:r>
            <w:fldChar w:fldCharType="begin"/>
          </w:r>
          <w:r>
            <w:instrText xml:space="preserve"> HYPERLINK \l _Toc30888 </w:instrText>
          </w:r>
          <w:r>
            <w:fldChar w:fldCharType="separate"/>
          </w:r>
          <w:r>
            <w:rPr>
              <w:rFonts w:hint="eastAsia" w:ascii="Times New Roman" w:hAnsi="Times New Roman"/>
              <w:szCs w:val="30"/>
            </w:rPr>
            <w:t>5</w:t>
          </w:r>
          <w:r>
            <w:rPr>
              <w:rFonts w:ascii="Times New Roman" w:hAnsi="Times New Roman"/>
              <w:szCs w:val="30"/>
            </w:rPr>
            <w:t>.1方案</w:t>
          </w:r>
          <w:r>
            <w:rPr>
              <w:rFonts w:hint="eastAsia" w:ascii="Times New Roman" w:hAnsi="Times New Roman"/>
              <w:szCs w:val="30"/>
            </w:rPr>
            <w:t>的</w:t>
          </w:r>
          <w:r>
            <w:rPr>
              <w:rFonts w:ascii="Times New Roman" w:hAnsi="Times New Roman"/>
              <w:szCs w:val="30"/>
            </w:rPr>
            <w:t>产生与汇总</w:t>
          </w:r>
          <w:r>
            <w:tab/>
          </w:r>
          <w:r>
            <w:fldChar w:fldCharType="begin"/>
          </w:r>
          <w:r>
            <w:instrText xml:space="preserve"> PAGEREF _Toc30888 \h </w:instrText>
          </w:r>
          <w:r>
            <w:fldChar w:fldCharType="separate"/>
          </w:r>
          <w:r>
            <w:t>48</w:t>
          </w:r>
          <w:r>
            <w:fldChar w:fldCharType="end"/>
          </w:r>
          <w:r>
            <w:fldChar w:fldCharType="end"/>
          </w:r>
        </w:p>
        <w:p>
          <w:pPr>
            <w:pStyle w:val="15"/>
            <w:tabs>
              <w:tab w:val="right" w:leader="dot" w:pos="8306"/>
            </w:tabs>
          </w:pPr>
          <w:r>
            <w:fldChar w:fldCharType="begin"/>
          </w:r>
          <w:r>
            <w:instrText xml:space="preserve"> HYPERLINK \l _Toc25994 </w:instrText>
          </w:r>
          <w:r>
            <w:fldChar w:fldCharType="separate"/>
          </w:r>
          <w:r>
            <w:rPr>
              <w:rFonts w:hint="eastAsia" w:ascii="Times New Roman" w:hAnsi="Times New Roman" w:eastAsia="宋体" w:cs="Courier New"/>
              <w:szCs w:val="30"/>
            </w:rPr>
            <w:t>5.1.1方案的产生</w:t>
          </w:r>
          <w:r>
            <w:tab/>
          </w:r>
          <w:r>
            <w:fldChar w:fldCharType="begin"/>
          </w:r>
          <w:r>
            <w:instrText xml:space="preserve"> PAGEREF _Toc25994 \h </w:instrText>
          </w:r>
          <w:r>
            <w:fldChar w:fldCharType="separate"/>
          </w:r>
          <w:r>
            <w:t>48</w:t>
          </w:r>
          <w:r>
            <w:fldChar w:fldCharType="end"/>
          </w:r>
          <w:r>
            <w:fldChar w:fldCharType="end"/>
          </w:r>
        </w:p>
        <w:p>
          <w:pPr>
            <w:pStyle w:val="15"/>
            <w:tabs>
              <w:tab w:val="right" w:leader="dot" w:pos="8306"/>
            </w:tabs>
          </w:pPr>
          <w:r>
            <w:fldChar w:fldCharType="begin"/>
          </w:r>
          <w:r>
            <w:instrText xml:space="preserve"> HYPERLINK \l _Toc14614 </w:instrText>
          </w:r>
          <w:r>
            <w:fldChar w:fldCharType="separate"/>
          </w:r>
          <w:r>
            <w:rPr>
              <w:rFonts w:hint="eastAsia" w:ascii="Times New Roman" w:hAnsi="Times New Roman" w:eastAsia="宋体" w:cs="Courier New"/>
              <w:szCs w:val="30"/>
            </w:rPr>
            <w:t>5.1.2</w:t>
          </w:r>
          <w:r>
            <w:rPr>
              <w:rFonts w:ascii="Times New Roman" w:hAnsi="Times New Roman" w:eastAsia="宋体" w:cs="Courier New"/>
              <w:szCs w:val="30"/>
            </w:rPr>
            <w:t>方案</w:t>
          </w:r>
          <w:r>
            <w:rPr>
              <w:rFonts w:hint="eastAsia" w:ascii="Times New Roman" w:hAnsi="Times New Roman" w:eastAsia="宋体" w:cs="Courier New"/>
              <w:szCs w:val="30"/>
            </w:rPr>
            <w:t>分类和</w:t>
          </w:r>
          <w:r>
            <w:rPr>
              <w:rFonts w:ascii="Times New Roman" w:hAnsi="Times New Roman" w:eastAsia="宋体" w:cs="Courier New"/>
              <w:szCs w:val="30"/>
            </w:rPr>
            <w:t>汇总</w:t>
          </w:r>
          <w:r>
            <w:tab/>
          </w:r>
          <w:r>
            <w:fldChar w:fldCharType="begin"/>
          </w:r>
          <w:r>
            <w:instrText xml:space="preserve"> PAGEREF _Toc14614 \h </w:instrText>
          </w:r>
          <w:r>
            <w:fldChar w:fldCharType="separate"/>
          </w:r>
          <w:r>
            <w:t>48</w:t>
          </w:r>
          <w:r>
            <w:fldChar w:fldCharType="end"/>
          </w:r>
          <w:r>
            <w:fldChar w:fldCharType="end"/>
          </w:r>
        </w:p>
        <w:p>
          <w:pPr>
            <w:pStyle w:val="24"/>
            <w:tabs>
              <w:tab w:val="right" w:leader="dot" w:pos="8306"/>
            </w:tabs>
          </w:pPr>
          <w:r>
            <w:fldChar w:fldCharType="begin"/>
          </w:r>
          <w:r>
            <w:instrText xml:space="preserve"> HYPERLINK \l _Toc13643 </w:instrText>
          </w:r>
          <w:r>
            <w:fldChar w:fldCharType="separate"/>
          </w:r>
          <w:r>
            <w:rPr>
              <w:rFonts w:hint="eastAsia" w:ascii="Times New Roman" w:hAnsi="Times New Roman"/>
              <w:szCs w:val="30"/>
            </w:rPr>
            <w:t>5</w:t>
          </w:r>
          <w:r>
            <w:rPr>
              <w:rFonts w:ascii="Times New Roman" w:hAnsi="Times New Roman"/>
              <w:szCs w:val="30"/>
            </w:rPr>
            <w:t>.</w:t>
          </w:r>
          <w:r>
            <w:rPr>
              <w:rFonts w:hint="eastAsia" w:ascii="Times New Roman" w:hAnsi="Times New Roman"/>
              <w:szCs w:val="30"/>
            </w:rPr>
            <w:t>2方案的</w:t>
          </w:r>
          <w:r>
            <w:rPr>
              <w:rFonts w:ascii="Times New Roman" w:hAnsi="Times New Roman"/>
              <w:szCs w:val="30"/>
            </w:rPr>
            <w:t>筛选</w:t>
          </w:r>
          <w:r>
            <w:tab/>
          </w:r>
          <w:r>
            <w:fldChar w:fldCharType="begin"/>
          </w:r>
          <w:r>
            <w:instrText xml:space="preserve"> PAGEREF _Toc13643 \h </w:instrText>
          </w:r>
          <w:r>
            <w:fldChar w:fldCharType="separate"/>
          </w:r>
          <w:r>
            <w:t>50</w:t>
          </w:r>
          <w:r>
            <w:fldChar w:fldCharType="end"/>
          </w:r>
          <w:r>
            <w:fldChar w:fldCharType="end"/>
          </w:r>
        </w:p>
        <w:p>
          <w:pPr>
            <w:pStyle w:val="15"/>
            <w:tabs>
              <w:tab w:val="right" w:leader="dot" w:pos="8306"/>
            </w:tabs>
          </w:pPr>
          <w:r>
            <w:fldChar w:fldCharType="begin"/>
          </w:r>
          <w:r>
            <w:instrText xml:space="preserve"> HYPERLINK \l _Toc19411 </w:instrText>
          </w:r>
          <w:r>
            <w:fldChar w:fldCharType="separate"/>
          </w:r>
          <w:r>
            <w:rPr>
              <w:rFonts w:hint="eastAsia" w:ascii="Times New Roman" w:hAnsi="Times New Roman" w:eastAsia="宋体" w:cs="Courier New"/>
              <w:szCs w:val="30"/>
            </w:rPr>
            <w:t>5.2.1 无低费方案的筛选</w:t>
          </w:r>
          <w:r>
            <w:tab/>
          </w:r>
          <w:r>
            <w:fldChar w:fldCharType="begin"/>
          </w:r>
          <w:r>
            <w:instrText xml:space="preserve"> PAGEREF _Toc19411 \h </w:instrText>
          </w:r>
          <w:r>
            <w:fldChar w:fldCharType="separate"/>
          </w:r>
          <w:r>
            <w:t>50</w:t>
          </w:r>
          <w:r>
            <w:fldChar w:fldCharType="end"/>
          </w:r>
          <w:r>
            <w:fldChar w:fldCharType="end"/>
          </w:r>
        </w:p>
        <w:p>
          <w:pPr>
            <w:pStyle w:val="15"/>
            <w:tabs>
              <w:tab w:val="right" w:leader="dot" w:pos="8306"/>
            </w:tabs>
          </w:pPr>
          <w:r>
            <w:fldChar w:fldCharType="begin"/>
          </w:r>
          <w:r>
            <w:instrText xml:space="preserve"> HYPERLINK \l _Toc22453 </w:instrText>
          </w:r>
          <w:r>
            <w:fldChar w:fldCharType="separate"/>
          </w:r>
          <w:r>
            <w:rPr>
              <w:rFonts w:hint="eastAsia" w:ascii="Times New Roman" w:hAnsi="Times New Roman" w:eastAsia="宋体" w:cs="Courier New"/>
              <w:szCs w:val="30"/>
            </w:rPr>
            <w:t>5.2.2中高费方案的筛选</w:t>
          </w:r>
          <w:r>
            <w:tab/>
          </w:r>
          <w:r>
            <w:fldChar w:fldCharType="begin"/>
          </w:r>
          <w:r>
            <w:instrText xml:space="preserve"> PAGEREF _Toc22453 \h </w:instrText>
          </w:r>
          <w:r>
            <w:fldChar w:fldCharType="separate"/>
          </w:r>
          <w:r>
            <w:t>51</w:t>
          </w:r>
          <w:r>
            <w:fldChar w:fldCharType="end"/>
          </w:r>
          <w:r>
            <w:fldChar w:fldCharType="end"/>
          </w:r>
        </w:p>
        <w:p>
          <w:pPr>
            <w:pStyle w:val="15"/>
            <w:tabs>
              <w:tab w:val="right" w:leader="dot" w:pos="8306"/>
            </w:tabs>
          </w:pPr>
          <w:r>
            <w:fldChar w:fldCharType="begin"/>
          </w:r>
          <w:r>
            <w:instrText xml:space="preserve"> HYPERLINK \l _Toc13008 </w:instrText>
          </w:r>
          <w:r>
            <w:fldChar w:fldCharType="separate"/>
          </w:r>
          <w:r>
            <w:rPr>
              <w:rFonts w:hint="eastAsia" w:ascii="Times New Roman" w:hAnsi="Times New Roman" w:eastAsia="宋体" w:cs="Courier New"/>
              <w:szCs w:val="30"/>
            </w:rPr>
            <w:t>5.2.3方案筛选结果汇总</w:t>
          </w:r>
          <w:r>
            <w:tab/>
          </w:r>
          <w:r>
            <w:fldChar w:fldCharType="begin"/>
          </w:r>
          <w:r>
            <w:instrText xml:space="preserve"> PAGEREF _Toc13008 \h </w:instrText>
          </w:r>
          <w:r>
            <w:fldChar w:fldCharType="separate"/>
          </w:r>
          <w:r>
            <w:t>53</w:t>
          </w:r>
          <w:r>
            <w:fldChar w:fldCharType="end"/>
          </w:r>
          <w:r>
            <w:fldChar w:fldCharType="end"/>
          </w:r>
        </w:p>
        <w:p>
          <w:pPr>
            <w:pStyle w:val="21"/>
            <w:tabs>
              <w:tab w:val="right" w:leader="dot" w:pos="8306"/>
            </w:tabs>
          </w:pPr>
          <w:r>
            <w:fldChar w:fldCharType="begin"/>
          </w:r>
          <w:r>
            <w:instrText xml:space="preserve"> HYPERLINK \l _Toc7589 </w:instrText>
          </w:r>
          <w:r>
            <w:fldChar w:fldCharType="separate"/>
          </w:r>
          <w:r>
            <w:rPr>
              <w:rFonts w:hint="eastAsia" w:cs="Times New Roman" w:asciiTheme="minorEastAsia" w:hAnsiTheme="minorEastAsia" w:eastAsiaTheme="minorEastAsia"/>
              <w:szCs w:val="36"/>
            </w:rPr>
            <w:t>六、中高费方案的确定</w:t>
          </w:r>
          <w:r>
            <w:tab/>
          </w:r>
          <w:r>
            <w:fldChar w:fldCharType="begin"/>
          </w:r>
          <w:r>
            <w:instrText xml:space="preserve"> PAGEREF _Toc7589 \h </w:instrText>
          </w:r>
          <w:r>
            <w:fldChar w:fldCharType="separate"/>
          </w:r>
          <w:r>
            <w:t>54</w:t>
          </w:r>
          <w:r>
            <w:fldChar w:fldCharType="end"/>
          </w:r>
          <w:r>
            <w:fldChar w:fldCharType="end"/>
          </w:r>
        </w:p>
        <w:p>
          <w:pPr>
            <w:pStyle w:val="24"/>
            <w:tabs>
              <w:tab w:val="right" w:leader="dot" w:pos="8306"/>
            </w:tabs>
          </w:pPr>
          <w:r>
            <w:fldChar w:fldCharType="begin"/>
          </w:r>
          <w:r>
            <w:instrText xml:space="preserve"> HYPERLINK \l _Toc16229 </w:instrText>
          </w:r>
          <w:r>
            <w:fldChar w:fldCharType="separate"/>
          </w:r>
          <w:r>
            <w:rPr>
              <w:rFonts w:hint="eastAsia" w:ascii="Times New Roman" w:hAnsi="Times New Roman"/>
              <w:szCs w:val="30"/>
            </w:rPr>
            <w:t>6.1</w:t>
          </w:r>
          <w:r>
            <w:rPr>
              <w:rFonts w:ascii="Times New Roman" w:hAnsi="Times New Roman"/>
              <w:szCs w:val="30"/>
            </w:rPr>
            <w:t>“方案</w:t>
          </w:r>
          <w:r>
            <w:rPr>
              <w:rFonts w:hint="eastAsia" w:ascii="Times New Roman" w:hAnsi="Times New Roman"/>
              <w:szCs w:val="30"/>
              <w:lang w:eastAsia="zh-CN"/>
            </w:rPr>
            <w:t>F2-2：更换牵引链条”</w:t>
          </w:r>
          <w:r>
            <w:rPr>
              <w:rFonts w:ascii="Times New Roman" w:hAnsi="Times New Roman"/>
              <w:szCs w:val="30"/>
            </w:rPr>
            <w:t>可行性分析</w:t>
          </w:r>
          <w:r>
            <w:tab/>
          </w:r>
          <w:r>
            <w:fldChar w:fldCharType="begin"/>
          </w:r>
          <w:r>
            <w:instrText xml:space="preserve"> PAGEREF _Toc16229 \h </w:instrText>
          </w:r>
          <w:r>
            <w:fldChar w:fldCharType="separate"/>
          </w:r>
          <w:r>
            <w:t>54</w:t>
          </w:r>
          <w:r>
            <w:fldChar w:fldCharType="end"/>
          </w:r>
          <w:r>
            <w:fldChar w:fldCharType="end"/>
          </w:r>
        </w:p>
        <w:p>
          <w:pPr>
            <w:pStyle w:val="15"/>
            <w:tabs>
              <w:tab w:val="right" w:leader="dot" w:pos="8306"/>
            </w:tabs>
          </w:pPr>
          <w:r>
            <w:fldChar w:fldCharType="begin"/>
          </w:r>
          <w:r>
            <w:instrText xml:space="preserve"> HYPERLINK \l _Toc28506 </w:instrText>
          </w:r>
          <w:r>
            <w:fldChar w:fldCharType="separate"/>
          </w:r>
          <w:r>
            <w:rPr>
              <w:rFonts w:hint="eastAsia" w:ascii="Times New Roman" w:hAnsi="Times New Roman" w:eastAsia="宋体" w:cs="Courier New"/>
              <w:szCs w:val="30"/>
            </w:rPr>
            <w:t>6.1.1</w:t>
          </w:r>
          <w:r>
            <w:rPr>
              <w:rFonts w:ascii="Times New Roman" w:hAnsi="Times New Roman" w:eastAsia="宋体" w:cs="Courier New"/>
              <w:szCs w:val="30"/>
            </w:rPr>
            <w:t>方案</w:t>
          </w:r>
          <w:r>
            <w:rPr>
              <w:rFonts w:hint="eastAsia" w:ascii="Times New Roman" w:hAnsi="Times New Roman" w:eastAsia="宋体" w:cs="Courier New"/>
              <w:szCs w:val="30"/>
            </w:rPr>
            <w:t>产生背景</w:t>
          </w:r>
          <w:r>
            <w:tab/>
          </w:r>
          <w:r>
            <w:fldChar w:fldCharType="begin"/>
          </w:r>
          <w:r>
            <w:instrText xml:space="preserve"> PAGEREF _Toc28506 \h </w:instrText>
          </w:r>
          <w:r>
            <w:fldChar w:fldCharType="separate"/>
          </w:r>
          <w:r>
            <w:t>54</w:t>
          </w:r>
          <w:r>
            <w:fldChar w:fldCharType="end"/>
          </w:r>
          <w:r>
            <w:fldChar w:fldCharType="end"/>
          </w:r>
        </w:p>
        <w:p>
          <w:pPr>
            <w:pStyle w:val="15"/>
            <w:tabs>
              <w:tab w:val="right" w:leader="dot" w:pos="8306"/>
            </w:tabs>
          </w:pPr>
          <w:r>
            <w:fldChar w:fldCharType="begin"/>
          </w:r>
          <w:r>
            <w:instrText xml:space="preserve"> HYPERLINK \l _Toc11277 </w:instrText>
          </w:r>
          <w:r>
            <w:fldChar w:fldCharType="separate"/>
          </w:r>
          <w:r>
            <w:rPr>
              <w:rFonts w:hint="eastAsia" w:ascii="Times New Roman" w:hAnsi="Times New Roman" w:eastAsia="宋体" w:cs="Courier New"/>
              <w:szCs w:val="30"/>
            </w:rPr>
            <w:t>6.1.2</w:t>
          </w:r>
          <w:r>
            <w:rPr>
              <w:rFonts w:ascii="Times New Roman" w:hAnsi="Times New Roman" w:eastAsia="宋体" w:cs="Courier New"/>
              <w:szCs w:val="30"/>
            </w:rPr>
            <w:t>方案技术评估</w:t>
          </w:r>
          <w:r>
            <w:tab/>
          </w:r>
          <w:r>
            <w:fldChar w:fldCharType="begin"/>
          </w:r>
          <w:r>
            <w:instrText xml:space="preserve"> PAGEREF _Toc11277 \h </w:instrText>
          </w:r>
          <w:r>
            <w:fldChar w:fldCharType="separate"/>
          </w:r>
          <w:r>
            <w:t>54</w:t>
          </w:r>
          <w:r>
            <w:fldChar w:fldCharType="end"/>
          </w:r>
          <w:r>
            <w:fldChar w:fldCharType="end"/>
          </w:r>
        </w:p>
        <w:p>
          <w:pPr>
            <w:pStyle w:val="15"/>
            <w:tabs>
              <w:tab w:val="right" w:leader="dot" w:pos="8306"/>
            </w:tabs>
          </w:pPr>
          <w:r>
            <w:fldChar w:fldCharType="begin"/>
          </w:r>
          <w:r>
            <w:instrText xml:space="preserve"> HYPERLINK \l _Toc11187 </w:instrText>
          </w:r>
          <w:r>
            <w:fldChar w:fldCharType="separate"/>
          </w:r>
          <w:r>
            <w:rPr>
              <w:rFonts w:hint="eastAsia" w:ascii="Times New Roman" w:hAnsi="Times New Roman" w:eastAsia="宋体" w:cs="Courier New"/>
              <w:szCs w:val="30"/>
            </w:rPr>
            <w:t>6.1.3环境评估的内容</w:t>
          </w:r>
          <w:r>
            <w:tab/>
          </w:r>
          <w:r>
            <w:fldChar w:fldCharType="begin"/>
          </w:r>
          <w:r>
            <w:instrText xml:space="preserve"> PAGEREF _Toc11187 \h </w:instrText>
          </w:r>
          <w:r>
            <w:fldChar w:fldCharType="separate"/>
          </w:r>
          <w:r>
            <w:t>54</w:t>
          </w:r>
          <w:r>
            <w:fldChar w:fldCharType="end"/>
          </w:r>
          <w:r>
            <w:fldChar w:fldCharType="end"/>
          </w:r>
        </w:p>
        <w:p>
          <w:pPr>
            <w:pStyle w:val="15"/>
            <w:tabs>
              <w:tab w:val="right" w:leader="dot" w:pos="8306"/>
            </w:tabs>
          </w:pPr>
          <w:r>
            <w:fldChar w:fldCharType="begin"/>
          </w:r>
          <w:r>
            <w:instrText xml:space="preserve"> HYPERLINK \l _Toc31026 </w:instrText>
          </w:r>
          <w:r>
            <w:fldChar w:fldCharType="separate"/>
          </w:r>
          <w:r>
            <w:rPr>
              <w:rFonts w:hint="eastAsia" w:ascii="Times New Roman" w:hAnsi="Times New Roman" w:eastAsia="宋体" w:cs="Courier New"/>
              <w:szCs w:val="30"/>
            </w:rPr>
            <w:t>6.1.4经济评估的内容</w:t>
          </w:r>
          <w:r>
            <w:tab/>
          </w:r>
          <w:r>
            <w:fldChar w:fldCharType="begin"/>
          </w:r>
          <w:r>
            <w:instrText xml:space="preserve"> PAGEREF _Toc31026 \h </w:instrText>
          </w:r>
          <w:r>
            <w:fldChar w:fldCharType="separate"/>
          </w:r>
          <w:r>
            <w:t>54</w:t>
          </w:r>
          <w:r>
            <w:fldChar w:fldCharType="end"/>
          </w:r>
          <w:r>
            <w:fldChar w:fldCharType="end"/>
          </w:r>
        </w:p>
        <w:p>
          <w:pPr>
            <w:pStyle w:val="24"/>
            <w:tabs>
              <w:tab w:val="right" w:leader="dot" w:pos="8306"/>
            </w:tabs>
          </w:pPr>
          <w:r>
            <w:fldChar w:fldCharType="begin"/>
          </w:r>
          <w:r>
            <w:instrText xml:space="preserve"> HYPERLINK \l _Toc8786 </w:instrText>
          </w:r>
          <w:r>
            <w:fldChar w:fldCharType="separate"/>
          </w:r>
          <w:r>
            <w:rPr>
              <w:rFonts w:hint="eastAsia" w:ascii="Times New Roman" w:hAnsi="Times New Roman"/>
              <w:szCs w:val="30"/>
            </w:rPr>
            <w:t>6.</w:t>
          </w:r>
          <w:r>
            <w:rPr>
              <w:rFonts w:hint="eastAsia" w:ascii="Times New Roman" w:hAnsi="Times New Roman"/>
              <w:szCs w:val="30"/>
              <w:lang w:val="en-US" w:eastAsia="zh-CN"/>
            </w:rPr>
            <w:t>2</w:t>
          </w:r>
          <w:r>
            <w:rPr>
              <w:rFonts w:ascii="Times New Roman" w:hAnsi="Times New Roman"/>
              <w:szCs w:val="30"/>
            </w:rPr>
            <w:t>“方案</w:t>
          </w:r>
          <w:r>
            <w:rPr>
              <w:rFonts w:hint="eastAsia" w:ascii="Times New Roman" w:hAnsi="Times New Roman"/>
              <w:szCs w:val="30"/>
              <w:lang w:eastAsia="zh-CN"/>
            </w:rPr>
            <w:t>F2-</w:t>
          </w:r>
          <w:r>
            <w:rPr>
              <w:rFonts w:hint="eastAsia" w:ascii="Times New Roman" w:hAnsi="Times New Roman"/>
              <w:szCs w:val="30"/>
              <w:lang w:val="en-US" w:eastAsia="zh-CN"/>
            </w:rPr>
            <w:t>4</w:t>
          </w:r>
          <w:r>
            <w:rPr>
              <w:rFonts w:hint="eastAsia" w:ascii="Times New Roman" w:hAnsi="Times New Roman"/>
              <w:szCs w:val="30"/>
              <w:lang w:eastAsia="zh-CN"/>
            </w:rPr>
            <w:t>：</w:t>
          </w:r>
          <w:r>
            <w:rPr>
              <w:rFonts w:hint="eastAsia"/>
              <w:snapToGrid w:val="0"/>
              <w:kern w:val="24"/>
              <w:lang w:eastAsia="zh-CN"/>
            </w:rPr>
            <w:t>自动混料系统</w:t>
          </w:r>
          <w:r>
            <w:rPr>
              <w:rFonts w:hint="eastAsia" w:ascii="Times New Roman" w:hAnsi="Times New Roman"/>
              <w:szCs w:val="30"/>
              <w:lang w:eastAsia="zh-CN"/>
            </w:rPr>
            <w:t>”</w:t>
          </w:r>
          <w:r>
            <w:rPr>
              <w:rFonts w:ascii="Times New Roman" w:hAnsi="Times New Roman"/>
              <w:szCs w:val="30"/>
            </w:rPr>
            <w:t>可行性分析</w:t>
          </w:r>
          <w:r>
            <w:tab/>
          </w:r>
          <w:r>
            <w:fldChar w:fldCharType="begin"/>
          </w:r>
          <w:r>
            <w:instrText xml:space="preserve"> PAGEREF _Toc8786 \h </w:instrText>
          </w:r>
          <w:r>
            <w:fldChar w:fldCharType="separate"/>
          </w:r>
          <w:r>
            <w:t>55</w:t>
          </w:r>
          <w:r>
            <w:fldChar w:fldCharType="end"/>
          </w:r>
          <w:r>
            <w:fldChar w:fldCharType="end"/>
          </w:r>
        </w:p>
        <w:p>
          <w:pPr>
            <w:pStyle w:val="15"/>
            <w:tabs>
              <w:tab w:val="right" w:leader="dot" w:pos="8306"/>
            </w:tabs>
          </w:pPr>
          <w:r>
            <w:fldChar w:fldCharType="begin"/>
          </w:r>
          <w:r>
            <w:instrText xml:space="preserve"> HYPERLINK \l _Toc19785 </w:instrText>
          </w:r>
          <w:r>
            <w:fldChar w:fldCharType="separate"/>
          </w:r>
          <w:r>
            <w:rPr>
              <w:rFonts w:hint="eastAsia" w:ascii="Times New Roman" w:hAnsi="Times New Roman" w:eastAsia="宋体" w:cs="Courier New"/>
              <w:szCs w:val="30"/>
            </w:rPr>
            <w:t>6.</w:t>
          </w:r>
          <w:r>
            <w:rPr>
              <w:rFonts w:hint="eastAsia" w:ascii="Times New Roman" w:hAnsi="Times New Roman" w:eastAsia="宋体" w:cs="Courier New"/>
              <w:szCs w:val="30"/>
              <w:lang w:val="en-US" w:eastAsia="zh-CN"/>
            </w:rPr>
            <w:t>2</w:t>
          </w:r>
          <w:r>
            <w:rPr>
              <w:rFonts w:hint="eastAsia" w:ascii="Times New Roman" w:hAnsi="Times New Roman" w:eastAsia="宋体" w:cs="Courier New"/>
              <w:szCs w:val="30"/>
            </w:rPr>
            <w:t>.1</w:t>
          </w:r>
          <w:r>
            <w:rPr>
              <w:rFonts w:ascii="Times New Roman" w:hAnsi="Times New Roman" w:eastAsia="宋体" w:cs="Courier New"/>
              <w:szCs w:val="30"/>
            </w:rPr>
            <w:t>方案</w:t>
          </w:r>
          <w:r>
            <w:rPr>
              <w:rFonts w:hint="eastAsia" w:ascii="Times New Roman" w:hAnsi="Times New Roman" w:eastAsia="宋体" w:cs="Courier New"/>
              <w:szCs w:val="30"/>
            </w:rPr>
            <w:t>产生背景</w:t>
          </w:r>
          <w:r>
            <w:tab/>
          </w:r>
          <w:r>
            <w:fldChar w:fldCharType="begin"/>
          </w:r>
          <w:r>
            <w:instrText xml:space="preserve"> PAGEREF _Toc19785 \h </w:instrText>
          </w:r>
          <w:r>
            <w:fldChar w:fldCharType="separate"/>
          </w:r>
          <w:r>
            <w:t>55</w:t>
          </w:r>
          <w:r>
            <w:fldChar w:fldCharType="end"/>
          </w:r>
          <w:r>
            <w:fldChar w:fldCharType="end"/>
          </w:r>
        </w:p>
        <w:p>
          <w:pPr>
            <w:pStyle w:val="15"/>
            <w:tabs>
              <w:tab w:val="right" w:leader="dot" w:pos="8306"/>
            </w:tabs>
          </w:pPr>
          <w:r>
            <w:fldChar w:fldCharType="begin"/>
          </w:r>
          <w:r>
            <w:instrText xml:space="preserve"> HYPERLINK \l _Toc1994 </w:instrText>
          </w:r>
          <w:r>
            <w:fldChar w:fldCharType="separate"/>
          </w:r>
          <w:r>
            <w:rPr>
              <w:rFonts w:hint="eastAsia" w:ascii="Times New Roman" w:hAnsi="Times New Roman" w:eastAsia="宋体" w:cs="Courier New"/>
              <w:szCs w:val="30"/>
            </w:rPr>
            <w:t>6.</w:t>
          </w:r>
          <w:r>
            <w:rPr>
              <w:rFonts w:hint="eastAsia" w:ascii="Times New Roman" w:hAnsi="Times New Roman" w:eastAsia="宋体" w:cs="Courier New"/>
              <w:szCs w:val="30"/>
              <w:lang w:val="en-US" w:eastAsia="zh-CN"/>
            </w:rPr>
            <w:t>2</w:t>
          </w:r>
          <w:r>
            <w:rPr>
              <w:rFonts w:hint="eastAsia" w:ascii="Times New Roman" w:hAnsi="Times New Roman" w:eastAsia="宋体" w:cs="Courier New"/>
              <w:szCs w:val="30"/>
            </w:rPr>
            <w:t>.2</w:t>
          </w:r>
          <w:r>
            <w:rPr>
              <w:rFonts w:ascii="Times New Roman" w:hAnsi="Times New Roman" w:eastAsia="宋体" w:cs="Courier New"/>
              <w:szCs w:val="30"/>
            </w:rPr>
            <w:t>方案技术评估</w:t>
          </w:r>
          <w:r>
            <w:tab/>
          </w:r>
          <w:r>
            <w:fldChar w:fldCharType="begin"/>
          </w:r>
          <w:r>
            <w:instrText xml:space="preserve"> PAGEREF _Toc1994 \h </w:instrText>
          </w:r>
          <w:r>
            <w:fldChar w:fldCharType="separate"/>
          </w:r>
          <w:r>
            <w:t>55</w:t>
          </w:r>
          <w:r>
            <w:fldChar w:fldCharType="end"/>
          </w:r>
          <w:r>
            <w:fldChar w:fldCharType="end"/>
          </w:r>
        </w:p>
        <w:p>
          <w:pPr>
            <w:pStyle w:val="15"/>
            <w:tabs>
              <w:tab w:val="right" w:leader="dot" w:pos="8306"/>
            </w:tabs>
          </w:pPr>
          <w:r>
            <w:fldChar w:fldCharType="begin"/>
          </w:r>
          <w:r>
            <w:instrText xml:space="preserve"> HYPERLINK \l _Toc23239 </w:instrText>
          </w:r>
          <w:r>
            <w:fldChar w:fldCharType="separate"/>
          </w:r>
          <w:r>
            <w:rPr>
              <w:rFonts w:hint="eastAsia" w:ascii="Times New Roman" w:hAnsi="Times New Roman" w:eastAsia="宋体" w:cs="Courier New"/>
              <w:szCs w:val="30"/>
            </w:rPr>
            <w:t>6.</w:t>
          </w:r>
          <w:r>
            <w:rPr>
              <w:rFonts w:hint="eastAsia" w:ascii="Times New Roman" w:hAnsi="Times New Roman" w:eastAsia="宋体" w:cs="Courier New"/>
              <w:szCs w:val="30"/>
              <w:lang w:val="en-US" w:eastAsia="zh-CN"/>
            </w:rPr>
            <w:t>2</w:t>
          </w:r>
          <w:r>
            <w:rPr>
              <w:rFonts w:hint="eastAsia" w:ascii="Times New Roman" w:hAnsi="Times New Roman" w:eastAsia="宋体" w:cs="Courier New"/>
              <w:szCs w:val="30"/>
            </w:rPr>
            <w:t>.3环境评估的内容</w:t>
          </w:r>
          <w:r>
            <w:tab/>
          </w:r>
          <w:r>
            <w:fldChar w:fldCharType="begin"/>
          </w:r>
          <w:r>
            <w:instrText xml:space="preserve"> PAGEREF _Toc23239 \h </w:instrText>
          </w:r>
          <w:r>
            <w:fldChar w:fldCharType="separate"/>
          </w:r>
          <w:r>
            <w:t>56</w:t>
          </w:r>
          <w:r>
            <w:fldChar w:fldCharType="end"/>
          </w:r>
          <w:r>
            <w:fldChar w:fldCharType="end"/>
          </w:r>
        </w:p>
        <w:p>
          <w:pPr>
            <w:pStyle w:val="15"/>
            <w:tabs>
              <w:tab w:val="right" w:leader="dot" w:pos="8306"/>
            </w:tabs>
          </w:pPr>
          <w:r>
            <w:fldChar w:fldCharType="begin"/>
          </w:r>
          <w:r>
            <w:instrText xml:space="preserve"> HYPERLINK \l _Toc31808 </w:instrText>
          </w:r>
          <w:r>
            <w:fldChar w:fldCharType="separate"/>
          </w:r>
          <w:r>
            <w:rPr>
              <w:rFonts w:hint="eastAsia" w:ascii="Times New Roman" w:hAnsi="Times New Roman" w:eastAsia="宋体" w:cs="Courier New"/>
              <w:szCs w:val="30"/>
            </w:rPr>
            <w:t>6.</w:t>
          </w:r>
          <w:r>
            <w:rPr>
              <w:rFonts w:hint="eastAsia" w:ascii="Times New Roman" w:hAnsi="Times New Roman" w:eastAsia="宋体" w:cs="Courier New"/>
              <w:szCs w:val="30"/>
              <w:lang w:val="en-US" w:eastAsia="zh-CN"/>
            </w:rPr>
            <w:t>2</w:t>
          </w:r>
          <w:r>
            <w:rPr>
              <w:rFonts w:hint="eastAsia" w:ascii="Times New Roman" w:hAnsi="Times New Roman" w:eastAsia="宋体" w:cs="Courier New"/>
              <w:szCs w:val="30"/>
            </w:rPr>
            <w:t>.4经济评估的内容</w:t>
          </w:r>
          <w:r>
            <w:tab/>
          </w:r>
          <w:r>
            <w:fldChar w:fldCharType="begin"/>
          </w:r>
          <w:r>
            <w:instrText xml:space="preserve"> PAGEREF _Toc31808 \h </w:instrText>
          </w:r>
          <w:r>
            <w:fldChar w:fldCharType="separate"/>
          </w:r>
          <w:r>
            <w:t>57</w:t>
          </w:r>
          <w:r>
            <w:fldChar w:fldCharType="end"/>
          </w:r>
          <w:r>
            <w:fldChar w:fldCharType="end"/>
          </w:r>
        </w:p>
        <w:p>
          <w:pPr>
            <w:pStyle w:val="24"/>
            <w:tabs>
              <w:tab w:val="right" w:leader="dot" w:pos="8306"/>
            </w:tabs>
          </w:pPr>
          <w:r>
            <w:fldChar w:fldCharType="begin"/>
          </w:r>
          <w:r>
            <w:instrText xml:space="preserve"> HYPERLINK \l _Toc8884 </w:instrText>
          </w:r>
          <w:r>
            <w:fldChar w:fldCharType="separate"/>
          </w:r>
          <w:r>
            <w:rPr>
              <w:rFonts w:hint="eastAsia" w:ascii="Times New Roman" w:hAnsi="Times New Roman"/>
              <w:szCs w:val="30"/>
            </w:rPr>
            <w:t>6.</w:t>
          </w:r>
          <w:r>
            <w:rPr>
              <w:rFonts w:hint="eastAsia" w:ascii="Times New Roman" w:hAnsi="Times New Roman"/>
              <w:szCs w:val="30"/>
              <w:lang w:val="en-US" w:eastAsia="zh-CN"/>
            </w:rPr>
            <w:t>3</w:t>
          </w:r>
          <w:r>
            <w:rPr>
              <w:rFonts w:ascii="Times New Roman" w:hAnsi="Times New Roman"/>
              <w:szCs w:val="30"/>
            </w:rPr>
            <w:t>推荐可实施</w:t>
          </w:r>
          <w:r>
            <w:rPr>
              <w:rFonts w:hint="eastAsia" w:ascii="Times New Roman" w:hAnsi="Times New Roman"/>
              <w:szCs w:val="30"/>
            </w:rPr>
            <w:t>中高费</w:t>
          </w:r>
          <w:r>
            <w:rPr>
              <w:rFonts w:ascii="Times New Roman" w:hAnsi="Times New Roman"/>
              <w:szCs w:val="30"/>
            </w:rPr>
            <w:t>方案</w:t>
          </w:r>
          <w:r>
            <w:tab/>
          </w:r>
          <w:r>
            <w:fldChar w:fldCharType="begin"/>
          </w:r>
          <w:r>
            <w:instrText xml:space="preserve"> PAGEREF _Toc8884 \h </w:instrText>
          </w:r>
          <w:r>
            <w:fldChar w:fldCharType="separate"/>
          </w:r>
          <w:r>
            <w:t>57</w:t>
          </w:r>
          <w:r>
            <w:fldChar w:fldCharType="end"/>
          </w:r>
          <w:r>
            <w:fldChar w:fldCharType="end"/>
          </w:r>
        </w:p>
        <w:p>
          <w:pPr>
            <w:pStyle w:val="21"/>
            <w:tabs>
              <w:tab w:val="right" w:leader="dot" w:pos="8306"/>
            </w:tabs>
          </w:pPr>
          <w:r>
            <w:fldChar w:fldCharType="begin"/>
          </w:r>
          <w:r>
            <w:instrText xml:space="preserve"> HYPERLINK \l _Toc16431 </w:instrText>
          </w:r>
          <w:r>
            <w:fldChar w:fldCharType="separate"/>
          </w:r>
          <w:r>
            <w:rPr>
              <w:rFonts w:hint="eastAsia" w:cs="Times New Roman" w:asciiTheme="minorEastAsia" w:hAnsiTheme="minorEastAsia" w:eastAsiaTheme="minorEastAsia"/>
              <w:szCs w:val="36"/>
            </w:rPr>
            <w:t>七、</w:t>
          </w:r>
          <w:r>
            <w:rPr>
              <w:rFonts w:cs="Times New Roman" w:asciiTheme="minorEastAsia" w:hAnsiTheme="minorEastAsia" w:eastAsiaTheme="minorEastAsia"/>
              <w:szCs w:val="36"/>
            </w:rPr>
            <w:t>方案的实施</w:t>
          </w:r>
          <w:r>
            <w:tab/>
          </w:r>
          <w:r>
            <w:fldChar w:fldCharType="begin"/>
          </w:r>
          <w:r>
            <w:instrText xml:space="preserve"> PAGEREF _Toc16431 \h </w:instrText>
          </w:r>
          <w:r>
            <w:fldChar w:fldCharType="separate"/>
          </w:r>
          <w:r>
            <w:t>59</w:t>
          </w:r>
          <w:r>
            <w:fldChar w:fldCharType="end"/>
          </w:r>
          <w:r>
            <w:fldChar w:fldCharType="end"/>
          </w:r>
        </w:p>
        <w:p>
          <w:pPr>
            <w:pStyle w:val="24"/>
            <w:tabs>
              <w:tab w:val="right" w:leader="dot" w:pos="8306"/>
            </w:tabs>
          </w:pPr>
          <w:r>
            <w:fldChar w:fldCharType="begin"/>
          </w:r>
          <w:r>
            <w:instrText xml:space="preserve"> HYPERLINK \l _Toc24809 </w:instrText>
          </w:r>
          <w:r>
            <w:fldChar w:fldCharType="separate"/>
          </w:r>
          <w:r>
            <w:rPr>
              <w:rFonts w:hint="eastAsia" w:ascii="Times New Roman" w:hAnsi="Times New Roman"/>
              <w:szCs w:val="30"/>
            </w:rPr>
            <w:t>7.1组织方案实施</w:t>
          </w:r>
          <w:r>
            <w:tab/>
          </w:r>
          <w:r>
            <w:fldChar w:fldCharType="begin"/>
          </w:r>
          <w:r>
            <w:instrText xml:space="preserve"> PAGEREF _Toc24809 \h </w:instrText>
          </w:r>
          <w:r>
            <w:fldChar w:fldCharType="separate"/>
          </w:r>
          <w:r>
            <w:t>59</w:t>
          </w:r>
          <w:r>
            <w:fldChar w:fldCharType="end"/>
          </w:r>
          <w:r>
            <w:fldChar w:fldCharType="end"/>
          </w:r>
        </w:p>
        <w:p>
          <w:pPr>
            <w:pStyle w:val="24"/>
            <w:tabs>
              <w:tab w:val="right" w:leader="dot" w:pos="8306"/>
            </w:tabs>
          </w:pPr>
          <w:r>
            <w:fldChar w:fldCharType="begin"/>
          </w:r>
          <w:r>
            <w:instrText xml:space="preserve"> HYPERLINK \l _Toc20524 </w:instrText>
          </w:r>
          <w:r>
            <w:fldChar w:fldCharType="separate"/>
          </w:r>
          <w:r>
            <w:rPr>
              <w:rFonts w:hint="eastAsia" w:ascii="Times New Roman" w:hAnsi="Times New Roman"/>
              <w:szCs w:val="30"/>
            </w:rPr>
            <w:t>7.2已</w:t>
          </w:r>
          <w:r>
            <w:rPr>
              <w:rFonts w:ascii="Times New Roman" w:hAnsi="Times New Roman"/>
              <w:szCs w:val="30"/>
            </w:rPr>
            <w:t>实施方案情况简述</w:t>
          </w:r>
          <w:r>
            <w:tab/>
          </w:r>
          <w:r>
            <w:fldChar w:fldCharType="begin"/>
          </w:r>
          <w:r>
            <w:instrText xml:space="preserve"> PAGEREF _Toc20524 \h </w:instrText>
          </w:r>
          <w:r>
            <w:fldChar w:fldCharType="separate"/>
          </w:r>
          <w:r>
            <w:t>60</w:t>
          </w:r>
          <w:r>
            <w:fldChar w:fldCharType="end"/>
          </w:r>
          <w:r>
            <w:fldChar w:fldCharType="end"/>
          </w:r>
        </w:p>
        <w:p>
          <w:pPr>
            <w:pStyle w:val="15"/>
            <w:tabs>
              <w:tab w:val="right" w:leader="dot" w:pos="8306"/>
            </w:tabs>
          </w:pPr>
          <w:r>
            <w:fldChar w:fldCharType="begin"/>
          </w:r>
          <w:r>
            <w:instrText xml:space="preserve"> HYPERLINK \l _Toc5952 </w:instrText>
          </w:r>
          <w:r>
            <w:fldChar w:fldCharType="separate"/>
          </w:r>
          <w:r>
            <w:rPr>
              <w:rFonts w:hint="eastAsia" w:ascii="Times New Roman" w:hAnsi="Times New Roman" w:eastAsia="宋体" w:cs="Courier New"/>
              <w:szCs w:val="30"/>
            </w:rPr>
            <w:t>7.2.1无低费方案实施情况汇总</w:t>
          </w:r>
          <w:r>
            <w:tab/>
          </w:r>
          <w:r>
            <w:fldChar w:fldCharType="begin"/>
          </w:r>
          <w:r>
            <w:instrText xml:space="preserve"> PAGEREF _Toc5952 \h </w:instrText>
          </w:r>
          <w:r>
            <w:fldChar w:fldCharType="separate"/>
          </w:r>
          <w:r>
            <w:t>60</w:t>
          </w:r>
          <w:r>
            <w:fldChar w:fldCharType="end"/>
          </w:r>
          <w:r>
            <w:fldChar w:fldCharType="end"/>
          </w:r>
        </w:p>
        <w:p>
          <w:pPr>
            <w:pStyle w:val="15"/>
            <w:tabs>
              <w:tab w:val="right" w:leader="dot" w:pos="8306"/>
            </w:tabs>
          </w:pPr>
          <w:r>
            <w:fldChar w:fldCharType="begin"/>
          </w:r>
          <w:r>
            <w:instrText xml:space="preserve"> HYPERLINK \l _Toc10202 </w:instrText>
          </w:r>
          <w:r>
            <w:fldChar w:fldCharType="separate"/>
          </w:r>
          <w:r>
            <w:rPr>
              <w:rFonts w:hint="eastAsia" w:ascii="Times New Roman" w:hAnsi="Times New Roman" w:eastAsia="宋体" w:cs="Courier New"/>
              <w:szCs w:val="30"/>
            </w:rPr>
            <w:t>7.2.2中高费方案实施情况汇总</w:t>
          </w:r>
          <w:r>
            <w:tab/>
          </w:r>
          <w:r>
            <w:fldChar w:fldCharType="begin"/>
          </w:r>
          <w:r>
            <w:instrText xml:space="preserve"> PAGEREF _Toc10202 \h </w:instrText>
          </w:r>
          <w:r>
            <w:fldChar w:fldCharType="separate"/>
          </w:r>
          <w:r>
            <w:t>61</w:t>
          </w:r>
          <w:r>
            <w:fldChar w:fldCharType="end"/>
          </w:r>
          <w:r>
            <w:fldChar w:fldCharType="end"/>
          </w:r>
        </w:p>
        <w:p>
          <w:pPr>
            <w:pStyle w:val="24"/>
            <w:tabs>
              <w:tab w:val="right" w:leader="dot" w:pos="8306"/>
            </w:tabs>
          </w:pPr>
          <w:r>
            <w:fldChar w:fldCharType="begin"/>
          </w:r>
          <w:r>
            <w:instrText xml:space="preserve"> HYPERLINK \l _Toc5950 </w:instrText>
          </w:r>
          <w:r>
            <w:fldChar w:fldCharType="separate"/>
          </w:r>
          <w:r>
            <w:rPr>
              <w:rFonts w:hint="eastAsia" w:ascii="Times New Roman" w:hAnsi="Times New Roman"/>
              <w:szCs w:val="30"/>
            </w:rPr>
            <w:t>7.3已实施方案效益汇总</w:t>
          </w:r>
          <w:r>
            <w:tab/>
          </w:r>
          <w:r>
            <w:fldChar w:fldCharType="begin"/>
          </w:r>
          <w:r>
            <w:instrText xml:space="preserve"> PAGEREF _Toc5950 \h </w:instrText>
          </w:r>
          <w:r>
            <w:fldChar w:fldCharType="separate"/>
          </w:r>
          <w:r>
            <w:t>61</w:t>
          </w:r>
          <w:r>
            <w:fldChar w:fldCharType="end"/>
          </w:r>
          <w:r>
            <w:fldChar w:fldCharType="end"/>
          </w:r>
        </w:p>
        <w:p>
          <w:pPr>
            <w:pStyle w:val="24"/>
            <w:tabs>
              <w:tab w:val="right" w:leader="dot" w:pos="8306"/>
            </w:tabs>
          </w:pPr>
          <w:r>
            <w:fldChar w:fldCharType="begin"/>
          </w:r>
          <w:r>
            <w:instrText xml:space="preserve"> HYPERLINK \l _Toc11630 </w:instrText>
          </w:r>
          <w:r>
            <w:fldChar w:fldCharType="separate"/>
          </w:r>
          <w:r>
            <w:rPr>
              <w:rFonts w:hint="eastAsia" w:ascii="Times New Roman" w:hAnsi="Times New Roman"/>
              <w:szCs w:val="30"/>
            </w:rPr>
            <w:t>7.4拟实施方案实施计划与效益预测</w:t>
          </w:r>
          <w:r>
            <w:tab/>
          </w:r>
          <w:r>
            <w:fldChar w:fldCharType="begin"/>
          </w:r>
          <w:r>
            <w:instrText xml:space="preserve"> PAGEREF _Toc11630 \h </w:instrText>
          </w:r>
          <w:r>
            <w:fldChar w:fldCharType="separate"/>
          </w:r>
          <w:r>
            <w:t>62</w:t>
          </w:r>
          <w:r>
            <w:fldChar w:fldCharType="end"/>
          </w:r>
          <w:r>
            <w:fldChar w:fldCharType="end"/>
          </w:r>
        </w:p>
        <w:p>
          <w:pPr>
            <w:pStyle w:val="15"/>
            <w:tabs>
              <w:tab w:val="right" w:leader="dot" w:pos="8306"/>
            </w:tabs>
          </w:pPr>
          <w:r>
            <w:fldChar w:fldCharType="begin"/>
          </w:r>
          <w:r>
            <w:instrText xml:space="preserve"> HYPERLINK \l _Toc9720 </w:instrText>
          </w:r>
          <w:r>
            <w:fldChar w:fldCharType="separate"/>
          </w:r>
          <w:r>
            <w:rPr>
              <w:rFonts w:hint="eastAsia" w:ascii="Times New Roman" w:hAnsi="Times New Roman" w:eastAsia="宋体" w:cs="Courier New"/>
              <w:szCs w:val="30"/>
            </w:rPr>
            <w:t>7</w:t>
          </w:r>
          <w:r>
            <w:rPr>
              <w:rFonts w:ascii="Times New Roman" w:hAnsi="Times New Roman" w:eastAsia="宋体" w:cs="Courier New"/>
              <w:szCs w:val="30"/>
            </w:rPr>
            <w:t>.</w:t>
          </w:r>
          <w:r>
            <w:rPr>
              <w:rFonts w:hint="eastAsia" w:ascii="Times New Roman" w:hAnsi="Times New Roman" w:eastAsia="宋体" w:cs="Courier New"/>
              <w:szCs w:val="30"/>
            </w:rPr>
            <w:t>4</w:t>
          </w:r>
          <w:r>
            <w:rPr>
              <w:rFonts w:ascii="Times New Roman" w:hAnsi="Times New Roman" w:eastAsia="宋体" w:cs="Courier New"/>
              <w:szCs w:val="30"/>
            </w:rPr>
            <w:t>.1拟实施方案</w:t>
          </w:r>
          <w:r>
            <w:rPr>
              <w:rFonts w:hint="eastAsia" w:ascii="Times New Roman" w:hAnsi="Times New Roman" w:eastAsia="宋体" w:cs="Courier New"/>
              <w:szCs w:val="30"/>
            </w:rPr>
            <w:t>实施</w:t>
          </w:r>
          <w:r>
            <w:rPr>
              <w:rFonts w:ascii="Times New Roman" w:hAnsi="Times New Roman" w:eastAsia="宋体" w:cs="Courier New"/>
              <w:szCs w:val="30"/>
            </w:rPr>
            <w:t>计划</w:t>
          </w:r>
          <w:r>
            <w:tab/>
          </w:r>
          <w:r>
            <w:fldChar w:fldCharType="begin"/>
          </w:r>
          <w:r>
            <w:instrText xml:space="preserve"> PAGEREF _Toc9720 \h </w:instrText>
          </w:r>
          <w:r>
            <w:fldChar w:fldCharType="separate"/>
          </w:r>
          <w:r>
            <w:t>62</w:t>
          </w:r>
          <w:r>
            <w:fldChar w:fldCharType="end"/>
          </w:r>
          <w:r>
            <w:fldChar w:fldCharType="end"/>
          </w:r>
        </w:p>
        <w:p>
          <w:pPr>
            <w:pStyle w:val="15"/>
            <w:tabs>
              <w:tab w:val="right" w:leader="dot" w:pos="8306"/>
            </w:tabs>
          </w:pPr>
          <w:r>
            <w:fldChar w:fldCharType="begin"/>
          </w:r>
          <w:r>
            <w:instrText xml:space="preserve"> HYPERLINK \l _Toc4729 </w:instrText>
          </w:r>
          <w:r>
            <w:fldChar w:fldCharType="separate"/>
          </w:r>
          <w:r>
            <w:rPr>
              <w:rFonts w:hint="eastAsia" w:ascii="Times New Roman" w:hAnsi="Times New Roman" w:eastAsia="宋体" w:cs="Courier New"/>
              <w:szCs w:val="30"/>
            </w:rPr>
            <w:t>7</w:t>
          </w:r>
          <w:r>
            <w:rPr>
              <w:rFonts w:ascii="Times New Roman" w:hAnsi="Times New Roman" w:eastAsia="宋体" w:cs="Courier New"/>
              <w:szCs w:val="30"/>
            </w:rPr>
            <w:t>.</w:t>
          </w:r>
          <w:r>
            <w:rPr>
              <w:rFonts w:hint="eastAsia" w:ascii="Times New Roman" w:hAnsi="Times New Roman" w:eastAsia="宋体" w:cs="Courier New"/>
              <w:szCs w:val="30"/>
            </w:rPr>
            <w:t>4</w:t>
          </w:r>
          <w:r>
            <w:rPr>
              <w:rFonts w:ascii="Times New Roman" w:hAnsi="Times New Roman" w:eastAsia="宋体" w:cs="Courier New"/>
              <w:szCs w:val="30"/>
            </w:rPr>
            <w:t>.2拟实施方案的成果预测</w:t>
          </w:r>
          <w:r>
            <w:tab/>
          </w:r>
          <w:r>
            <w:fldChar w:fldCharType="begin"/>
          </w:r>
          <w:r>
            <w:instrText xml:space="preserve"> PAGEREF _Toc4729 \h </w:instrText>
          </w:r>
          <w:r>
            <w:fldChar w:fldCharType="separate"/>
          </w:r>
          <w:r>
            <w:t>62</w:t>
          </w:r>
          <w:r>
            <w:fldChar w:fldCharType="end"/>
          </w:r>
          <w:r>
            <w:fldChar w:fldCharType="end"/>
          </w:r>
        </w:p>
        <w:p>
          <w:pPr>
            <w:pStyle w:val="24"/>
            <w:tabs>
              <w:tab w:val="right" w:leader="dot" w:pos="8306"/>
            </w:tabs>
          </w:pPr>
          <w:r>
            <w:fldChar w:fldCharType="begin"/>
          </w:r>
          <w:r>
            <w:instrText xml:space="preserve"> HYPERLINK \l _Toc29769 </w:instrText>
          </w:r>
          <w:r>
            <w:fldChar w:fldCharType="separate"/>
          </w:r>
          <w:r>
            <w:rPr>
              <w:rFonts w:hint="eastAsia" w:ascii="Times New Roman" w:hAnsi="Times New Roman"/>
              <w:szCs w:val="30"/>
            </w:rPr>
            <w:t>7.</w:t>
          </w:r>
          <w:r>
            <w:rPr>
              <w:rFonts w:hint="eastAsia" w:ascii="Times New Roman" w:hAnsi="Times New Roman"/>
              <w:szCs w:val="30"/>
              <w:lang w:val="en-US" w:eastAsia="zh-CN"/>
            </w:rPr>
            <w:t>5</w:t>
          </w:r>
          <w:r>
            <w:rPr>
              <w:rFonts w:hint="eastAsia" w:ascii="Times New Roman" w:hAnsi="Times New Roman"/>
              <w:szCs w:val="30"/>
            </w:rPr>
            <w:t>全部方案实施后的效益评估</w:t>
          </w:r>
          <w:r>
            <w:tab/>
          </w:r>
          <w:r>
            <w:fldChar w:fldCharType="begin"/>
          </w:r>
          <w:r>
            <w:instrText xml:space="preserve"> PAGEREF _Toc29769 \h </w:instrText>
          </w:r>
          <w:r>
            <w:fldChar w:fldCharType="separate"/>
          </w:r>
          <w:r>
            <w:t>62</w:t>
          </w:r>
          <w:r>
            <w:fldChar w:fldCharType="end"/>
          </w:r>
          <w:r>
            <w:fldChar w:fldCharType="end"/>
          </w:r>
        </w:p>
        <w:p>
          <w:pPr>
            <w:pStyle w:val="24"/>
            <w:tabs>
              <w:tab w:val="right" w:leader="dot" w:pos="8306"/>
            </w:tabs>
          </w:pPr>
          <w:r>
            <w:fldChar w:fldCharType="begin"/>
          </w:r>
          <w:r>
            <w:instrText xml:space="preserve"> HYPERLINK \l _Toc7118 </w:instrText>
          </w:r>
          <w:r>
            <w:fldChar w:fldCharType="separate"/>
          </w:r>
          <w:r>
            <w:rPr>
              <w:rFonts w:hint="eastAsia" w:ascii="Times New Roman" w:hAnsi="Times New Roman"/>
              <w:szCs w:val="30"/>
            </w:rPr>
            <w:t>7.</w:t>
          </w:r>
          <w:r>
            <w:rPr>
              <w:rFonts w:hint="eastAsia" w:ascii="Times New Roman" w:hAnsi="Times New Roman"/>
              <w:szCs w:val="30"/>
              <w:lang w:val="en-US" w:eastAsia="zh-CN"/>
            </w:rPr>
            <w:t>6</w:t>
          </w:r>
          <w:r>
            <w:rPr>
              <w:rFonts w:hint="eastAsia" w:ascii="Times New Roman" w:hAnsi="Times New Roman"/>
              <w:szCs w:val="30"/>
            </w:rPr>
            <w:t>审核目标可达性分析</w:t>
          </w:r>
          <w:r>
            <w:tab/>
          </w:r>
          <w:r>
            <w:fldChar w:fldCharType="begin"/>
          </w:r>
          <w:r>
            <w:instrText xml:space="preserve"> PAGEREF _Toc7118 \h </w:instrText>
          </w:r>
          <w:r>
            <w:fldChar w:fldCharType="separate"/>
          </w:r>
          <w:r>
            <w:t>63</w:t>
          </w:r>
          <w:r>
            <w:fldChar w:fldCharType="end"/>
          </w:r>
          <w:r>
            <w:fldChar w:fldCharType="end"/>
          </w:r>
        </w:p>
        <w:p>
          <w:pPr>
            <w:pStyle w:val="21"/>
            <w:tabs>
              <w:tab w:val="right" w:leader="dot" w:pos="8306"/>
            </w:tabs>
          </w:pPr>
          <w:r>
            <w:fldChar w:fldCharType="begin"/>
          </w:r>
          <w:r>
            <w:instrText xml:space="preserve"> HYPERLINK \l _Toc13715 </w:instrText>
          </w:r>
          <w:r>
            <w:fldChar w:fldCharType="separate"/>
          </w:r>
          <w:r>
            <w:rPr>
              <w:rFonts w:hint="eastAsia" w:ascii="Times New Roman" w:hAnsi="Times New Roman" w:eastAsia="黑体" w:cs="Times New Roman"/>
              <w:szCs w:val="36"/>
            </w:rPr>
            <w:t>八、</w:t>
          </w:r>
          <w:r>
            <w:rPr>
              <w:rFonts w:ascii="Times New Roman" w:hAnsi="Times New Roman" w:eastAsia="黑体" w:cs="Times New Roman"/>
              <w:szCs w:val="36"/>
            </w:rPr>
            <w:t>持续清洁生产</w:t>
          </w:r>
          <w:r>
            <w:tab/>
          </w:r>
          <w:r>
            <w:fldChar w:fldCharType="begin"/>
          </w:r>
          <w:r>
            <w:instrText xml:space="preserve"> PAGEREF _Toc13715 \h </w:instrText>
          </w:r>
          <w:r>
            <w:fldChar w:fldCharType="separate"/>
          </w:r>
          <w:r>
            <w:t>64</w:t>
          </w:r>
          <w:r>
            <w:fldChar w:fldCharType="end"/>
          </w:r>
          <w:r>
            <w:fldChar w:fldCharType="end"/>
          </w:r>
        </w:p>
        <w:p>
          <w:pPr>
            <w:pStyle w:val="24"/>
            <w:tabs>
              <w:tab w:val="right" w:leader="dot" w:pos="8306"/>
            </w:tabs>
          </w:pPr>
          <w:r>
            <w:fldChar w:fldCharType="begin"/>
          </w:r>
          <w:r>
            <w:instrText xml:space="preserve"> HYPERLINK \l _Toc4536 </w:instrText>
          </w:r>
          <w:r>
            <w:fldChar w:fldCharType="separate"/>
          </w:r>
          <w:r>
            <w:rPr>
              <w:rFonts w:hint="eastAsia" w:ascii="Times New Roman" w:hAnsi="Times New Roman"/>
              <w:szCs w:val="30"/>
            </w:rPr>
            <w:t>8</w:t>
          </w:r>
          <w:r>
            <w:rPr>
              <w:rFonts w:ascii="Times New Roman" w:hAnsi="Times New Roman"/>
              <w:szCs w:val="30"/>
            </w:rPr>
            <w:t>.1</w:t>
          </w:r>
          <w:r>
            <w:rPr>
              <w:rFonts w:hint="eastAsia" w:ascii="Times New Roman" w:hAnsi="Times New Roman"/>
              <w:szCs w:val="30"/>
            </w:rPr>
            <w:t>建立和</w:t>
          </w:r>
          <w:r>
            <w:rPr>
              <w:rFonts w:ascii="Times New Roman" w:hAnsi="Times New Roman"/>
              <w:szCs w:val="30"/>
            </w:rPr>
            <w:t>完善清洁生产组织</w:t>
          </w:r>
          <w:r>
            <w:tab/>
          </w:r>
          <w:r>
            <w:fldChar w:fldCharType="begin"/>
          </w:r>
          <w:r>
            <w:instrText xml:space="preserve"> PAGEREF _Toc4536 \h </w:instrText>
          </w:r>
          <w:r>
            <w:fldChar w:fldCharType="separate"/>
          </w:r>
          <w:r>
            <w:t>64</w:t>
          </w:r>
          <w:r>
            <w:fldChar w:fldCharType="end"/>
          </w:r>
          <w:r>
            <w:fldChar w:fldCharType="end"/>
          </w:r>
        </w:p>
        <w:p>
          <w:pPr>
            <w:pStyle w:val="24"/>
            <w:tabs>
              <w:tab w:val="right" w:leader="dot" w:pos="8306"/>
            </w:tabs>
          </w:pPr>
          <w:r>
            <w:fldChar w:fldCharType="begin"/>
          </w:r>
          <w:r>
            <w:instrText xml:space="preserve"> HYPERLINK \l _Toc12700 </w:instrText>
          </w:r>
          <w:r>
            <w:fldChar w:fldCharType="separate"/>
          </w:r>
          <w:r>
            <w:rPr>
              <w:rFonts w:hint="eastAsia" w:ascii="Times New Roman" w:hAnsi="Times New Roman"/>
              <w:szCs w:val="30"/>
            </w:rPr>
            <w:t>8</w:t>
          </w:r>
          <w:r>
            <w:rPr>
              <w:rFonts w:ascii="Times New Roman" w:hAnsi="Times New Roman"/>
              <w:szCs w:val="30"/>
            </w:rPr>
            <w:t>.</w:t>
          </w:r>
          <w:r>
            <w:rPr>
              <w:rFonts w:hint="eastAsia" w:ascii="Times New Roman" w:hAnsi="Times New Roman"/>
              <w:szCs w:val="30"/>
            </w:rPr>
            <w:t>2建立和</w:t>
          </w:r>
          <w:r>
            <w:rPr>
              <w:rFonts w:ascii="Times New Roman" w:hAnsi="Times New Roman"/>
              <w:szCs w:val="30"/>
            </w:rPr>
            <w:t>完善清洁生产管理制度</w:t>
          </w:r>
          <w:r>
            <w:tab/>
          </w:r>
          <w:r>
            <w:fldChar w:fldCharType="begin"/>
          </w:r>
          <w:r>
            <w:instrText xml:space="preserve"> PAGEREF _Toc12700 \h </w:instrText>
          </w:r>
          <w:r>
            <w:fldChar w:fldCharType="separate"/>
          </w:r>
          <w:r>
            <w:t>65</w:t>
          </w:r>
          <w:r>
            <w:fldChar w:fldCharType="end"/>
          </w:r>
          <w:r>
            <w:fldChar w:fldCharType="end"/>
          </w:r>
        </w:p>
        <w:p>
          <w:pPr>
            <w:pStyle w:val="15"/>
            <w:tabs>
              <w:tab w:val="right" w:leader="dot" w:pos="8306"/>
            </w:tabs>
          </w:pPr>
          <w:r>
            <w:fldChar w:fldCharType="begin"/>
          </w:r>
          <w:r>
            <w:instrText xml:space="preserve"> HYPERLINK \l _Toc25321 </w:instrText>
          </w:r>
          <w:r>
            <w:fldChar w:fldCharType="separate"/>
          </w:r>
          <w:r>
            <w:rPr>
              <w:rFonts w:hint="eastAsia" w:ascii="Times New Roman" w:hAnsi="Times New Roman" w:eastAsia="宋体" w:cs="Courier New"/>
              <w:szCs w:val="24"/>
            </w:rPr>
            <w:t>8.2.1</w:t>
          </w:r>
          <w:r>
            <w:rPr>
              <w:rFonts w:ascii="Times New Roman" w:hAnsi="Times New Roman" w:eastAsia="宋体" w:cs="Courier New"/>
              <w:szCs w:val="24"/>
            </w:rPr>
            <w:t>把审核成果纳入企业的日常管理</w:t>
          </w:r>
          <w:r>
            <w:tab/>
          </w:r>
          <w:r>
            <w:fldChar w:fldCharType="begin"/>
          </w:r>
          <w:r>
            <w:instrText xml:space="preserve"> PAGEREF _Toc25321 \h </w:instrText>
          </w:r>
          <w:r>
            <w:fldChar w:fldCharType="separate"/>
          </w:r>
          <w:r>
            <w:t>65</w:t>
          </w:r>
          <w:r>
            <w:fldChar w:fldCharType="end"/>
          </w:r>
          <w:r>
            <w:fldChar w:fldCharType="end"/>
          </w:r>
        </w:p>
        <w:p>
          <w:pPr>
            <w:pStyle w:val="15"/>
            <w:tabs>
              <w:tab w:val="right" w:leader="dot" w:pos="8306"/>
            </w:tabs>
          </w:pPr>
          <w:r>
            <w:fldChar w:fldCharType="begin"/>
          </w:r>
          <w:r>
            <w:instrText xml:space="preserve"> HYPERLINK \l _Toc21065 </w:instrText>
          </w:r>
          <w:r>
            <w:fldChar w:fldCharType="separate"/>
          </w:r>
          <w:r>
            <w:rPr>
              <w:rFonts w:hint="eastAsia" w:ascii="Times New Roman" w:hAnsi="Times New Roman" w:eastAsia="宋体" w:cs="Courier New"/>
              <w:szCs w:val="30"/>
            </w:rPr>
            <w:t>8.2.2</w:t>
          </w:r>
          <w:r>
            <w:rPr>
              <w:rFonts w:ascii="Times New Roman" w:hAnsi="Times New Roman" w:eastAsia="宋体" w:cs="Courier New"/>
              <w:szCs w:val="30"/>
            </w:rPr>
            <w:t>建立和完善清洁生产激励机制</w:t>
          </w:r>
          <w:r>
            <w:tab/>
          </w:r>
          <w:r>
            <w:fldChar w:fldCharType="begin"/>
          </w:r>
          <w:r>
            <w:instrText xml:space="preserve"> PAGEREF _Toc21065 \h </w:instrText>
          </w:r>
          <w:r>
            <w:fldChar w:fldCharType="separate"/>
          </w:r>
          <w:r>
            <w:t>66</w:t>
          </w:r>
          <w:r>
            <w:fldChar w:fldCharType="end"/>
          </w:r>
          <w:r>
            <w:fldChar w:fldCharType="end"/>
          </w:r>
        </w:p>
        <w:p>
          <w:pPr>
            <w:pStyle w:val="15"/>
            <w:tabs>
              <w:tab w:val="right" w:leader="dot" w:pos="8306"/>
            </w:tabs>
          </w:pPr>
          <w:r>
            <w:fldChar w:fldCharType="begin"/>
          </w:r>
          <w:r>
            <w:instrText xml:space="preserve"> HYPERLINK \l _Toc6080 </w:instrText>
          </w:r>
          <w:r>
            <w:fldChar w:fldCharType="separate"/>
          </w:r>
          <w:r>
            <w:rPr>
              <w:rFonts w:hint="eastAsia" w:ascii="Times New Roman" w:hAnsi="Times New Roman" w:eastAsia="宋体" w:cs="Courier New"/>
              <w:szCs w:val="30"/>
            </w:rPr>
            <w:t>8.2.3</w:t>
          </w:r>
          <w:r>
            <w:rPr>
              <w:rFonts w:ascii="Times New Roman" w:hAnsi="Times New Roman" w:eastAsia="宋体" w:cs="Courier New"/>
              <w:szCs w:val="30"/>
            </w:rPr>
            <w:t>保证稳定的清洁生产资金来源</w:t>
          </w:r>
          <w:r>
            <w:tab/>
          </w:r>
          <w:r>
            <w:fldChar w:fldCharType="begin"/>
          </w:r>
          <w:r>
            <w:instrText xml:space="preserve"> PAGEREF _Toc6080 \h </w:instrText>
          </w:r>
          <w:r>
            <w:fldChar w:fldCharType="separate"/>
          </w:r>
          <w:r>
            <w:t>66</w:t>
          </w:r>
          <w:r>
            <w:fldChar w:fldCharType="end"/>
          </w:r>
          <w:r>
            <w:fldChar w:fldCharType="end"/>
          </w:r>
        </w:p>
        <w:p>
          <w:pPr>
            <w:pStyle w:val="24"/>
            <w:tabs>
              <w:tab w:val="right" w:leader="dot" w:pos="8306"/>
            </w:tabs>
          </w:pPr>
          <w:r>
            <w:fldChar w:fldCharType="begin"/>
          </w:r>
          <w:r>
            <w:instrText xml:space="preserve"> HYPERLINK \l _Toc29768 </w:instrText>
          </w:r>
          <w:r>
            <w:fldChar w:fldCharType="separate"/>
          </w:r>
          <w:r>
            <w:rPr>
              <w:rFonts w:hint="eastAsia" w:ascii="Times New Roman" w:hAnsi="Times New Roman"/>
              <w:szCs w:val="30"/>
            </w:rPr>
            <w:t>8</w:t>
          </w:r>
          <w:r>
            <w:rPr>
              <w:rFonts w:ascii="Times New Roman" w:hAnsi="Times New Roman"/>
              <w:szCs w:val="30"/>
            </w:rPr>
            <w:t>.3</w:t>
          </w:r>
          <w:r>
            <w:rPr>
              <w:rFonts w:asciiTheme="minorEastAsia" w:hAnsiTheme="minorEastAsia" w:eastAsiaTheme="minorEastAsia"/>
              <w:szCs w:val="30"/>
            </w:rPr>
            <w:t>持续清洁生产计划</w:t>
          </w:r>
          <w:r>
            <w:tab/>
          </w:r>
          <w:r>
            <w:fldChar w:fldCharType="begin"/>
          </w:r>
          <w:r>
            <w:instrText xml:space="preserve"> PAGEREF _Toc29768 \h </w:instrText>
          </w:r>
          <w:r>
            <w:fldChar w:fldCharType="separate"/>
          </w:r>
          <w:r>
            <w:t>66</w:t>
          </w:r>
          <w:r>
            <w:fldChar w:fldCharType="end"/>
          </w:r>
          <w:r>
            <w:fldChar w:fldCharType="end"/>
          </w:r>
        </w:p>
        <w:p>
          <w:pPr>
            <w:pStyle w:val="15"/>
            <w:tabs>
              <w:tab w:val="right" w:leader="dot" w:pos="8306"/>
            </w:tabs>
          </w:pPr>
          <w:r>
            <w:fldChar w:fldCharType="begin"/>
          </w:r>
          <w:r>
            <w:instrText xml:space="preserve"> HYPERLINK \l _Toc24791 </w:instrText>
          </w:r>
          <w:r>
            <w:fldChar w:fldCharType="separate"/>
          </w:r>
          <w:r>
            <w:rPr>
              <w:rFonts w:hint="eastAsia" w:ascii="Times New Roman" w:hAnsi="Times New Roman" w:eastAsia="宋体" w:cs="Courier New"/>
              <w:szCs w:val="30"/>
            </w:rPr>
            <w:t>8.3.1落实尚未实施的清洁生产方案</w:t>
          </w:r>
          <w:r>
            <w:tab/>
          </w:r>
          <w:r>
            <w:fldChar w:fldCharType="begin"/>
          </w:r>
          <w:r>
            <w:instrText xml:space="preserve"> PAGEREF _Toc24791 \h </w:instrText>
          </w:r>
          <w:r>
            <w:fldChar w:fldCharType="separate"/>
          </w:r>
          <w:r>
            <w:t>66</w:t>
          </w:r>
          <w:r>
            <w:fldChar w:fldCharType="end"/>
          </w:r>
          <w:r>
            <w:fldChar w:fldCharType="end"/>
          </w:r>
        </w:p>
        <w:p>
          <w:pPr>
            <w:pStyle w:val="15"/>
            <w:tabs>
              <w:tab w:val="right" w:leader="dot" w:pos="8306"/>
            </w:tabs>
          </w:pPr>
          <w:r>
            <w:fldChar w:fldCharType="begin"/>
          </w:r>
          <w:r>
            <w:instrText xml:space="preserve"> HYPERLINK \l _Toc14821 </w:instrText>
          </w:r>
          <w:r>
            <w:fldChar w:fldCharType="separate"/>
          </w:r>
          <w:r>
            <w:rPr>
              <w:rFonts w:hint="eastAsia" w:ascii="Times New Roman" w:hAnsi="Times New Roman" w:eastAsia="宋体" w:cs="Courier New"/>
              <w:szCs w:val="30"/>
            </w:rPr>
            <w:t>8.3.2下一轮清洁生产计划</w:t>
          </w:r>
          <w:r>
            <w:tab/>
          </w:r>
          <w:r>
            <w:fldChar w:fldCharType="begin"/>
          </w:r>
          <w:r>
            <w:instrText xml:space="preserve"> PAGEREF _Toc14821 \h </w:instrText>
          </w:r>
          <w:r>
            <w:fldChar w:fldCharType="separate"/>
          </w:r>
          <w:r>
            <w:t>67</w:t>
          </w:r>
          <w:r>
            <w:fldChar w:fldCharType="end"/>
          </w:r>
          <w:r>
            <w:fldChar w:fldCharType="end"/>
          </w:r>
        </w:p>
        <w:p>
          <w:pPr>
            <w:pStyle w:val="21"/>
            <w:tabs>
              <w:tab w:val="right" w:leader="dot" w:pos="8306"/>
            </w:tabs>
          </w:pPr>
          <w:r>
            <w:fldChar w:fldCharType="begin"/>
          </w:r>
          <w:r>
            <w:instrText xml:space="preserve"> HYPERLINK \l _Toc8957 </w:instrText>
          </w:r>
          <w:r>
            <w:fldChar w:fldCharType="separate"/>
          </w:r>
          <w:r>
            <w:rPr>
              <w:rFonts w:hint="eastAsia" w:cs="Times New Roman" w:asciiTheme="minorEastAsia" w:hAnsiTheme="minorEastAsia" w:eastAsiaTheme="minorEastAsia"/>
              <w:szCs w:val="36"/>
            </w:rPr>
            <w:t>九、结 论</w:t>
          </w:r>
          <w:r>
            <w:tab/>
          </w:r>
          <w:r>
            <w:fldChar w:fldCharType="begin"/>
          </w:r>
          <w:r>
            <w:instrText xml:space="preserve"> PAGEREF _Toc8957 \h </w:instrText>
          </w:r>
          <w:r>
            <w:fldChar w:fldCharType="separate"/>
          </w:r>
          <w:r>
            <w:t>68</w:t>
          </w:r>
          <w:r>
            <w:fldChar w:fldCharType="end"/>
          </w:r>
          <w:r>
            <w:fldChar w:fldCharType="end"/>
          </w:r>
        </w:p>
        <w:p>
          <w:pPr>
            <w:pStyle w:val="24"/>
            <w:tabs>
              <w:tab w:val="right" w:leader="dot" w:pos="8306"/>
            </w:tabs>
          </w:pPr>
          <w:r>
            <w:fldChar w:fldCharType="begin"/>
          </w:r>
          <w:r>
            <w:instrText xml:space="preserve"> HYPERLINK \l _Toc22937 </w:instrText>
          </w:r>
          <w:r>
            <w:fldChar w:fldCharType="separate"/>
          </w:r>
          <w:r>
            <w:rPr>
              <w:rFonts w:hint="eastAsia" w:ascii="Times New Roman" w:hAnsi="Times New Roman"/>
              <w:szCs w:val="30"/>
            </w:rPr>
            <w:t>9</w:t>
          </w:r>
          <w:r>
            <w:rPr>
              <w:rFonts w:ascii="Times New Roman" w:hAnsi="Times New Roman"/>
              <w:szCs w:val="30"/>
            </w:rPr>
            <w:t>.1清洁生产</w:t>
          </w:r>
          <w:r>
            <w:rPr>
              <w:rFonts w:hint="eastAsia" w:ascii="Times New Roman" w:hAnsi="Times New Roman"/>
              <w:szCs w:val="30"/>
            </w:rPr>
            <w:t>审核工作总结</w:t>
          </w:r>
          <w:r>
            <w:tab/>
          </w:r>
          <w:r>
            <w:fldChar w:fldCharType="begin"/>
          </w:r>
          <w:r>
            <w:instrText xml:space="preserve"> PAGEREF _Toc22937 \h </w:instrText>
          </w:r>
          <w:r>
            <w:fldChar w:fldCharType="separate"/>
          </w:r>
          <w:r>
            <w:t>68</w:t>
          </w:r>
          <w:r>
            <w:fldChar w:fldCharType="end"/>
          </w:r>
          <w:r>
            <w:fldChar w:fldCharType="end"/>
          </w:r>
        </w:p>
        <w:p>
          <w:pPr>
            <w:pStyle w:val="24"/>
            <w:tabs>
              <w:tab w:val="right" w:leader="dot" w:pos="8306"/>
            </w:tabs>
          </w:pPr>
          <w:r>
            <w:fldChar w:fldCharType="begin"/>
          </w:r>
          <w:r>
            <w:instrText xml:space="preserve"> HYPERLINK \l _Toc13322 </w:instrText>
          </w:r>
          <w:r>
            <w:fldChar w:fldCharType="separate"/>
          </w:r>
          <w:r>
            <w:rPr>
              <w:rFonts w:hint="eastAsia" w:ascii="Times New Roman" w:hAnsi="Times New Roman"/>
              <w:szCs w:val="30"/>
            </w:rPr>
            <w:t>9</w:t>
          </w:r>
          <w:r>
            <w:rPr>
              <w:rFonts w:ascii="Times New Roman" w:hAnsi="Times New Roman"/>
              <w:szCs w:val="30"/>
            </w:rPr>
            <w:t>.2审核前后产排污变化情况</w:t>
          </w:r>
          <w:r>
            <w:tab/>
          </w:r>
          <w:r>
            <w:fldChar w:fldCharType="begin"/>
          </w:r>
          <w:r>
            <w:instrText xml:space="preserve"> PAGEREF _Toc13322 \h </w:instrText>
          </w:r>
          <w:r>
            <w:fldChar w:fldCharType="separate"/>
          </w:r>
          <w:r>
            <w:t>68</w:t>
          </w:r>
          <w:r>
            <w:fldChar w:fldCharType="end"/>
          </w:r>
          <w:r>
            <w:fldChar w:fldCharType="end"/>
          </w:r>
        </w:p>
        <w:p>
          <w:pPr>
            <w:pStyle w:val="24"/>
            <w:tabs>
              <w:tab w:val="right" w:leader="dot" w:pos="8306"/>
            </w:tabs>
          </w:pPr>
          <w:r>
            <w:fldChar w:fldCharType="begin"/>
          </w:r>
          <w:r>
            <w:instrText xml:space="preserve"> HYPERLINK \l _Toc28188 </w:instrText>
          </w:r>
          <w:r>
            <w:fldChar w:fldCharType="separate"/>
          </w:r>
          <w:r>
            <w:rPr>
              <w:rFonts w:hint="eastAsia" w:ascii="Times New Roman" w:hAnsi="Times New Roman"/>
              <w:szCs w:val="30"/>
            </w:rPr>
            <w:t>9.3</w:t>
          </w:r>
          <w:r>
            <w:rPr>
              <w:rFonts w:ascii="Times New Roman" w:hAnsi="Times New Roman"/>
              <w:szCs w:val="30"/>
            </w:rPr>
            <w:t>审核目标完成情况</w:t>
          </w:r>
          <w:r>
            <w:tab/>
          </w:r>
          <w:r>
            <w:fldChar w:fldCharType="begin"/>
          </w:r>
          <w:r>
            <w:instrText xml:space="preserve"> PAGEREF _Toc28188 \h </w:instrText>
          </w:r>
          <w:r>
            <w:fldChar w:fldCharType="separate"/>
          </w:r>
          <w:r>
            <w:t>69</w:t>
          </w:r>
          <w:r>
            <w:fldChar w:fldCharType="end"/>
          </w:r>
          <w:r>
            <w:fldChar w:fldCharType="end"/>
          </w:r>
        </w:p>
        <w:p>
          <w:pPr>
            <w:pStyle w:val="24"/>
            <w:tabs>
              <w:tab w:val="right" w:leader="dot" w:pos="8306"/>
            </w:tabs>
          </w:pPr>
          <w:r>
            <w:fldChar w:fldCharType="begin"/>
          </w:r>
          <w:r>
            <w:instrText xml:space="preserve"> HYPERLINK \l _Toc22309 </w:instrText>
          </w:r>
          <w:r>
            <w:fldChar w:fldCharType="separate"/>
          </w:r>
          <w:r>
            <w:rPr>
              <w:rFonts w:hint="eastAsia" w:ascii="Times New Roman" w:hAnsi="Times New Roman"/>
              <w:szCs w:val="30"/>
            </w:rPr>
            <w:t>9.4审核后企业清洁生产</w:t>
          </w:r>
          <w:r>
            <w:rPr>
              <w:rFonts w:ascii="Times New Roman" w:hAnsi="Times New Roman"/>
              <w:szCs w:val="30"/>
            </w:rPr>
            <w:t>水平</w:t>
          </w:r>
          <w:r>
            <w:rPr>
              <w:rFonts w:hint="eastAsia" w:ascii="Times New Roman" w:hAnsi="Times New Roman"/>
              <w:szCs w:val="30"/>
            </w:rPr>
            <w:t>评价</w:t>
          </w:r>
          <w:r>
            <w:tab/>
          </w:r>
          <w:r>
            <w:fldChar w:fldCharType="begin"/>
          </w:r>
          <w:r>
            <w:instrText xml:space="preserve"> PAGEREF _Toc22309 \h </w:instrText>
          </w:r>
          <w:r>
            <w:fldChar w:fldCharType="separate"/>
          </w:r>
          <w:r>
            <w:t>69</w:t>
          </w:r>
          <w:r>
            <w:fldChar w:fldCharType="end"/>
          </w:r>
          <w:r>
            <w:fldChar w:fldCharType="end"/>
          </w:r>
        </w:p>
        <w:p>
          <w:pPr>
            <w:pStyle w:val="24"/>
            <w:tabs>
              <w:tab w:val="right" w:leader="dot" w:pos="8306"/>
            </w:tabs>
          </w:pPr>
          <w:r>
            <w:fldChar w:fldCharType="begin"/>
          </w:r>
          <w:r>
            <w:instrText xml:space="preserve"> HYPERLINK \l _Toc15360 </w:instrText>
          </w:r>
          <w:r>
            <w:fldChar w:fldCharType="separate"/>
          </w:r>
          <w:r>
            <w:rPr>
              <w:rFonts w:hint="eastAsia" w:ascii="Times New Roman" w:hAnsi="Times New Roman"/>
              <w:szCs w:val="30"/>
            </w:rPr>
            <w:t>9.5持续改进建议</w:t>
          </w:r>
          <w:r>
            <w:tab/>
          </w:r>
          <w:r>
            <w:fldChar w:fldCharType="begin"/>
          </w:r>
          <w:r>
            <w:instrText xml:space="preserve"> PAGEREF _Toc15360 \h </w:instrText>
          </w:r>
          <w:r>
            <w:fldChar w:fldCharType="separate"/>
          </w:r>
          <w:r>
            <w:t>71</w:t>
          </w:r>
          <w:r>
            <w:fldChar w:fldCharType="end"/>
          </w:r>
          <w:r>
            <w:fldChar w:fldCharType="end"/>
          </w:r>
        </w:p>
        <w:p>
          <w:pPr>
            <w:pStyle w:val="24"/>
            <w:tabs>
              <w:tab w:val="right" w:leader="dot" w:pos="8306"/>
            </w:tabs>
          </w:pPr>
          <w:r>
            <w:fldChar w:fldCharType="begin"/>
          </w:r>
          <w:r>
            <w:instrText xml:space="preserve"> HYPERLINK \l _Toc15481 </w:instrText>
          </w:r>
          <w:r>
            <w:fldChar w:fldCharType="separate"/>
          </w:r>
          <w:r>
            <w:rPr>
              <w:rFonts w:hint="eastAsia" w:ascii="Times New Roman" w:hAnsi="Times New Roman"/>
              <w:szCs w:val="30"/>
            </w:rPr>
            <w:t>9.6对本轮清洁生产审核的认识与致谢</w:t>
          </w:r>
          <w:r>
            <w:tab/>
          </w:r>
          <w:r>
            <w:fldChar w:fldCharType="begin"/>
          </w:r>
          <w:r>
            <w:instrText xml:space="preserve"> PAGEREF _Toc15481 \h </w:instrText>
          </w:r>
          <w:r>
            <w:fldChar w:fldCharType="separate"/>
          </w:r>
          <w:r>
            <w:t>72</w:t>
          </w:r>
          <w:r>
            <w:fldChar w:fldCharType="end"/>
          </w:r>
          <w:r>
            <w:fldChar w:fldCharType="end"/>
          </w:r>
        </w:p>
        <w:p>
          <w:pPr>
            <w:pStyle w:val="21"/>
            <w:tabs>
              <w:tab w:val="right" w:leader="dot" w:pos="8306"/>
            </w:tabs>
          </w:pPr>
          <w:r>
            <w:fldChar w:fldCharType="begin"/>
          </w:r>
          <w:r>
            <w:instrText xml:space="preserve"> HYPERLINK \l _Toc16669 </w:instrText>
          </w:r>
          <w:r>
            <w:fldChar w:fldCharType="separate"/>
          </w:r>
          <w:r>
            <w:rPr>
              <w:rFonts w:hint="eastAsia" w:ascii="宋体" w:hAnsi="宋体" w:eastAsia="宋体" w:cs="Times New Roman"/>
              <w:szCs w:val="36"/>
            </w:rPr>
            <w:t>十、审核报告初审意见表</w:t>
          </w:r>
          <w:r>
            <w:tab/>
          </w:r>
          <w:r>
            <w:fldChar w:fldCharType="begin"/>
          </w:r>
          <w:r>
            <w:instrText xml:space="preserve"> PAGEREF _Toc16669 \h </w:instrText>
          </w:r>
          <w:r>
            <w:fldChar w:fldCharType="separate"/>
          </w:r>
          <w:r>
            <w:t>73</w:t>
          </w:r>
          <w:r>
            <w:fldChar w:fldCharType="end"/>
          </w:r>
          <w:r>
            <w:fldChar w:fldCharType="end"/>
          </w:r>
        </w:p>
        <w:p>
          <w:pPr>
            <w:pStyle w:val="21"/>
            <w:tabs>
              <w:tab w:val="right" w:leader="dot" w:pos="8306"/>
            </w:tabs>
          </w:pPr>
          <w:r>
            <w:fldChar w:fldCharType="begin"/>
          </w:r>
          <w:r>
            <w:instrText xml:space="preserve"> HYPERLINK \l _Toc10102 </w:instrText>
          </w:r>
          <w:r>
            <w:fldChar w:fldCharType="separate"/>
          </w:r>
          <w:r>
            <w:rPr>
              <w:rFonts w:hint="eastAsia" w:ascii="宋体" w:hAnsi="宋体" w:eastAsia="宋体" w:cs="Times New Roman"/>
              <w:szCs w:val="36"/>
            </w:rPr>
            <w:t>十一、清洁生产审核报告书附件资料</w:t>
          </w:r>
          <w:r>
            <w:tab/>
          </w:r>
          <w:r>
            <w:fldChar w:fldCharType="begin"/>
          </w:r>
          <w:r>
            <w:instrText xml:space="preserve"> PAGEREF _Toc10102 \h </w:instrText>
          </w:r>
          <w:r>
            <w:fldChar w:fldCharType="separate"/>
          </w:r>
          <w:r>
            <w:t>74</w:t>
          </w:r>
          <w:r>
            <w:fldChar w:fldCharType="end"/>
          </w:r>
          <w:r>
            <w:fldChar w:fldCharType="end"/>
          </w:r>
        </w:p>
        <w:p>
          <w:pPr>
            <w:pStyle w:val="24"/>
            <w:tabs>
              <w:tab w:val="right" w:leader="dot" w:pos="8306"/>
            </w:tabs>
          </w:pPr>
          <w:r>
            <w:fldChar w:fldCharType="begin"/>
          </w:r>
          <w:r>
            <w:instrText xml:space="preserve"> HYPERLINK \l _Toc17489 </w:instrText>
          </w:r>
          <w:r>
            <w:fldChar w:fldCharType="separate"/>
          </w:r>
          <w:r>
            <w:rPr>
              <w:rFonts w:hint="eastAsia"/>
              <w:kern w:val="2"/>
              <w:szCs w:val="30"/>
              <w:lang w:eastAsia="zh-CN"/>
            </w:rPr>
            <w:t>（</w:t>
          </w:r>
          <w:r>
            <w:rPr>
              <w:rFonts w:hint="eastAsia"/>
              <w:kern w:val="2"/>
              <w:szCs w:val="30"/>
              <w:lang w:val="en-US" w:eastAsia="zh-CN"/>
            </w:rPr>
            <w:t>1</w:t>
          </w:r>
          <w:r>
            <w:rPr>
              <w:rFonts w:hint="eastAsia"/>
              <w:kern w:val="2"/>
              <w:szCs w:val="30"/>
              <w:lang w:eastAsia="zh-CN"/>
            </w:rPr>
            <w:t>）</w:t>
          </w:r>
          <w:r>
            <w:rPr>
              <w:rFonts w:hint="eastAsia"/>
              <w:kern w:val="2"/>
              <w:szCs w:val="30"/>
            </w:rPr>
            <w:t>企业法人营业执照</w:t>
          </w:r>
          <w:r>
            <w:tab/>
          </w:r>
          <w:r>
            <w:fldChar w:fldCharType="begin"/>
          </w:r>
          <w:r>
            <w:instrText xml:space="preserve"> PAGEREF _Toc17489 \h </w:instrText>
          </w:r>
          <w:r>
            <w:fldChar w:fldCharType="separate"/>
          </w:r>
          <w:r>
            <w:t>74</w:t>
          </w:r>
          <w:r>
            <w:fldChar w:fldCharType="end"/>
          </w:r>
          <w:r>
            <w:fldChar w:fldCharType="end"/>
          </w:r>
        </w:p>
        <w:p>
          <w:pPr>
            <w:pStyle w:val="24"/>
            <w:tabs>
              <w:tab w:val="right" w:leader="dot" w:pos="8306"/>
            </w:tabs>
          </w:pPr>
          <w:r>
            <w:fldChar w:fldCharType="begin"/>
          </w:r>
          <w:r>
            <w:instrText xml:space="preserve"> HYPERLINK \l _Toc14334 </w:instrText>
          </w:r>
          <w:r>
            <w:fldChar w:fldCharType="separate"/>
          </w:r>
          <w:r>
            <w:rPr>
              <w:rFonts w:hint="eastAsia"/>
              <w:kern w:val="2"/>
              <w:szCs w:val="30"/>
            </w:rPr>
            <w:t>（2）咨询服务机构相关资料</w:t>
          </w:r>
          <w:r>
            <w:tab/>
          </w:r>
          <w:r>
            <w:fldChar w:fldCharType="begin"/>
          </w:r>
          <w:r>
            <w:instrText xml:space="preserve"> PAGEREF _Toc14334 \h </w:instrText>
          </w:r>
          <w:r>
            <w:fldChar w:fldCharType="separate"/>
          </w:r>
          <w:r>
            <w:t>75</w:t>
          </w:r>
          <w:r>
            <w:fldChar w:fldCharType="end"/>
          </w:r>
          <w:r>
            <w:fldChar w:fldCharType="end"/>
          </w:r>
        </w:p>
        <w:p>
          <w:pPr>
            <w:pStyle w:val="24"/>
            <w:tabs>
              <w:tab w:val="right" w:leader="dot" w:pos="8306"/>
            </w:tabs>
          </w:pPr>
          <w:r>
            <w:fldChar w:fldCharType="begin"/>
          </w:r>
          <w:r>
            <w:instrText xml:space="preserve"> HYPERLINK \l _Toc4201 </w:instrText>
          </w:r>
          <w:r>
            <w:fldChar w:fldCharType="separate"/>
          </w:r>
          <w:r>
            <w:rPr>
              <w:rFonts w:hint="eastAsia"/>
              <w:kern w:val="2"/>
              <w:szCs w:val="30"/>
            </w:rPr>
            <w:t>（3）本次清洁生产审核双方服务合同、记录等</w:t>
          </w:r>
          <w:r>
            <w:tab/>
          </w:r>
          <w:r>
            <w:fldChar w:fldCharType="begin"/>
          </w:r>
          <w:r>
            <w:instrText xml:space="preserve"> PAGEREF _Toc4201 \h </w:instrText>
          </w:r>
          <w:r>
            <w:fldChar w:fldCharType="separate"/>
          </w:r>
          <w:r>
            <w:t>78</w:t>
          </w:r>
          <w:r>
            <w:fldChar w:fldCharType="end"/>
          </w:r>
          <w:r>
            <w:fldChar w:fldCharType="end"/>
          </w:r>
        </w:p>
        <w:p>
          <w:pPr>
            <w:pStyle w:val="24"/>
            <w:tabs>
              <w:tab w:val="right" w:leader="dot" w:pos="8306"/>
            </w:tabs>
          </w:pPr>
          <w:r>
            <w:fldChar w:fldCharType="begin"/>
          </w:r>
          <w:r>
            <w:instrText xml:space="preserve"> HYPERLINK \l _Toc30271 </w:instrText>
          </w:r>
          <w:r>
            <w:fldChar w:fldCharType="separate"/>
          </w:r>
          <w:r>
            <w:rPr>
              <w:rFonts w:hint="eastAsia" w:eastAsia="宋体" w:cs="Times New Roman"/>
              <w:kern w:val="2"/>
              <w:szCs w:val="30"/>
              <w:lang w:val="en-US" w:eastAsia="zh-CN"/>
            </w:rPr>
            <w:t>（4）方案</w:t>
          </w:r>
          <w:r>
            <w:rPr>
              <w:rFonts w:hint="eastAsia" w:cs="Times New Roman"/>
              <w:kern w:val="2"/>
              <w:szCs w:val="30"/>
              <w:lang w:val="en-US" w:eastAsia="zh-CN"/>
            </w:rPr>
            <w:t>F2-2：更换牵引链条”</w:t>
          </w:r>
          <w:r>
            <w:rPr>
              <w:rFonts w:hint="eastAsia" w:eastAsia="宋体" w:cs="Times New Roman"/>
              <w:kern w:val="2"/>
              <w:szCs w:val="30"/>
              <w:lang w:val="en-US" w:eastAsia="zh-CN"/>
            </w:rPr>
            <w:t>实施完成佐证材料</w:t>
          </w:r>
          <w:r>
            <w:tab/>
          </w:r>
          <w:r>
            <w:fldChar w:fldCharType="begin"/>
          </w:r>
          <w:r>
            <w:instrText xml:space="preserve"> PAGEREF _Toc30271 \h </w:instrText>
          </w:r>
          <w:r>
            <w:fldChar w:fldCharType="separate"/>
          </w:r>
          <w:r>
            <w:t>79</w:t>
          </w:r>
          <w:r>
            <w:fldChar w:fldCharType="end"/>
          </w:r>
          <w:r>
            <w:fldChar w:fldCharType="end"/>
          </w:r>
        </w:p>
        <w:p>
          <w:pPr>
            <w:pStyle w:val="24"/>
            <w:tabs>
              <w:tab w:val="right" w:leader="dot" w:pos="8306"/>
            </w:tabs>
          </w:pPr>
          <w:r>
            <w:fldChar w:fldCharType="begin"/>
          </w:r>
          <w:r>
            <w:instrText xml:space="preserve"> HYPERLINK \l _Toc6958 </w:instrText>
          </w:r>
          <w:r>
            <w:fldChar w:fldCharType="separate"/>
          </w:r>
          <w:r>
            <w:rPr>
              <w:rFonts w:hint="eastAsia"/>
              <w:kern w:val="2"/>
              <w:szCs w:val="30"/>
            </w:rPr>
            <w:t>（</w:t>
          </w:r>
          <w:r>
            <w:rPr>
              <w:rFonts w:hint="eastAsia"/>
              <w:kern w:val="2"/>
              <w:szCs w:val="30"/>
              <w:lang w:val="en-US" w:eastAsia="zh-CN"/>
            </w:rPr>
            <w:t>5</w:t>
          </w:r>
          <w:r>
            <w:rPr>
              <w:rFonts w:hint="eastAsia"/>
              <w:kern w:val="2"/>
              <w:szCs w:val="30"/>
            </w:rPr>
            <w:t>）审核领导小组，管理制度和激励制度</w:t>
          </w:r>
          <w:r>
            <w:tab/>
          </w:r>
          <w:r>
            <w:fldChar w:fldCharType="begin"/>
          </w:r>
          <w:r>
            <w:instrText xml:space="preserve"> PAGEREF _Toc6958 \h </w:instrText>
          </w:r>
          <w:r>
            <w:fldChar w:fldCharType="separate"/>
          </w:r>
          <w:r>
            <w:t>80</w:t>
          </w:r>
          <w:r>
            <w:fldChar w:fldCharType="end"/>
          </w:r>
          <w:r>
            <w:fldChar w:fldCharType="end"/>
          </w:r>
        </w:p>
        <w:p>
          <w:pPr>
            <w:pStyle w:val="24"/>
            <w:tabs>
              <w:tab w:val="right" w:leader="dot" w:pos="8306"/>
            </w:tabs>
          </w:pPr>
          <w:r>
            <w:fldChar w:fldCharType="begin"/>
          </w:r>
          <w:r>
            <w:instrText xml:space="preserve"> HYPERLINK \l _Toc32253 </w:instrText>
          </w:r>
          <w:r>
            <w:fldChar w:fldCharType="separate"/>
          </w:r>
          <w:r>
            <w:rPr>
              <w:rFonts w:hint="eastAsia"/>
              <w:kern w:val="2"/>
              <w:szCs w:val="30"/>
            </w:rPr>
            <w:t>（</w:t>
          </w:r>
          <w:r>
            <w:rPr>
              <w:rFonts w:hint="eastAsia"/>
              <w:kern w:val="2"/>
              <w:szCs w:val="30"/>
              <w:lang w:val="en-US" w:eastAsia="zh-CN"/>
            </w:rPr>
            <w:t>6</w:t>
          </w:r>
          <w:r>
            <w:rPr>
              <w:rFonts w:hint="eastAsia"/>
              <w:kern w:val="2"/>
              <w:szCs w:val="30"/>
            </w:rPr>
            <w:t>）企业相关资质以及荣誉证书</w:t>
          </w:r>
          <w:r>
            <w:tab/>
          </w:r>
          <w:r>
            <w:fldChar w:fldCharType="begin"/>
          </w:r>
          <w:r>
            <w:instrText xml:space="preserve"> PAGEREF _Toc32253 \h </w:instrText>
          </w:r>
          <w:r>
            <w:fldChar w:fldCharType="separate"/>
          </w:r>
          <w:r>
            <w:t>88</w:t>
          </w:r>
          <w:r>
            <w:fldChar w:fldCharType="end"/>
          </w:r>
          <w:r>
            <w:fldChar w:fldCharType="end"/>
          </w:r>
        </w:p>
        <w:p>
          <w:pPr>
            <w:pStyle w:val="24"/>
            <w:tabs>
              <w:tab w:val="right" w:leader="dot" w:pos="8306"/>
            </w:tabs>
          </w:pPr>
          <w:r>
            <w:fldChar w:fldCharType="begin"/>
          </w:r>
          <w:r>
            <w:instrText xml:space="preserve"> HYPERLINK \l _Toc8677 </w:instrText>
          </w:r>
          <w:r>
            <w:fldChar w:fldCharType="separate"/>
          </w:r>
          <w:r>
            <w:rPr>
              <w:rFonts w:hint="eastAsia"/>
              <w:kern w:val="2"/>
              <w:szCs w:val="30"/>
            </w:rPr>
            <w:t>（</w:t>
          </w:r>
          <w:r>
            <w:rPr>
              <w:rFonts w:hint="eastAsia"/>
              <w:kern w:val="2"/>
              <w:szCs w:val="30"/>
              <w:lang w:val="en-US" w:eastAsia="zh-CN"/>
            </w:rPr>
            <w:t>7</w:t>
          </w:r>
          <w:r>
            <w:rPr>
              <w:rFonts w:hint="eastAsia"/>
              <w:kern w:val="2"/>
              <w:szCs w:val="30"/>
            </w:rPr>
            <w:t>）其他证明文件</w:t>
          </w:r>
          <w:r>
            <w:tab/>
          </w:r>
          <w:r>
            <w:fldChar w:fldCharType="begin"/>
          </w:r>
          <w:r>
            <w:instrText xml:space="preserve"> PAGEREF _Toc8677 \h </w:instrText>
          </w:r>
          <w:r>
            <w:fldChar w:fldCharType="separate"/>
          </w:r>
          <w:r>
            <w:t>110</w:t>
          </w:r>
          <w:r>
            <w:fldChar w:fldCharType="end"/>
          </w:r>
          <w:r>
            <w:fldChar w:fldCharType="end"/>
          </w:r>
        </w:p>
        <w:p>
          <w:r>
            <w:fldChar w:fldCharType="end"/>
          </w:r>
        </w:p>
      </w:sdtContent>
    </w:sdt>
    <w:p>
      <w:pPr>
        <w:widowControl/>
        <w:jc w:val="left"/>
      </w:pPr>
    </w:p>
    <w:p>
      <w:pPr>
        <w:widowControl/>
        <w:jc w:val="left"/>
      </w:pPr>
    </w:p>
    <w:p>
      <w:pPr>
        <w:widowControl/>
        <w:jc w:val="left"/>
      </w:pPr>
    </w:p>
    <w:p>
      <w:pPr>
        <w:widowControl/>
        <w:jc w:val="left"/>
      </w:pPr>
    </w:p>
    <w:p>
      <w:pPr>
        <w:widowControl/>
        <w:jc w:val="left"/>
      </w:pPr>
    </w:p>
    <w:p>
      <w:pPr>
        <w:widowControl/>
        <w:jc w:val="left"/>
        <w:sectPr>
          <w:pgSz w:w="11906" w:h="16838"/>
          <w:pgMar w:top="1440" w:right="1800" w:bottom="1440" w:left="1800" w:header="851" w:footer="992" w:gutter="0"/>
          <w:cols w:space="425" w:num="1"/>
          <w:docGrid w:type="lines" w:linePitch="312" w:charSpace="0"/>
        </w:sectPr>
      </w:pPr>
    </w:p>
    <w:p>
      <w:pPr>
        <w:pStyle w:val="2"/>
        <w:widowControl w:val="0"/>
        <w:adjustRightInd/>
        <w:snapToGrid/>
        <w:spacing w:beforeLines="50" w:after="0" w:line="360" w:lineRule="auto"/>
        <w:jc w:val="center"/>
        <w:rPr>
          <w:rFonts w:cs="Times New Roman" w:asciiTheme="minorEastAsia" w:hAnsiTheme="minorEastAsia" w:eastAsiaTheme="minorEastAsia"/>
          <w:sz w:val="36"/>
          <w:szCs w:val="36"/>
        </w:rPr>
      </w:pPr>
      <w:bookmarkStart w:id="0" w:name="_Toc17536"/>
      <w:r>
        <w:rPr>
          <w:rFonts w:hint="eastAsia" w:cs="Times New Roman" w:asciiTheme="minorEastAsia" w:hAnsiTheme="minorEastAsia" w:eastAsiaTheme="minorEastAsia"/>
          <w:sz w:val="36"/>
          <w:szCs w:val="36"/>
        </w:rPr>
        <w:t>一、前言</w:t>
      </w:r>
      <w:bookmarkEnd w:id="0"/>
    </w:p>
    <w:p>
      <w:pPr>
        <w:pStyle w:val="3"/>
        <w:spacing w:beforeLines="50" w:afterLines="50" w:line="240" w:lineRule="auto"/>
        <w:rPr>
          <w:rFonts w:ascii="Times New Roman" w:hAnsi="Times New Roman"/>
          <w:sz w:val="30"/>
          <w:szCs w:val="30"/>
        </w:rPr>
      </w:pPr>
      <w:bookmarkStart w:id="1" w:name="_Toc343503004"/>
      <w:bookmarkStart w:id="2" w:name="_Toc347649481"/>
      <w:bookmarkStart w:id="3" w:name="_Toc29136"/>
      <w:bookmarkStart w:id="4" w:name="_Toc525138223"/>
      <w:bookmarkStart w:id="5" w:name="_Toc525138367"/>
      <w:bookmarkStart w:id="6" w:name="_Toc22305"/>
      <w:r>
        <w:rPr>
          <w:rFonts w:ascii="Times New Roman" w:hAnsi="Times New Roman"/>
          <w:sz w:val="30"/>
          <w:szCs w:val="30"/>
        </w:rPr>
        <w:t>1</w:t>
      </w:r>
      <w:bookmarkEnd w:id="1"/>
      <w:bookmarkEnd w:id="2"/>
      <w:r>
        <w:rPr>
          <w:rFonts w:ascii="Times New Roman" w:hAnsi="Times New Roman"/>
          <w:sz w:val="30"/>
          <w:szCs w:val="30"/>
        </w:rPr>
        <w:t>、</w:t>
      </w:r>
      <w:r>
        <w:rPr>
          <w:rFonts w:hint="eastAsia" w:ascii="Times New Roman" w:hAnsi="Times New Roman"/>
          <w:sz w:val="30"/>
          <w:szCs w:val="30"/>
        </w:rPr>
        <w:t>清洁生产的</w:t>
      </w:r>
      <w:bookmarkEnd w:id="3"/>
      <w:r>
        <w:rPr>
          <w:rFonts w:hint="eastAsia" w:ascii="Times New Roman" w:hAnsi="Times New Roman"/>
          <w:sz w:val="30"/>
          <w:szCs w:val="30"/>
        </w:rPr>
        <w:t>背景和目的</w:t>
      </w:r>
      <w:bookmarkEnd w:id="4"/>
      <w:bookmarkEnd w:id="5"/>
      <w:bookmarkEnd w:id="6"/>
    </w:p>
    <w:p>
      <w:pPr>
        <w:pStyle w:val="40"/>
        <w:shd w:val="clear" w:color="auto" w:fill="FFFFFF"/>
        <w:adjustRightInd w:val="0"/>
        <w:snapToGrid w:val="0"/>
        <w:spacing w:before="0" w:beforeAutospacing="0" w:after="0" w:afterAutospacing="0" w:line="360" w:lineRule="auto"/>
        <w:ind w:firstLine="480" w:firstLineChars="200"/>
        <w:jc w:val="both"/>
        <w:rPr>
          <w:rFonts w:hint="eastAsia" w:ascii="Times New Roman" w:hAnsi="宋体" w:eastAsia="宋体" w:cs="Times New Roman"/>
          <w:lang w:eastAsia="zh-CN"/>
        </w:rPr>
      </w:pPr>
      <w:r>
        <w:rPr>
          <w:rFonts w:hint="eastAsia" w:ascii="Times New Roman" w:hAnsi="宋体" w:eastAsia="宋体" w:cs="Times New Roman"/>
          <w:lang w:val="en-US" w:eastAsia="zh-CN"/>
        </w:rPr>
        <w:t xml:space="preserve">在全球经济飞速发展的今天，环境问题日益加剧，已成为全球性的问题。清 </w:t>
      </w:r>
    </w:p>
    <w:p>
      <w:pPr>
        <w:pStyle w:val="40"/>
        <w:shd w:val="clear" w:color="auto" w:fill="FFFFFF"/>
        <w:adjustRightInd w:val="0"/>
        <w:snapToGrid w:val="0"/>
        <w:spacing w:before="0" w:beforeAutospacing="0" w:after="0" w:afterAutospacing="0" w:line="360" w:lineRule="auto"/>
        <w:jc w:val="both"/>
        <w:rPr>
          <w:rFonts w:hint="eastAsia" w:ascii="Times New Roman" w:hAnsi="宋体" w:eastAsia="宋体" w:cs="Times New Roman"/>
          <w:lang w:eastAsia="zh-CN"/>
        </w:rPr>
      </w:pPr>
      <w:r>
        <w:rPr>
          <w:rFonts w:hint="eastAsia" w:ascii="Times New Roman" w:hAnsi="宋体" w:eastAsia="宋体" w:cs="Times New Roman"/>
          <w:lang w:val="en-US" w:eastAsia="zh-CN"/>
        </w:rPr>
        <w:t xml:space="preserve">洁生产是解决经济发展、能源资源消耗与环境保护相协调问题的新思想，是环境 </w:t>
      </w:r>
    </w:p>
    <w:p>
      <w:pPr>
        <w:pStyle w:val="40"/>
        <w:shd w:val="clear" w:color="auto" w:fill="FFFFFF"/>
        <w:adjustRightInd w:val="0"/>
        <w:snapToGrid w:val="0"/>
        <w:spacing w:before="0" w:beforeAutospacing="0" w:after="0" w:afterAutospacing="0" w:line="360" w:lineRule="auto"/>
        <w:jc w:val="both"/>
        <w:rPr>
          <w:rFonts w:hint="eastAsia" w:ascii="Times New Roman" w:hAnsi="宋体" w:eastAsia="宋体" w:cs="Times New Roman"/>
          <w:lang w:eastAsia="zh-CN"/>
        </w:rPr>
      </w:pPr>
      <w:r>
        <w:rPr>
          <w:rFonts w:hint="eastAsia" w:ascii="Times New Roman" w:hAnsi="宋体" w:eastAsia="宋体" w:cs="Times New Roman"/>
          <w:lang w:val="en-US" w:eastAsia="zh-CN"/>
        </w:rPr>
        <w:t xml:space="preserve">保护战略由被动反映向主动行动的一种转变，是人类协调工业发展与环境保护矛 </w:t>
      </w:r>
    </w:p>
    <w:p>
      <w:pPr>
        <w:pStyle w:val="40"/>
        <w:shd w:val="clear" w:color="auto" w:fill="FFFFFF"/>
        <w:adjustRightInd w:val="0"/>
        <w:snapToGrid w:val="0"/>
        <w:spacing w:before="0" w:beforeAutospacing="0" w:after="0" w:afterAutospacing="0" w:line="360" w:lineRule="auto"/>
        <w:jc w:val="both"/>
        <w:rPr>
          <w:rFonts w:hint="eastAsia" w:ascii="Times New Roman" w:hAnsi="宋体" w:eastAsia="宋体" w:cs="Times New Roman"/>
          <w:lang w:eastAsia="zh-CN"/>
        </w:rPr>
      </w:pPr>
      <w:r>
        <w:rPr>
          <w:rFonts w:hint="eastAsia" w:ascii="Times New Roman" w:hAnsi="宋体" w:eastAsia="宋体" w:cs="Times New Roman"/>
          <w:lang w:val="en-US" w:eastAsia="zh-CN"/>
        </w:rPr>
        <w:t xml:space="preserve">盾对立统一中逐步形成的新的生产方式。 </w:t>
      </w:r>
    </w:p>
    <w:p>
      <w:pPr>
        <w:pStyle w:val="40"/>
        <w:shd w:val="clear" w:color="auto" w:fill="FFFFFF"/>
        <w:adjustRightInd w:val="0"/>
        <w:snapToGrid w:val="0"/>
        <w:spacing w:before="0" w:beforeAutospacing="0" w:after="0" w:afterAutospacing="0" w:line="360" w:lineRule="auto"/>
        <w:ind w:firstLine="480" w:firstLineChars="200"/>
        <w:jc w:val="both"/>
        <w:rPr>
          <w:rFonts w:ascii="Times New Roman" w:hAnsi="Times New Roman" w:cs="Times New Roman"/>
        </w:rPr>
      </w:pPr>
      <w:r>
        <w:rPr>
          <w:rFonts w:hint="eastAsia" w:ascii="Times New Roman" w:cs="Times New Roman"/>
          <w:lang w:eastAsia="zh-CN"/>
        </w:rPr>
        <w:t>湖南光华荣昌汽车部件有限公司</w:t>
      </w:r>
      <w:r>
        <w:rPr>
          <w:rFonts w:ascii="Times New Roman" w:cs="Times New Roman"/>
        </w:rPr>
        <w:t>被纳入了</w:t>
      </w:r>
      <w:r>
        <w:rPr>
          <w:rFonts w:hint="eastAsia" w:ascii="Times New Roman" w:hAnsi="宋体" w:eastAsia="宋体" w:cs="Times New Roman"/>
          <w:lang w:eastAsia="zh-CN"/>
        </w:rPr>
        <w:t>湖南省工业和信息化厅</w:t>
      </w:r>
      <w:r>
        <w:rPr>
          <w:rFonts w:ascii="Times New Roman" w:hAnsi="宋体" w:eastAsia="宋体" w:cs="Times New Roman"/>
        </w:rPr>
        <w:t>20</w:t>
      </w:r>
      <w:r>
        <w:rPr>
          <w:rFonts w:hint="eastAsia" w:ascii="Times New Roman" w:hAnsi="宋体" w:eastAsia="宋体" w:cs="Times New Roman"/>
        </w:rPr>
        <w:t>2</w:t>
      </w:r>
      <w:r>
        <w:rPr>
          <w:rFonts w:hint="eastAsia" w:ascii="Times New Roman" w:cs="Times New Roman"/>
          <w:lang w:val="en-US" w:eastAsia="zh-CN"/>
        </w:rPr>
        <w:t>4</w:t>
      </w:r>
      <w:r>
        <w:rPr>
          <w:rFonts w:ascii="Times New Roman" w:hAnsi="宋体" w:eastAsia="宋体" w:cs="Times New Roman"/>
        </w:rPr>
        <w:t>年</w:t>
      </w:r>
      <w:r>
        <w:rPr>
          <w:rFonts w:hint="eastAsia" w:ascii="Times New Roman" w:hAnsi="宋体" w:eastAsia="宋体" w:cs="Times New Roman"/>
          <w:lang w:eastAsia="zh-CN"/>
        </w:rPr>
        <w:t>湖南省</w:t>
      </w:r>
      <w:r>
        <w:rPr>
          <w:rFonts w:ascii="Times New Roman" w:hAnsi="宋体" w:eastAsia="宋体" w:cs="Times New Roman"/>
        </w:rPr>
        <w:t>工业企业清洁生产审核计划企业名单。同时也为了</w:t>
      </w:r>
      <w:r>
        <w:rPr>
          <w:rFonts w:hint="eastAsia" w:ascii="Times New Roman" w:cs="Times New Roman"/>
          <w:lang w:val="en-US" w:eastAsia="zh-CN"/>
        </w:rPr>
        <w:t>响</w:t>
      </w:r>
      <w:r>
        <w:rPr>
          <w:rFonts w:ascii="Times New Roman" w:hAnsi="宋体" w:eastAsia="宋体" w:cs="Times New Roman"/>
        </w:rPr>
        <w:t>应</w:t>
      </w:r>
      <w:r>
        <w:rPr>
          <w:rFonts w:ascii="Times New Roman" w:hAnsi="宋体" w:eastAsia="宋体" w:cs="Times New Roman"/>
          <w:lang w:val="en-US" w:eastAsia="zh-CN"/>
        </w:rPr>
        <w:t>《湖南省自愿性清洁生产审核工作规程》（湘经信节能</w:t>
      </w:r>
      <w:r>
        <w:rPr>
          <w:rFonts w:hint="eastAsia" w:ascii="Times New Roman" w:hAnsi="宋体" w:eastAsia="宋体" w:cs="Times New Roman"/>
          <w:lang w:val="en-US" w:eastAsia="zh-CN"/>
        </w:rPr>
        <w:t>〔</w:t>
      </w:r>
      <w:r>
        <w:rPr>
          <w:rFonts w:hint="default" w:ascii="Times New Roman" w:hAnsi="宋体" w:eastAsia="宋体" w:cs="Times New Roman"/>
          <w:lang w:val="en-US" w:eastAsia="zh-CN"/>
        </w:rPr>
        <w:t>2018</w:t>
      </w:r>
      <w:r>
        <w:rPr>
          <w:rFonts w:hint="eastAsia" w:ascii="Times New Roman" w:hAnsi="宋体" w:eastAsia="宋体" w:cs="Times New Roman"/>
          <w:lang w:val="en-US" w:eastAsia="zh-CN"/>
        </w:rPr>
        <w:t>〕</w:t>
      </w:r>
      <w:r>
        <w:rPr>
          <w:rFonts w:hint="default" w:ascii="Times New Roman" w:hAnsi="宋体" w:eastAsia="宋体" w:cs="Times New Roman"/>
          <w:lang w:val="en-US" w:eastAsia="zh-CN"/>
        </w:rPr>
        <w:t xml:space="preserve">256 </w:t>
      </w:r>
      <w:r>
        <w:rPr>
          <w:rFonts w:hint="eastAsia" w:ascii="Times New Roman" w:hAnsi="宋体" w:eastAsia="宋体" w:cs="Times New Roman"/>
          <w:lang w:val="en-US" w:eastAsia="zh-CN"/>
        </w:rPr>
        <w:t xml:space="preserve">号）以及 </w:t>
      </w:r>
      <w:r>
        <w:rPr>
          <w:rFonts w:hint="default" w:ascii="Times New Roman" w:hAnsi="宋体" w:eastAsia="宋体" w:cs="Times New Roman"/>
          <w:lang w:val="en-US" w:eastAsia="zh-CN"/>
        </w:rPr>
        <w:t>202</w:t>
      </w:r>
      <w:r>
        <w:rPr>
          <w:rFonts w:hint="eastAsia" w:ascii="Times New Roman" w:cs="Times New Roman"/>
          <w:lang w:val="en-US" w:eastAsia="zh-CN"/>
        </w:rPr>
        <w:t>3</w:t>
      </w:r>
      <w:r>
        <w:rPr>
          <w:rFonts w:hint="eastAsia" w:ascii="Times New Roman" w:hAnsi="宋体" w:eastAsia="宋体" w:cs="Times New Roman"/>
          <w:lang w:val="en-US" w:eastAsia="zh-CN"/>
        </w:rPr>
        <w:t xml:space="preserve">年 </w:t>
      </w:r>
      <w:r>
        <w:rPr>
          <w:rFonts w:hint="eastAsia" w:ascii="Times New Roman" w:cs="Times New Roman"/>
          <w:lang w:val="en-US" w:eastAsia="zh-CN"/>
        </w:rPr>
        <w:t>12</w:t>
      </w:r>
      <w:r>
        <w:rPr>
          <w:rFonts w:hint="eastAsia" w:ascii="Times New Roman" w:hAnsi="宋体" w:eastAsia="宋体" w:cs="Times New Roman"/>
          <w:lang w:val="en-US" w:eastAsia="zh-CN"/>
        </w:rPr>
        <w:t xml:space="preserve">月印发的《关于报送 </w:t>
      </w:r>
      <w:r>
        <w:rPr>
          <w:rFonts w:hint="default" w:ascii="Times New Roman" w:hAnsi="宋体" w:eastAsia="宋体" w:cs="Times New Roman"/>
          <w:lang w:val="en-US" w:eastAsia="zh-CN"/>
        </w:rPr>
        <w:t>202</w:t>
      </w:r>
      <w:r>
        <w:rPr>
          <w:rFonts w:hint="eastAsia" w:ascii="Times New Roman" w:cs="Times New Roman"/>
          <w:lang w:val="en-US" w:eastAsia="zh-CN"/>
        </w:rPr>
        <w:t>4</w:t>
      </w:r>
      <w:r>
        <w:rPr>
          <w:rFonts w:hint="eastAsia" w:ascii="Times New Roman" w:hAnsi="宋体" w:eastAsia="宋体" w:cs="Times New Roman"/>
          <w:lang w:val="en-US" w:eastAsia="zh-CN"/>
        </w:rPr>
        <w:t>年度工业企业自愿性清洁生产审核计划的通知》要求</w:t>
      </w:r>
      <w:r>
        <w:rPr>
          <w:rFonts w:ascii="Times New Roman" w:cs="Times New Roman"/>
        </w:rPr>
        <w:t>，</w:t>
      </w:r>
      <w:r>
        <w:rPr>
          <w:rFonts w:hint="eastAsia" w:ascii="Times New Roman" w:cs="Times New Roman"/>
          <w:lang w:eastAsia="zh-CN"/>
        </w:rPr>
        <w:t>湖南光华荣昌汽车部件有限公司</w:t>
      </w:r>
      <w:r>
        <w:rPr>
          <w:rFonts w:ascii="Times New Roman" w:cs="Times New Roman"/>
        </w:rPr>
        <w:t>自愿组织实施了本次清洁生产审核工作。公司委托</w:t>
      </w:r>
      <w:r>
        <w:rPr>
          <w:rFonts w:hint="eastAsia" w:ascii="Times New Roman" w:cs="Times New Roman"/>
          <w:lang w:eastAsia="zh-CN"/>
        </w:rPr>
        <w:t>湖南阳光伟业科技有限公司</w:t>
      </w:r>
      <w:r>
        <w:rPr>
          <w:rFonts w:ascii="Times New Roman" w:cs="Times New Roman"/>
        </w:rPr>
        <w:t>为技术服务单位，在全厂全面开展清洁生产审核工作，审核工作于</w:t>
      </w:r>
      <w:r>
        <w:rPr>
          <w:rFonts w:ascii="Times New Roman" w:hAnsi="Times New Roman" w:cs="Times New Roman"/>
        </w:rPr>
        <w:t>20</w:t>
      </w:r>
      <w:r>
        <w:rPr>
          <w:rFonts w:hint="eastAsia" w:ascii="Times New Roman" w:hAnsi="Times New Roman" w:cs="Times New Roman"/>
        </w:rPr>
        <w:t>2</w:t>
      </w:r>
      <w:r>
        <w:rPr>
          <w:rFonts w:hint="eastAsia" w:ascii="Times New Roman" w:hAnsi="Times New Roman" w:cs="Times New Roman"/>
          <w:lang w:val="en-US" w:eastAsia="zh-CN"/>
        </w:rPr>
        <w:t>4</w:t>
      </w:r>
      <w:r>
        <w:rPr>
          <w:rFonts w:ascii="Times New Roman" w:cs="Times New Roman"/>
        </w:rPr>
        <w:t>年</w:t>
      </w:r>
      <w:r>
        <w:rPr>
          <w:rFonts w:hint="eastAsia" w:ascii="Times New Roman" w:cs="Times New Roman"/>
          <w:lang w:val="en-US" w:eastAsia="zh-CN"/>
        </w:rPr>
        <w:t>1</w:t>
      </w:r>
      <w:r>
        <w:rPr>
          <w:rFonts w:ascii="Times New Roman" w:cs="Times New Roman"/>
        </w:rPr>
        <w:t>月开始启动，在审核过程中，通过审核准备、预审核、审核、方案产生和筛选、方案的确定、方案实施和持续清洁生产等各阶段的落实，在全厂推行清洁生产工艺技术，进行全方位的技术改造和管理提升。</w:t>
      </w:r>
    </w:p>
    <w:p>
      <w:pPr>
        <w:pStyle w:val="3"/>
        <w:spacing w:beforeLines="50" w:afterLines="50" w:line="240" w:lineRule="auto"/>
        <w:rPr>
          <w:rFonts w:ascii="Times New Roman" w:hAnsi="Times New Roman"/>
          <w:sz w:val="30"/>
          <w:szCs w:val="30"/>
        </w:rPr>
      </w:pPr>
      <w:bookmarkStart w:id="7" w:name="_Toc21110"/>
      <w:bookmarkStart w:id="8" w:name="_Toc525138224"/>
      <w:bookmarkStart w:id="9" w:name="_Toc13807"/>
      <w:bookmarkStart w:id="10" w:name="_Toc525138368"/>
      <w:r>
        <w:rPr>
          <w:rFonts w:ascii="Times New Roman" w:hAnsi="Times New Roman"/>
          <w:sz w:val="30"/>
          <w:szCs w:val="30"/>
        </w:rPr>
        <w:t>2、清洁生产审核</w:t>
      </w:r>
      <w:bookmarkEnd w:id="7"/>
      <w:r>
        <w:rPr>
          <w:rFonts w:hint="eastAsia" w:ascii="Times New Roman" w:hAnsi="Times New Roman"/>
          <w:sz w:val="30"/>
          <w:szCs w:val="30"/>
        </w:rPr>
        <w:t>工作要求</w:t>
      </w:r>
      <w:bookmarkEnd w:id="8"/>
      <w:bookmarkEnd w:id="9"/>
      <w:bookmarkEnd w:id="10"/>
    </w:p>
    <w:p>
      <w:pPr>
        <w:spacing w:line="360" w:lineRule="auto"/>
        <w:ind w:firstLine="480" w:firstLineChars="200"/>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1</w:t>
      </w:r>
      <w:r>
        <w:rPr>
          <w:rFonts w:ascii="Times New Roman" w:hAnsi="宋体" w:eastAsia="宋体"/>
          <w:sz w:val="24"/>
          <w:szCs w:val="24"/>
        </w:rPr>
        <w:t>）认真贯彻执行《清洁生产促进法》</w:t>
      </w:r>
      <w:r>
        <w:rPr>
          <w:rFonts w:hint="eastAsia" w:ascii="Times New Roman" w:hAnsi="宋体" w:eastAsia="宋体"/>
          <w:sz w:val="24"/>
          <w:szCs w:val="24"/>
        </w:rPr>
        <w:t>《清洁生产审核办法》</w:t>
      </w:r>
      <w:r>
        <w:rPr>
          <w:rFonts w:ascii="Times New Roman" w:hAnsi="宋体" w:eastAsia="宋体"/>
          <w:sz w:val="24"/>
          <w:szCs w:val="24"/>
        </w:rPr>
        <w:t>，执行国家环保部门进一步加强重点企业清洁生产审核工作的精神，认真学习有关国家政策、法律、法规。</w:t>
      </w:r>
    </w:p>
    <w:p>
      <w:pPr>
        <w:spacing w:line="360" w:lineRule="auto"/>
        <w:ind w:firstLine="480" w:firstLineChars="200"/>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2</w:t>
      </w:r>
      <w:r>
        <w:rPr>
          <w:rFonts w:ascii="Times New Roman" w:hAnsi="宋体" w:eastAsia="宋体"/>
          <w:sz w:val="24"/>
          <w:szCs w:val="24"/>
        </w:rPr>
        <w:t>）充分调动各部门的积极性，广泛发动员工，依靠内部技术人员和外部专家，并充分发挥咨询专家的指导职能。</w:t>
      </w:r>
    </w:p>
    <w:p>
      <w:pPr>
        <w:spacing w:line="360" w:lineRule="auto"/>
        <w:ind w:firstLine="480" w:firstLineChars="200"/>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3</w:t>
      </w:r>
      <w:r>
        <w:rPr>
          <w:rFonts w:ascii="Times New Roman" w:hAnsi="宋体" w:eastAsia="宋体"/>
          <w:sz w:val="24"/>
          <w:szCs w:val="24"/>
        </w:rPr>
        <w:t>）实事求是，准确反映企业真实情况。围绕企业的原料、工艺、设备、过程控制、管理、人员、污染排放等方面进行审核评估，按照清洁生产标准要求，评价公司清洁生产水平，设置清洁生产目标。</w:t>
      </w:r>
    </w:p>
    <w:p>
      <w:pPr>
        <w:spacing w:line="360" w:lineRule="auto"/>
        <w:ind w:firstLine="480" w:firstLineChars="200"/>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4</w:t>
      </w:r>
      <w:r>
        <w:rPr>
          <w:rFonts w:ascii="Times New Roman" w:hAnsi="宋体" w:eastAsia="宋体"/>
          <w:sz w:val="24"/>
          <w:szCs w:val="24"/>
        </w:rPr>
        <w:t>）充分利用现有资源，在对现有资料充分理解的基础上，采取多种科学、经济的手段，进行物料平衡的计算。对企业生产全过程进行调研、核对、分析原因、提出措施。</w:t>
      </w:r>
    </w:p>
    <w:p>
      <w:pPr>
        <w:spacing w:line="360" w:lineRule="auto"/>
        <w:ind w:firstLine="480" w:firstLineChars="200"/>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5</w:t>
      </w:r>
      <w:r>
        <w:rPr>
          <w:rFonts w:ascii="Times New Roman" w:hAnsi="宋体" w:eastAsia="宋体"/>
          <w:sz w:val="24"/>
          <w:szCs w:val="24"/>
        </w:rPr>
        <w:t>）重点突出，数据、结论可靠，合理可行。提出有针对性、可操作性、成熟、尽可能先进的实施方案，使资源、能源尽可能充分利用，污染物产生和排放量最小化，实现经济和环境协调发展。</w:t>
      </w:r>
    </w:p>
    <w:p>
      <w:pPr>
        <w:spacing w:line="360" w:lineRule="auto"/>
        <w:ind w:firstLine="480" w:firstLineChars="200"/>
        <w:rPr>
          <w:rFonts w:ascii="Times New Roman" w:hAnsi="宋体" w:eastAsia="宋体"/>
          <w:sz w:val="24"/>
          <w:szCs w:val="24"/>
        </w:rPr>
      </w:pPr>
      <w:r>
        <w:rPr>
          <w:rFonts w:ascii="Times New Roman" w:hAnsi="宋体" w:eastAsia="宋体"/>
          <w:sz w:val="24"/>
          <w:szCs w:val="24"/>
        </w:rPr>
        <w:t>（</w:t>
      </w:r>
      <w:r>
        <w:rPr>
          <w:rFonts w:ascii="Times New Roman" w:hAnsi="Times New Roman" w:eastAsia="宋体"/>
          <w:sz w:val="24"/>
          <w:szCs w:val="24"/>
        </w:rPr>
        <w:t>6</w:t>
      </w:r>
      <w:r>
        <w:rPr>
          <w:rFonts w:ascii="Times New Roman" w:hAnsi="宋体" w:eastAsia="宋体"/>
          <w:sz w:val="24"/>
          <w:szCs w:val="24"/>
        </w:rPr>
        <w:t>）贯穿持续改进的清洁生产审核理念。运用</w:t>
      </w:r>
      <w:r>
        <w:rPr>
          <w:rFonts w:ascii="Times New Roman" w:hAnsi="Times New Roman" w:eastAsia="宋体"/>
          <w:sz w:val="24"/>
          <w:szCs w:val="24"/>
        </w:rPr>
        <w:t>“</w:t>
      </w:r>
      <w:r>
        <w:rPr>
          <w:rFonts w:ascii="Times New Roman" w:hAnsi="宋体" w:eastAsia="宋体"/>
          <w:sz w:val="24"/>
          <w:szCs w:val="24"/>
        </w:rPr>
        <w:t>先易后难</w:t>
      </w:r>
      <w:r>
        <w:rPr>
          <w:rFonts w:ascii="Times New Roman" w:hAnsi="Times New Roman" w:eastAsia="宋体"/>
          <w:sz w:val="24"/>
          <w:szCs w:val="24"/>
        </w:rPr>
        <w:t>”</w:t>
      </w:r>
      <w:r>
        <w:rPr>
          <w:rFonts w:ascii="Times New Roman" w:hAnsi="宋体" w:eastAsia="宋体"/>
          <w:sz w:val="24"/>
          <w:szCs w:val="24"/>
        </w:rPr>
        <w:t>，</w:t>
      </w:r>
      <w:r>
        <w:rPr>
          <w:rFonts w:ascii="Times New Roman" w:hAnsi="Times New Roman" w:eastAsia="宋体"/>
          <w:sz w:val="24"/>
          <w:szCs w:val="24"/>
        </w:rPr>
        <w:t>“</w:t>
      </w:r>
      <w:r>
        <w:rPr>
          <w:rFonts w:ascii="Times New Roman" w:hAnsi="宋体" w:eastAsia="宋体"/>
          <w:sz w:val="24"/>
          <w:szCs w:val="24"/>
        </w:rPr>
        <w:t>边审核、边实施</w:t>
      </w:r>
      <w:r>
        <w:rPr>
          <w:rFonts w:ascii="Times New Roman" w:hAnsi="Times New Roman" w:eastAsia="宋体"/>
          <w:sz w:val="24"/>
          <w:szCs w:val="24"/>
        </w:rPr>
        <w:t>”</w:t>
      </w:r>
      <w:r>
        <w:rPr>
          <w:rFonts w:ascii="Times New Roman" w:hAnsi="宋体" w:eastAsia="宋体"/>
          <w:sz w:val="24"/>
          <w:szCs w:val="24"/>
        </w:rPr>
        <w:t>的审核方法，先组织实施无低费方案，在有条件的情况下逐步实施中高费方案；并建立持续清洁生产的运行体系。</w:t>
      </w:r>
    </w:p>
    <w:p>
      <w:pPr>
        <w:pStyle w:val="3"/>
        <w:spacing w:beforeLines="50" w:afterLines="50" w:line="240" w:lineRule="auto"/>
        <w:rPr>
          <w:rFonts w:ascii="Times New Roman" w:hAnsi="Times New Roman"/>
          <w:sz w:val="30"/>
          <w:szCs w:val="30"/>
        </w:rPr>
      </w:pPr>
      <w:bookmarkStart w:id="11" w:name="_Toc525138225"/>
      <w:bookmarkStart w:id="12" w:name="_Toc22242"/>
      <w:bookmarkStart w:id="13" w:name="_Toc525138369"/>
      <w:r>
        <w:rPr>
          <w:rFonts w:ascii="Times New Roman" w:hAnsi="Times New Roman"/>
          <w:sz w:val="30"/>
          <w:szCs w:val="30"/>
        </w:rPr>
        <w:t>3、企业简况及审核范围及时限划分</w:t>
      </w:r>
      <w:bookmarkEnd w:id="11"/>
      <w:bookmarkEnd w:id="12"/>
      <w:bookmarkEnd w:id="13"/>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湖南光华荣昌公司成立于2012年8月28日，是由北京海纳川公司和北京光华荣昌公司合资组建；注册资本5600万元，双方各占50%股比，2022年12月北京海纳川进行股权转让，目前北京光华荣昌公司占100%股比。公司位于湖南省株洲市天元区栗雨工业园46区，厂房面积约11000㎡。其中，一期面积6600㎡ ，制造微车、A级车、C级车及重型车系列座椅。</w:t>
      </w:r>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 xml:space="preserve">公司成立目的是为支持北汽自主品牌车建设，满足北汽株洲基地属地化配套需求；在湖南株洲已建成30万套座椅生产能力的标准化工厂。具备骨架弯管、焊接、发泡、组装四大工艺，同时具备产品同步开发能力。 </w:t>
      </w:r>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公司通过了高新技术企业认定，公司通过了IATF 16949：2016质量管理体系认证、GB/T 24001-2016/ISO 14001：2015环境管理体系认证和GB/T 45001-2020/ISO 45001：2018职业健康安全管理体系认证，产品通过了GB15083-2019《汽车座椅、座椅固定装置及头枕强度要求和试验方法》标准的动态碰撞强检试验和强制性产品认证自我声明。</w:t>
      </w:r>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公司依托“以客户为中心，与奋斗者共享，与合作者共赢”的核心价值观，秉承“聚焦价值、精益运营，诚信赢得天下、科技成就未来，为客户创造价值” 的经营宗旨，肩负“让驾乘者更安全、更舒适、更健康，生活更美好！”的使命，精心打造一支具有高素质、超强执行力的核心团队，增强企业核心竞争力，使企业可持续发展，基业常青。</w:t>
      </w:r>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同时依托光华荣昌集团公司的产品开发制造优势和在北汽集团的市场资源优势，在株洲这片热土上，致力于将公司打造成汽车零部件产业在中南乃至华南地区的汽车座椅制造基地，做优秀的自主品牌零部件供应商。</w:t>
      </w:r>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管理是企业的灵魂，规范化的管理体系及制度能够帮助企业更好的经营，能够充分发挥员工的能动性，为企业创造最大的效益。经过多年来的发展，公司各项生产管理工作得到了快速发展，公司各项管理制度基本完善，能够较好的维护企业的生产经营活动。</w:t>
      </w:r>
    </w:p>
    <w:p>
      <w:pPr>
        <w:bidi w:val="0"/>
        <w:ind w:firstLine="480" w:firstLineChars="200"/>
        <w:rPr>
          <w:rFonts w:hint="eastAsia" w:ascii="Times New Roman" w:hAnsi="宋体" w:eastAsia="宋体" w:cstheme="minorBidi"/>
          <w:color w:val="auto"/>
          <w:kern w:val="2"/>
          <w:sz w:val="24"/>
          <w:szCs w:val="24"/>
          <w:lang w:val="en-US" w:eastAsia="zh-CN" w:bidi="ar-SA"/>
        </w:rPr>
      </w:pPr>
      <w:bookmarkStart w:id="14" w:name="_Toc28729_WPSOffice_Level3"/>
      <w:r>
        <w:rPr>
          <w:rFonts w:hint="eastAsia" w:ascii="Times New Roman" w:hAnsi="宋体" w:eastAsia="宋体" w:cstheme="minorBidi"/>
          <w:color w:val="auto"/>
          <w:kern w:val="2"/>
          <w:sz w:val="24"/>
          <w:szCs w:val="24"/>
          <w:lang w:val="en-US" w:eastAsia="zh-CN" w:bidi="ar-SA"/>
        </w:rPr>
        <w:t>（1）能源与资源管理</w:t>
      </w:r>
      <w:bookmarkEnd w:id="14"/>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公司不是高耗能企业，暂未通过能源管理体系认证。但已建立用电、用水管理条例等考核制度，应进一步加强用电和用水的管理，对设备经常维护与保养，保证生产的正常运行。</w:t>
      </w:r>
    </w:p>
    <w:p>
      <w:pPr>
        <w:bidi w:val="0"/>
        <w:ind w:firstLine="480" w:firstLineChars="200"/>
        <w:rPr>
          <w:rFonts w:hint="eastAsia" w:ascii="Times New Roman" w:hAnsi="宋体" w:eastAsia="宋体" w:cstheme="minorBidi"/>
          <w:color w:val="auto"/>
          <w:kern w:val="2"/>
          <w:sz w:val="24"/>
          <w:szCs w:val="24"/>
          <w:lang w:val="en-US" w:eastAsia="zh-CN" w:bidi="ar-SA"/>
        </w:rPr>
      </w:pPr>
      <w:bookmarkStart w:id="15" w:name="_Toc19637_WPSOffice_Level3"/>
      <w:r>
        <w:rPr>
          <w:rFonts w:hint="eastAsia" w:ascii="Times New Roman" w:hAnsi="宋体" w:eastAsia="宋体" w:cstheme="minorBidi"/>
          <w:color w:val="auto"/>
          <w:kern w:val="2"/>
          <w:sz w:val="24"/>
          <w:szCs w:val="24"/>
          <w:lang w:val="en-US" w:eastAsia="zh-CN" w:bidi="ar-SA"/>
        </w:rPr>
        <w:t>（2）质量管理</w:t>
      </w:r>
      <w:bookmarkEnd w:id="15"/>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企业已建立了完善的质量管理体系，通过ISO9001质量管理体系认证，企业产品出厂前均进行严格的检测，产品一次抽检合格率达100%。</w:t>
      </w:r>
    </w:p>
    <w:p>
      <w:pPr>
        <w:bidi w:val="0"/>
        <w:ind w:firstLine="480" w:firstLineChars="200"/>
        <w:rPr>
          <w:rFonts w:hint="eastAsia" w:ascii="Times New Roman" w:hAnsi="宋体" w:eastAsia="宋体" w:cstheme="minorBidi"/>
          <w:color w:val="auto"/>
          <w:kern w:val="2"/>
          <w:sz w:val="24"/>
          <w:szCs w:val="24"/>
          <w:lang w:val="en-US" w:eastAsia="zh-CN" w:bidi="ar-SA"/>
        </w:rPr>
      </w:pPr>
      <w:bookmarkStart w:id="16" w:name="_Toc16650_WPSOffice_Level3"/>
      <w:r>
        <w:rPr>
          <w:rFonts w:hint="eastAsia" w:ascii="Times New Roman" w:hAnsi="宋体" w:eastAsia="宋体" w:cstheme="minorBidi"/>
          <w:color w:val="auto"/>
          <w:kern w:val="2"/>
          <w:sz w:val="24"/>
          <w:szCs w:val="24"/>
          <w:lang w:val="en-US" w:eastAsia="zh-CN" w:bidi="ar-SA"/>
        </w:rPr>
        <w:t>（3）环境管理现状</w:t>
      </w:r>
      <w:bookmarkEnd w:id="16"/>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企业已建立了完善的环境管理体系，通过ISO14001环境管理体系认证，公司成立能源管理中心，采用自动化、信息化技术，科学进行能源管理，围绕"节能、降耗、减排、增效"的能源管理方针，持续开展"双增双节"活动。</w:t>
      </w:r>
    </w:p>
    <w:p>
      <w:pPr>
        <w:pStyle w:val="77"/>
        <w:spacing w:line="560" w:lineRule="exact"/>
        <w:ind w:firstLine="480" w:firstLineChars="200"/>
        <w:rPr>
          <w:rFonts w:hint="eastAsia" w:ascii="Times New Roman" w:hAnsi="宋体" w:eastAsia="宋体" w:cstheme="minorBidi"/>
          <w:color w:val="auto"/>
          <w:kern w:val="2"/>
          <w:sz w:val="24"/>
          <w:szCs w:val="24"/>
          <w:lang w:val="en-US" w:eastAsia="zh-CN" w:bidi="ar-SA"/>
        </w:rPr>
      </w:pPr>
      <w:r>
        <w:rPr>
          <w:rFonts w:hint="eastAsia" w:ascii="Times New Roman" w:hAnsi="宋体" w:eastAsia="宋体" w:cstheme="minorBidi"/>
          <w:color w:val="auto"/>
          <w:kern w:val="2"/>
          <w:sz w:val="24"/>
          <w:szCs w:val="24"/>
          <w:lang w:val="en-US" w:eastAsia="zh-CN" w:bidi="ar-SA"/>
        </w:rPr>
        <w:t>本轮审核范围为湖南光华荣昌汽车部件有限公司位于湖南省株洲市天元区栗雨工业园46区 ，审核基准期为2023年，近期目标实现期设定为2024年4月，远期目标实现期设定为2025年。</w:t>
      </w:r>
    </w:p>
    <w:p>
      <w:pPr>
        <w:pStyle w:val="3"/>
        <w:spacing w:beforeLines="50" w:afterLines="50" w:line="240" w:lineRule="auto"/>
        <w:rPr>
          <w:rFonts w:ascii="Times New Roman" w:hAnsi="Times New Roman"/>
          <w:sz w:val="30"/>
          <w:szCs w:val="30"/>
        </w:rPr>
      </w:pPr>
      <w:bookmarkStart w:id="17" w:name="_Toc525138226"/>
      <w:bookmarkStart w:id="18" w:name="_Toc525138370"/>
      <w:bookmarkStart w:id="19" w:name="_Toc30631"/>
      <w:r>
        <w:rPr>
          <w:rFonts w:hint="eastAsia" w:ascii="Times New Roman" w:hAnsi="Times New Roman"/>
          <w:sz w:val="30"/>
          <w:szCs w:val="30"/>
        </w:rPr>
        <w:t>4、企业存在的主要环境问题</w:t>
      </w:r>
      <w:bookmarkEnd w:id="17"/>
      <w:bookmarkEnd w:id="18"/>
      <w:bookmarkEnd w:id="19"/>
    </w:p>
    <w:p>
      <w:pPr>
        <w:spacing w:line="360" w:lineRule="auto"/>
        <w:ind w:firstLine="482"/>
        <w:rPr>
          <w:rFonts w:hint="eastAsia" w:ascii="Times New Roman" w:hAnsi="宋体" w:eastAsia="宋体"/>
          <w:color w:val="000000" w:themeColor="text1"/>
          <w:sz w:val="24"/>
          <w:szCs w:val="24"/>
        </w:rPr>
      </w:pPr>
      <w:r>
        <w:rPr>
          <w:rFonts w:hint="eastAsia" w:ascii="Times New Roman" w:hAnsi="宋体" w:eastAsia="宋体"/>
          <w:color w:val="000000" w:themeColor="text1"/>
          <w:sz w:val="24"/>
          <w:szCs w:val="24"/>
        </w:rPr>
        <w:t>根据现场调查，企业目前主要存在的问题在于：</w:t>
      </w:r>
    </w:p>
    <w:p>
      <w:pPr>
        <w:spacing w:line="360" w:lineRule="auto"/>
        <w:ind w:firstLine="482"/>
        <w:rPr>
          <w:rFonts w:hint="eastAsia" w:ascii="Times New Roman" w:hAnsi="宋体" w:eastAsia="宋体"/>
          <w:color w:val="000000" w:themeColor="text1"/>
          <w:sz w:val="24"/>
          <w:szCs w:val="24"/>
        </w:rPr>
      </w:pPr>
      <w:r>
        <w:rPr>
          <w:rFonts w:hint="eastAsia" w:ascii="Times New Roman" w:hAnsi="宋体" w:eastAsia="宋体"/>
          <w:color w:val="000000" w:themeColor="text1"/>
          <w:sz w:val="24"/>
          <w:szCs w:val="24"/>
        </w:rPr>
        <w:t>（1）</w:t>
      </w:r>
      <w:r>
        <w:rPr>
          <w:rFonts w:hint="eastAsia" w:ascii="Times New Roman" w:hAnsi="宋体" w:eastAsia="宋体"/>
          <w:color w:val="000000" w:themeColor="text1"/>
          <w:sz w:val="24"/>
          <w:szCs w:val="24"/>
          <w:lang w:val="en-US" w:eastAsia="zh-CN"/>
        </w:rPr>
        <w:t>发泡车间环线牵引链条还是用的比较老旧薄链条，能耗较大，效率低</w:t>
      </w:r>
      <w:r>
        <w:rPr>
          <w:rFonts w:hint="eastAsia" w:ascii="Times New Roman" w:hAnsi="宋体" w:eastAsia="宋体"/>
          <w:color w:val="000000" w:themeColor="text1"/>
          <w:sz w:val="24"/>
          <w:szCs w:val="24"/>
        </w:rPr>
        <w:t>；</w:t>
      </w:r>
    </w:p>
    <w:p>
      <w:pPr>
        <w:spacing w:line="360" w:lineRule="auto"/>
        <w:ind w:firstLine="482"/>
        <w:rPr>
          <w:rFonts w:hint="eastAsia" w:ascii="Times New Roman" w:hAnsi="宋体" w:eastAsia="宋体"/>
          <w:color w:val="000000" w:themeColor="text1"/>
          <w:sz w:val="24"/>
          <w:szCs w:val="24"/>
        </w:rPr>
      </w:pPr>
      <w:r>
        <w:rPr>
          <w:rFonts w:hint="eastAsia" w:ascii="Times New Roman" w:hAnsi="宋体" w:eastAsia="宋体"/>
          <w:color w:val="000000" w:themeColor="text1"/>
          <w:sz w:val="24"/>
          <w:szCs w:val="24"/>
        </w:rPr>
        <w:t>（2）</w:t>
      </w:r>
      <w:r>
        <w:rPr>
          <w:rFonts w:hint="eastAsia" w:ascii="Times New Roman" w:hAnsi="宋体" w:eastAsia="宋体"/>
          <w:color w:val="000000" w:themeColor="text1"/>
          <w:sz w:val="24"/>
          <w:szCs w:val="24"/>
          <w:lang w:val="en-US" w:eastAsia="zh-CN"/>
        </w:rPr>
        <w:t>边角料存放比较凌乱，基本没有再次进行利用</w:t>
      </w:r>
      <w:r>
        <w:rPr>
          <w:rFonts w:hint="eastAsia" w:ascii="Times New Roman" w:hAnsi="宋体" w:eastAsia="宋体"/>
          <w:color w:val="000000" w:themeColor="text1"/>
          <w:sz w:val="24"/>
          <w:szCs w:val="24"/>
        </w:rPr>
        <w:t>；</w:t>
      </w:r>
    </w:p>
    <w:p>
      <w:pPr>
        <w:pStyle w:val="3"/>
        <w:spacing w:beforeLines="50" w:afterLines="50" w:line="240" w:lineRule="auto"/>
        <w:rPr>
          <w:rFonts w:ascii="Times New Roman" w:hAnsi="Times New Roman"/>
          <w:sz w:val="30"/>
          <w:szCs w:val="30"/>
        </w:rPr>
      </w:pPr>
      <w:bookmarkStart w:id="20" w:name="_Toc1977"/>
      <w:bookmarkStart w:id="21" w:name="_Toc5995"/>
      <w:bookmarkStart w:id="22" w:name="_Toc525138227"/>
      <w:bookmarkStart w:id="23" w:name="_Toc525138371"/>
      <w:bookmarkStart w:id="24" w:name="_Toc343503007"/>
      <w:bookmarkStart w:id="25" w:name="_Toc347649484"/>
      <w:r>
        <w:rPr>
          <w:rFonts w:hint="eastAsia" w:ascii="Times New Roman" w:hAnsi="Times New Roman"/>
          <w:sz w:val="30"/>
          <w:szCs w:val="30"/>
        </w:rPr>
        <w:t>5</w:t>
      </w:r>
      <w:r>
        <w:rPr>
          <w:rFonts w:ascii="Times New Roman" w:hAnsi="Times New Roman"/>
          <w:sz w:val="30"/>
          <w:szCs w:val="30"/>
        </w:rPr>
        <w:t>、审核依据</w:t>
      </w:r>
      <w:bookmarkEnd w:id="20"/>
      <w:bookmarkEnd w:id="21"/>
      <w:bookmarkEnd w:id="22"/>
      <w:bookmarkEnd w:id="23"/>
      <w:bookmarkEnd w:id="24"/>
      <w:bookmarkEnd w:id="25"/>
    </w:p>
    <w:p>
      <w:pPr>
        <w:spacing w:line="360" w:lineRule="auto"/>
        <w:ind w:firstLine="482"/>
        <w:rPr>
          <w:rFonts w:ascii="Times New Roman" w:hAnsi="Times New Roman" w:eastAsia="宋体"/>
          <w:sz w:val="24"/>
          <w:szCs w:val="24"/>
        </w:rPr>
      </w:pPr>
      <w:bookmarkStart w:id="26" w:name="_Toc343503008"/>
      <w:bookmarkStart w:id="27" w:name="_Toc347649485"/>
      <w:r>
        <w:rPr>
          <w:rFonts w:ascii="Times New Roman" w:hAnsi="宋体" w:eastAsia="宋体"/>
          <w:sz w:val="24"/>
          <w:szCs w:val="24"/>
        </w:rPr>
        <w:t>（</w:t>
      </w:r>
      <w:r>
        <w:rPr>
          <w:rFonts w:ascii="Times New Roman" w:hAnsi="Times New Roman" w:eastAsia="宋体"/>
          <w:sz w:val="24"/>
          <w:szCs w:val="24"/>
        </w:rPr>
        <w:t>1</w:t>
      </w:r>
      <w:r>
        <w:rPr>
          <w:rFonts w:ascii="Times New Roman" w:hAnsi="宋体" w:eastAsia="宋体"/>
          <w:sz w:val="24"/>
          <w:szCs w:val="24"/>
        </w:rPr>
        <w:t>）国家及地方法律、法规</w:t>
      </w:r>
      <w:bookmarkEnd w:id="26"/>
      <w:bookmarkEnd w:id="27"/>
    </w:p>
    <w:p>
      <w:pPr>
        <w:spacing w:line="360" w:lineRule="auto"/>
        <w:ind w:firstLine="482"/>
        <w:rPr>
          <w:rFonts w:ascii="Times New Roman" w:hAnsi="Times New Roman" w:eastAsia="宋体"/>
          <w:sz w:val="24"/>
          <w:szCs w:val="24"/>
        </w:rPr>
      </w:pPr>
      <w:r>
        <w:rPr>
          <w:rFonts w:ascii="Times New Roman" w:hAnsi="Times New Roman" w:eastAsia="宋体"/>
          <w:sz w:val="24"/>
          <w:szCs w:val="24"/>
        </w:rPr>
        <w:t>1</w:t>
      </w:r>
      <w:r>
        <w:rPr>
          <w:rFonts w:ascii="Times New Roman" w:hAnsi="宋体" w:eastAsia="宋体"/>
          <w:sz w:val="24"/>
          <w:szCs w:val="24"/>
        </w:rPr>
        <w:t>）《中华人民共和国清洁生产促进法》（</w:t>
      </w:r>
      <w:r>
        <w:rPr>
          <w:rFonts w:ascii="Times New Roman" w:hAnsi="Times New Roman" w:eastAsia="宋体"/>
          <w:sz w:val="24"/>
          <w:szCs w:val="24"/>
        </w:rPr>
        <w:t>2012</w:t>
      </w:r>
      <w:r>
        <w:rPr>
          <w:rFonts w:ascii="Times New Roman" w:hAnsi="宋体" w:eastAsia="宋体"/>
          <w:sz w:val="24"/>
          <w:szCs w:val="24"/>
        </w:rPr>
        <w:t>年</w:t>
      </w:r>
      <w:r>
        <w:rPr>
          <w:rFonts w:hint="eastAsia" w:ascii="Times New Roman" w:hAnsi="Times New Roman" w:eastAsia="宋体"/>
          <w:sz w:val="24"/>
          <w:szCs w:val="24"/>
        </w:rPr>
        <w:t>2月修订</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2</w:t>
      </w:r>
      <w:r>
        <w:rPr>
          <w:rFonts w:ascii="Times New Roman" w:hAnsi="宋体" w:eastAsia="宋体"/>
          <w:sz w:val="24"/>
          <w:szCs w:val="24"/>
        </w:rPr>
        <w:t>）《中华人民共和国环境保护法》（</w:t>
      </w:r>
      <w:r>
        <w:rPr>
          <w:rFonts w:ascii="Times New Roman" w:hAnsi="Times New Roman" w:eastAsia="宋体"/>
          <w:sz w:val="24"/>
          <w:szCs w:val="24"/>
        </w:rPr>
        <w:t>2015</w:t>
      </w:r>
      <w:r>
        <w:rPr>
          <w:rFonts w:ascii="Times New Roman" w:hAnsi="宋体" w:eastAsia="宋体"/>
          <w:sz w:val="24"/>
          <w:szCs w:val="24"/>
        </w:rPr>
        <w:t>年</w:t>
      </w:r>
      <w:r>
        <w:rPr>
          <w:rFonts w:ascii="Times New Roman" w:hAnsi="Times New Roman" w:eastAsia="宋体"/>
          <w:sz w:val="24"/>
          <w:szCs w:val="24"/>
        </w:rPr>
        <w:t>1</w:t>
      </w:r>
      <w:r>
        <w:rPr>
          <w:rFonts w:ascii="Times New Roman" w:hAnsi="宋体" w:eastAsia="宋体"/>
          <w:sz w:val="24"/>
          <w:szCs w:val="24"/>
        </w:rPr>
        <w:t>月</w:t>
      </w:r>
      <w:r>
        <w:rPr>
          <w:rFonts w:ascii="Times New Roman" w:hAnsi="Times New Roman" w:eastAsia="宋体"/>
          <w:sz w:val="24"/>
          <w:szCs w:val="24"/>
        </w:rPr>
        <w:t>1</w:t>
      </w:r>
      <w:r>
        <w:rPr>
          <w:rFonts w:ascii="Times New Roman" w:hAnsi="宋体" w:eastAsia="宋体"/>
          <w:sz w:val="24"/>
          <w:szCs w:val="24"/>
        </w:rPr>
        <w:t>日实施）</w:t>
      </w:r>
      <w:r>
        <w:rPr>
          <w:rFonts w:ascii="Times New Roman" w:hAnsi="Times New Roman" w:eastAsia="宋体"/>
          <w:sz w:val="24"/>
          <w:szCs w:val="24"/>
        </w:rPr>
        <w:t xml:space="preserve"> </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3</w:t>
      </w:r>
      <w:r>
        <w:rPr>
          <w:rFonts w:ascii="Times New Roman" w:hAnsi="宋体" w:eastAsia="宋体"/>
          <w:sz w:val="24"/>
          <w:szCs w:val="24"/>
        </w:rPr>
        <w:t>）《中华人民共和国循环经济促进法》（</w:t>
      </w:r>
      <w:r>
        <w:rPr>
          <w:rFonts w:hint="eastAsia" w:ascii="Times New Roman" w:hAnsi="Times New Roman" w:eastAsia="宋体"/>
          <w:sz w:val="24"/>
          <w:szCs w:val="24"/>
          <w:lang w:val="en-US" w:eastAsia="zh-CN"/>
        </w:rPr>
        <w:t>2018年修正</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4</w:t>
      </w:r>
      <w:r>
        <w:rPr>
          <w:rFonts w:ascii="Times New Roman" w:hAnsi="宋体" w:eastAsia="宋体"/>
          <w:sz w:val="24"/>
          <w:szCs w:val="24"/>
        </w:rPr>
        <w:t>）《中华人民共和国节约能源法》（</w:t>
      </w:r>
      <w:r>
        <w:rPr>
          <w:rFonts w:hint="eastAsia" w:ascii="Times New Roman" w:hAnsi="Times New Roman" w:eastAsia="宋体"/>
          <w:sz w:val="24"/>
          <w:szCs w:val="24"/>
        </w:rPr>
        <w:t>中华人民共和国主席令第77号</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5</w:t>
      </w:r>
      <w:r>
        <w:rPr>
          <w:rFonts w:ascii="Times New Roman" w:hAnsi="宋体" w:eastAsia="宋体"/>
          <w:sz w:val="24"/>
          <w:szCs w:val="24"/>
        </w:rPr>
        <w:t>）《中华人民共和国水污染防治法》（</w:t>
      </w:r>
      <w:r>
        <w:rPr>
          <w:rFonts w:hint="eastAsia" w:ascii="Times New Roman" w:hAnsi="Times New Roman" w:eastAsia="宋体"/>
          <w:sz w:val="24"/>
          <w:szCs w:val="24"/>
        </w:rPr>
        <w:t>中华人民共和国主席令第87号</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6</w:t>
      </w:r>
      <w:r>
        <w:rPr>
          <w:rFonts w:ascii="Times New Roman" w:hAnsi="宋体" w:eastAsia="宋体"/>
          <w:sz w:val="24"/>
          <w:szCs w:val="24"/>
        </w:rPr>
        <w:t>）《中华人民共和国固体废物污染环境防治法》（</w:t>
      </w:r>
      <w:r>
        <w:rPr>
          <w:rFonts w:hint="eastAsia" w:ascii="Times New Roman" w:hAnsi="Times New Roman" w:eastAsia="宋体"/>
          <w:sz w:val="24"/>
          <w:szCs w:val="24"/>
          <w:lang w:val="en-US" w:eastAsia="zh-CN"/>
        </w:rPr>
        <w:t>2020年修订</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7</w:t>
      </w:r>
      <w:r>
        <w:rPr>
          <w:rFonts w:ascii="Times New Roman" w:hAnsi="宋体" w:eastAsia="宋体"/>
          <w:sz w:val="24"/>
          <w:szCs w:val="24"/>
        </w:rPr>
        <w:t>）《中华人民共和国大气污染防治法》（</w:t>
      </w:r>
      <w:r>
        <w:rPr>
          <w:rFonts w:hint="eastAsia" w:ascii="Times New Roman" w:hAnsi="Times New Roman" w:eastAsia="宋体"/>
          <w:sz w:val="24"/>
          <w:szCs w:val="24"/>
          <w:lang w:val="en-US" w:eastAsia="zh-CN"/>
        </w:rPr>
        <w:t>2018年修正</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8</w:t>
      </w:r>
      <w:r>
        <w:rPr>
          <w:rFonts w:ascii="Times New Roman" w:hAnsi="宋体" w:eastAsia="宋体"/>
          <w:sz w:val="24"/>
          <w:szCs w:val="24"/>
        </w:rPr>
        <w:t>）《清洁生产审核办法》（国家发改委、国家环保总局令</w:t>
      </w:r>
      <w:r>
        <w:rPr>
          <w:rFonts w:hint="eastAsia" w:ascii="Times New Roman" w:hAnsi="宋体" w:eastAsia="宋体"/>
          <w:sz w:val="24"/>
          <w:szCs w:val="24"/>
        </w:rPr>
        <w:t>2016年</w:t>
      </w:r>
      <w:r>
        <w:rPr>
          <w:rFonts w:ascii="Times New Roman" w:hAnsi="宋体" w:eastAsia="宋体"/>
          <w:sz w:val="24"/>
          <w:szCs w:val="24"/>
        </w:rPr>
        <w:t>第</w:t>
      </w:r>
      <w:r>
        <w:rPr>
          <w:rFonts w:hint="eastAsia" w:ascii="Times New Roman" w:hAnsi="Times New Roman" w:eastAsia="宋体"/>
          <w:sz w:val="24"/>
          <w:szCs w:val="24"/>
        </w:rPr>
        <w:t>38</w:t>
      </w:r>
      <w:r>
        <w:rPr>
          <w:rFonts w:ascii="Times New Roman" w:hAnsi="宋体" w:eastAsia="宋体"/>
          <w:sz w:val="24"/>
          <w:szCs w:val="24"/>
        </w:rPr>
        <w:t>号）</w:t>
      </w:r>
    </w:p>
    <w:p>
      <w:pPr>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9</w:t>
      </w:r>
      <w:r>
        <w:rPr>
          <w:rFonts w:ascii="Times New Roman" w:hAnsi="宋体" w:eastAsia="宋体"/>
          <w:sz w:val="24"/>
          <w:szCs w:val="24"/>
        </w:rPr>
        <w:t>）《关于贯彻落实〈清洁生产促进法〉的若干意见》（</w:t>
      </w:r>
      <w:r>
        <w:rPr>
          <w:rFonts w:hint="eastAsia" w:ascii="Times New Roman" w:hAnsi="宋体" w:eastAsia="宋体"/>
          <w:sz w:val="24"/>
          <w:szCs w:val="24"/>
        </w:rPr>
        <w:t>国家发改委、国家环保部2016年第38号令</w:t>
      </w:r>
      <w:r>
        <w:rPr>
          <w:rFonts w:ascii="Times New Roman" w:hAnsi="宋体" w:eastAsia="宋体"/>
          <w:sz w:val="24"/>
          <w:szCs w:val="24"/>
        </w:rPr>
        <w:t>）</w:t>
      </w:r>
    </w:p>
    <w:p>
      <w:pPr>
        <w:spacing w:line="360" w:lineRule="auto"/>
        <w:ind w:firstLine="482"/>
        <w:rPr>
          <w:rFonts w:ascii="Times New Roman" w:hAnsi="Times New Roman" w:eastAsia="宋体"/>
          <w:sz w:val="24"/>
          <w:szCs w:val="24"/>
        </w:rPr>
      </w:pPr>
      <w:r>
        <w:rPr>
          <w:rFonts w:ascii="Times New Roman" w:hAnsi="Times New Roman" w:eastAsia="宋体"/>
          <w:sz w:val="24"/>
          <w:szCs w:val="24"/>
        </w:rPr>
        <w:t>1</w:t>
      </w:r>
      <w:r>
        <w:rPr>
          <w:rFonts w:hint="eastAsia" w:ascii="Times New Roman" w:hAnsi="Times New Roman" w:eastAsia="宋体"/>
          <w:sz w:val="24"/>
          <w:szCs w:val="24"/>
        </w:rPr>
        <w:t>0</w:t>
      </w:r>
      <w:r>
        <w:rPr>
          <w:rFonts w:ascii="Times New Roman" w:hAnsi="Times New Roman" w:eastAsia="宋体"/>
          <w:sz w:val="24"/>
          <w:szCs w:val="24"/>
        </w:rPr>
        <w:t>）</w:t>
      </w:r>
      <w:r>
        <w:rPr>
          <w:rFonts w:hint="default" w:ascii="Times New Roman" w:hAnsi="Times New Roman" w:eastAsia="宋体"/>
          <w:sz w:val="24"/>
          <w:szCs w:val="24"/>
          <w:lang w:val="en-US" w:eastAsia="zh-CN"/>
        </w:rPr>
        <w:t>湖南省经济和信息化委员会关于印发《湖南省自愿性清洁生产审核工作规程》的通知（湘经信节能〔2018〕256号）（2018年10月1日起执行，有效期5年）</w:t>
      </w:r>
    </w:p>
    <w:p>
      <w:pPr>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11）</w:t>
      </w:r>
      <w:r>
        <w:rPr>
          <w:rFonts w:hint="default" w:ascii="Times New Roman" w:hAnsi="Times New Roman" w:eastAsia="宋体"/>
          <w:sz w:val="24"/>
          <w:szCs w:val="24"/>
        </w:rPr>
        <w:t>生态环境部办公厅</w:t>
      </w:r>
      <w:r>
        <w:rPr>
          <w:rFonts w:hint="default" w:ascii="Times New Roman" w:hAnsi="Times New Roman" w:eastAsia="宋体"/>
          <w:sz w:val="24"/>
          <w:szCs w:val="24"/>
          <w:lang w:val="en-US" w:eastAsia="zh-CN"/>
        </w:rPr>
        <w:t xml:space="preserve"> </w:t>
      </w:r>
      <w:r>
        <w:rPr>
          <w:rFonts w:hint="default" w:ascii="Times New Roman" w:hAnsi="Times New Roman" w:eastAsia="宋体"/>
          <w:sz w:val="24"/>
          <w:szCs w:val="24"/>
        </w:rPr>
        <w:t>国家发展和改革委员会办公厅</w:t>
      </w:r>
      <w:r>
        <w:rPr>
          <w:rFonts w:hint="default" w:ascii="Times New Roman" w:hAnsi="Times New Roman" w:eastAsia="宋体"/>
          <w:sz w:val="24"/>
          <w:szCs w:val="24"/>
          <w:lang w:val="en-US" w:eastAsia="zh-CN"/>
        </w:rPr>
        <w:t xml:space="preserve"> </w:t>
      </w:r>
      <w:r>
        <w:rPr>
          <w:rFonts w:hint="default" w:ascii="Times New Roman" w:hAnsi="Times New Roman" w:eastAsia="宋体"/>
          <w:sz w:val="24"/>
          <w:szCs w:val="24"/>
        </w:rPr>
        <w:t>关于印发《</w:t>
      </w:r>
      <w:r>
        <w:rPr>
          <w:rFonts w:hint="default" w:ascii="Times New Roman" w:hAnsi="Times New Roman" w:eastAsia="宋体"/>
          <w:sz w:val="24"/>
          <w:szCs w:val="24"/>
        </w:rPr>
        <w:fldChar w:fldCharType="begin"/>
      </w:r>
      <w:r>
        <w:rPr>
          <w:rFonts w:hint="default" w:ascii="Times New Roman" w:hAnsi="Times New Roman" w:eastAsia="宋体"/>
          <w:sz w:val="24"/>
          <w:szCs w:val="24"/>
        </w:rPr>
        <w:instrText xml:space="preserve"> HYPERLINK "https://huanbao.bjx.com.cn/topics/qingjieshengchanshenhe/" \t "/home/greatwall/文档\\x/_blank" </w:instrText>
      </w:r>
      <w:r>
        <w:rPr>
          <w:rFonts w:hint="default" w:ascii="Times New Roman" w:hAnsi="Times New Roman" w:eastAsia="宋体"/>
          <w:sz w:val="24"/>
          <w:szCs w:val="24"/>
        </w:rPr>
        <w:fldChar w:fldCharType="separate"/>
      </w:r>
      <w:r>
        <w:rPr>
          <w:rFonts w:hint="default" w:ascii="Times New Roman" w:hAnsi="Times New Roman" w:eastAsia="宋体"/>
          <w:sz w:val="24"/>
          <w:szCs w:val="24"/>
        </w:rPr>
        <w:t>清洁生产审核</w:t>
      </w:r>
      <w:r>
        <w:rPr>
          <w:rFonts w:hint="default" w:ascii="Times New Roman" w:hAnsi="Times New Roman" w:eastAsia="宋体"/>
          <w:sz w:val="24"/>
          <w:szCs w:val="24"/>
        </w:rPr>
        <w:fldChar w:fldCharType="end"/>
      </w:r>
      <w:r>
        <w:rPr>
          <w:rFonts w:hint="default" w:ascii="Times New Roman" w:hAnsi="Times New Roman" w:eastAsia="宋体"/>
          <w:sz w:val="24"/>
          <w:szCs w:val="24"/>
        </w:rPr>
        <w:t>评估与验收指南》的通知</w:t>
      </w:r>
      <w:r>
        <w:rPr>
          <w:rFonts w:hint="default" w:ascii="Times New Roman" w:hAnsi="Times New Roman" w:eastAsia="宋体"/>
          <w:sz w:val="24"/>
          <w:szCs w:val="24"/>
          <w:lang w:eastAsia="zh-CN"/>
        </w:rPr>
        <w:t>（</w:t>
      </w:r>
      <w:r>
        <w:rPr>
          <w:rFonts w:hint="default" w:ascii="Times New Roman" w:hAnsi="Times New Roman" w:eastAsia="宋体"/>
          <w:sz w:val="24"/>
          <w:szCs w:val="24"/>
        </w:rPr>
        <w:t>环办科技〔2018〕5号</w:t>
      </w:r>
      <w:r>
        <w:rPr>
          <w:rFonts w:hint="default" w:ascii="Times New Roman" w:hAnsi="Times New Roman" w:eastAsia="宋体"/>
          <w:sz w:val="24"/>
          <w:szCs w:val="24"/>
          <w:lang w:eastAsia="zh-CN"/>
        </w:rPr>
        <w:t>）</w:t>
      </w:r>
    </w:p>
    <w:p>
      <w:pPr>
        <w:spacing w:line="360" w:lineRule="auto"/>
        <w:ind w:firstLine="482"/>
        <w:rPr>
          <w:rFonts w:hint="eastAsia" w:ascii="Times New Roman" w:hAnsi="Times New Roman" w:eastAsia="宋体"/>
          <w:sz w:val="24"/>
          <w:szCs w:val="24"/>
        </w:rPr>
      </w:pPr>
      <w:r>
        <w:rPr>
          <w:rFonts w:hint="eastAsia" w:ascii="Times New Roman" w:hAnsi="Times New Roman" w:eastAsia="宋体"/>
          <w:sz w:val="24"/>
          <w:szCs w:val="24"/>
        </w:rPr>
        <w:t>12）</w:t>
      </w:r>
      <w:r>
        <w:rPr>
          <w:rFonts w:hint="default" w:ascii="Times New Roman" w:hAnsi="Times New Roman" w:eastAsia="宋体"/>
          <w:sz w:val="24"/>
          <w:szCs w:val="24"/>
          <w:lang w:val="en-US" w:eastAsia="zh-CN"/>
        </w:rPr>
        <w:t>国家发改委等部门关于印发《“十四五”全国清洁生产推行方案》的通知（发改环资〔2021〕1524号）</w:t>
      </w:r>
    </w:p>
    <w:p>
      <w:pPr>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sz w:val="24"/>
          <w:szCs w:val="24"/>
        </w:rPr>
        <w:t>1</w:t>
      </w:r>
      <w:r>
        <w:rPr>
          <w:rFonts w:hint="eastAsia" w:ascii="Times New Roman" w:hAnsi="Times New Roman" w:eastAsia="宋体"/>
          <w:sz w:val="24"/>
          <w:szCs w:val="24"/>
          <w:lang w:val="en-US" w:eastAsia="zh-CN"/>
        </w:rPr>
        <w:t>3</w:t>
      </w:r>
      <w:r>
        <w:rPr>
          <w:rFonts w:hint="eastAsia" w:ascii="Times New Roman" w:hAnsi="Times New Roman" w:eastAsia="宋体"/>
          <w:sz w:val="24"/>
          <w:szCs w:val="24"/>
        </w:rPr>
        <w:t>）</w:t>
      </w:r>
      <w:r>
        <w:rPr>
          <w:rFonts w:hint="default" w:ascii="Times New Roman" w:hAnsi="Times New Roman" w:eastAsia="宋体"/>
          <w:sz w:val="24"/>
          <w:szCs w:val="24"/>
          <w:lang w:val="en-US" w:eastAsia="zh-CN"/>
        </w:rPr>
        <w:t>湖南省工业和信息化厅关于</w:t>
      </w:r>
      <w:r>
        <w:rPr>
          <w:rFonts w:hint="eastAsia" w:ascii="Times New Roman" w:hAnsi="Times New Roman" w:eastAsia="宋体"/>
          <w:sz w:val="24"/>
          <w:szCs w:val="24"/>
          <w:lang w:val="en-US" w:eastAsia="zh-CN"/>
        </w:rPr>
        <w:t>下达2024年度全省自愿性清洁生产审核计划的通知</w:t>
      </w:r>
    </w:p>
    <w:p>
      <w:pPr>
        <w:spacing w:line="360" w:lineRule="auto"/>
        <w:ind w:firstLine="480" w:firstLineChars="200"/>
        <w:rPr>
          <w:rFonts w:ascii="Times New Roman" w:hAnsi="Times New Roman" w:eastAsia="宋体"/>
          <w:sz w:val="24"/>
          <w:szCs w:val="24"/>
        </w:rPr>
      </w:pPr>
      <w:bookmarkStart w:id="28" w:name="_Toc334090780"/>
      <w:bookmarkStart w:id="29" w:name="_Toc343503009"/>
      <w:bookmarkStart w:id="30" w:name="_Toc347649486"/>
      <w:r>
        <w:rPr>
          <w:rFonts w:hint="eastAsia" w:ascii="Times New Roman" w:hAnsi="Times New Roman" w:eastAsia="宋体"/>
          <w:sz w:val="24"/>
          <w:szCs w:val="24"/>
        </w:rPr>
        <w:t>（2）国家及地方标准、规范</w:t>
      </w:r>
      <w:bookmarkEnd w:id="28"/>
      <w:bookmarkEnd w:id="29"/>
      <w:bookmarkEnd w:id="30"/>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w:t>
      </w:r>
      <w:r>
        <w:rPr>
          <w:rFonts w:ascii="Times New Roman" w:hAnsi="Times New Roman" w:eastAsia="宋体"/>
          <w:sz w:val="24"/>
          <w:szCs w:val="24"/>
        </w:rPr>
        <w:t>）《综合能耗计算通则》（GB/T 2589-20</w:t>
      </w:r>
      <w:r>
        <w:rPr>
          <w:rFonts w:hint="eastAsia" w:ascii="Times New Roman" w:hAnsi="Times New Roman" w:eastAsia="宋体"/>
          <w:sz w:val="24"/>
          <w:szCs w:val="24"/>
          <w:lang w:val="en-US" w:eastAsia="zh-CN"/>
        </w:rPr>
        <w:t>20</w:t>
      </w:r>
      <w:r>
        <w:rPr>
          <w:rFonts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w:t>
      </w:r>
      <w:r>
        <w:rPr>
          <w:rFonts w:ascii="Times New Roman" w:hAnsi="Times New Roman" w:eastAsia="宋体"/>
          <w:sz w:val="24"/>
          <w:szCs w:val="24"/>
        </w:rPr>
        <w:t>）《节能监测技术通则》（GB/T 15316-</w:t>
      </w:r>
      <w:r>
        <w:rPr>
          <w:rFonts w:hint="eastAsia" w:ascii="Times New Roman" w:hAnsi="Times New Roman" w:eastAsia="宋体"/>
          <w:sz w:val="24"/>
          <w:szCs w:val="24"/>
        </w:rPr>
        <w:t>2009</w:t>
      </w:r>
      <w:r>
        <w:rPr>
          <w:rFonts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w:t>
      </w:r>
      <w:r>
        <w:rPr>
          <w:rFonts w:ascii="Times New Roman" w:hAnsi="Times New Roman" w:eastAsia="宋体"/>
          <w:sz w:val="24"/>
          <w:szCs w:val="24"/>
        </w:rPr>
        <w:t>）《工业企业能源管理导则》（GB/T 15587-</w:t>
      </w:r>
      <w:r>
        <w:rPr>
          <w:rFonts w:hint="eastAsia" w:ascii="Times New Roman" w:hAnsi="Times New Roman" w:eastAsia="宋体"/>
          <w:sz w:val="24"/>
          <w:szCs w:val="24"/>
        </w:rPr>
        <w:t>2008</w:t>
      </w:r>
      <w:r>
        <w:rPr>
          <w:rFonts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w:t>
      </w:r>
      <w:r>
        <w:rPr>
          <w:rFonts w:ascii="Times New Roman" w:hAnsi="Times New Roman" w:eastAsia="宋体"/>
          <w:sz w:val="24"/>
          <w:szCs w:val="24"/>
        </w:rPr>
        <w:t>）《用能单位能源计量器具配备和管理通则》（GB/T 17167-2006）</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5</w:t>
      </w:r>
      <w:r>
        <w:rPr>
          <w:rFonts w:ascii="Times New Roman" w:hAnsi="Times New Roman" w:eastAsia="宋体"/>
          <w:sz w:val="24"/>
          <w:szCs w:val="24"/>
        </w:rPr>
        <w:t>）《声环境质量标准》（GB 3096-20</w:t>
      </w:r>
      <w:r>
        <w:rPr>
          <w:rFonts w:hint="eastAsia" w:ascii="Times New Roman" w:hAnsi="Times New Roman" w:eastAsia="宋体"/>
          <w:sz w:val="24"/>
          <w:szCs w:val="24"/>
          <w:lang w:val="en-US" w:eastAsia="zh-CN"/>
        </w:rPr>
        <w:t>21</w:t>
      </w:r>
      <w:r>
        <w:rPr>
          <w:rFonts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6</w:t>
      </w:r>
      <w:r>
        <w:rPr>
          <w:rFonts w:ascii="Times New Roman" w:hAnsi="Times New Roman" w:eastAsia="宋体"/>
          <w:sz w:val="24"/>
          <w:szCs w:val="24"/>
        </w:rPr>
        <w:t>）《环境空气质量标准》（GB 3095-</w:t>
      </w:r>
      <w:r>
        <w:rPr>
          <w:rFonts w:hint="eastAsia" w:ascii="Times New Roman" w:hAnsi="Times New Roman" w:eastAsia="宋体"/>
          <w:sz w:val="24"/>
          <w:szCs w:val="24"/>
        </w:rPr>
        <w:t>201</w:t>
      </w:r>
      <w:r>
        <w:rPr>
          <w:rFonts w:hint="eastAsia" w:ascii="Times New Roman" w:hAnsi="Times New Roman" w:eastAsia="宋体"/>
          <w:sz w:val="24"/>
          <w:szCs w:val="24"/>
          <w:lang w:val="en-US" w:eastAsia="zh-CN"/>
        </w:rPr>
        <w:t>8</w:t>
      </w:r>
      <w:r>
        <w:rPr>
          <w:rFonts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7</w:t>
      </w:r>
      <w:r>
        <w:rPr>
          <w:rFonts w:ascii="Times New Roman" w:hAnsi="Times New Roman" w:eastAsia="宋体"/>
          <w:sz w:val="24"/>
          <w:szCs w:val="24"/>
        </w:rPr>
        <w:t>）</w:t>
      </w:r>
      <w:r>
        <w:rPr>
          <w:rFonts w:ascii="Times New Roman" w:hAnsi="Times New Roman" w:eastAsia="宋体"/>
          <w:bCs/>
          <w:sz w:val="24"/>
          <w:szCs w:val="24"/>
        </w:rPr>
        <w:t>《地表水环境质量标准》（GB 3838-20</w:t>
      </w:r>
      <w:r>
        <w:rPr>
          <w:rFonts w:hint="eastAsia" w:ascii="Times New Roman" w:hAnsi="Times New Roman" w:eastAsia="宋体"/>
          <w:bCs/>
          <w:sz w:val="24"/>
          <w:szCs w:val="24"/>
          <w:lang w:val="en-US" w:eastAsia="zh-CN"/>
        </w:rPr>
        <w:t>22</w:t>
      </w:r>
      <w:r>
        <w:rPr>
          <w:rFonts w:ascii="Times New Roman" w:hAnsi="Times New Roman" w:eastAsia="宋体"/>
          <w:bCs/>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8</w:t>
      </w:r>
      <w:r>
        <w:rPr>
          <w:rFonts w:ascii="Times New Roman" w:hAnsi="Times New Roman" w:eastAsia="宋体"/>
          <w:sz w:val="24"/>
          <w:szCs w:val="24"/>
        </w:rPr>
        <w:t>）《工业企业厂界环境噪声排放标准》（GB 12348-2008）</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9）《大气污染物综合排放标准》（GB 16297-1996）</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10）《污水综合排放标准》（GB9078-</w:t>
      </w:r>
      <w:r>
        <w:rPr>
          <w:rFonts w:hint="eastAsia" w:ascii="Times New Roman" w:hAnsi="Times New Roman" w:eastAsia="宋体"/>
          <w:sz w:val="24"/>
          <w:szCs w:val="24"/>
          <w:lang w:val="en-US" w:eastAsia="zh-CN"/>
        </w:rPr>
        <w:t>2022</w:t>
      </w:r>
      <w:r>
        <w:rPr>
          <w:rFonts w:hint="eastAsia"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11）</w:t>
      </w:r>
      <w:r>
        <w:rPr>
          <w:rFonts w:hint="eastAsia" w:ascii="Times New Roman" w:hAnsi="Times New Roman" w:eastAsia="宋体"/>
          <w:sz w:val="24"/>
          <w:szCs w:val="24"/>
          <w:lang w:val="en-US" w:eastAsia="zh-CN"/>
        </w:rPr>
        <w:t>《湖南省用水定额》（</w:t>
      </w:r>
      <w:r>
        <w:rPr>
          <w:rFonts w:hint="default" w:ascii="Times New Roman" w:hAnsi="Times New Roman" w:eastAsia="宋体"/>
          <w:sz w:val="24"/>
          <w:szCs w:val="24"/>
          <w:lang w:val="en-US" w:eastAsia="zh-CN"/>
        </w:rPr>
        <w:t>DB43/T388-2020</w:t>
      </w:r>
      <w:r>
        <w:rPr>
          <w:rFonts w:hint="eastAsia" w:ascii="Times New Roman" w:hAnsi="Times New Roman" w:eastAsia="宋体"/>
          <w:sz w:val="24"/>
          <w:szCs w:val="24"/>
          <w:lang w:val="en-US" w:eastAsia="zh-CN"/>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12</w:t>
      </w:r>
      <w:r>
        <w:rPr>
          <w:rFonts w:ascii="Times New Roman" w:hAnsi="Times New Roman" w:eastAsia="宋体"/>
          <w:sz w:val="24"/>
          <w:szCs w:val="24"/>
        </w:rPr>
        <w:t>）《一般工业固体废物贮存、处置场污染控制标准》（GB18599-20</w:t>
      </w:r>
      <w:r>
        <w:rPr>
          <w:rFonts w:hint="eastAsia" w:ascii="Times New Roman" w:hAnsi="Times New Roman" w:eastAsia="宋体"/>
          <w:sz w:val="24"/>
          <w:szCs w:val="24"/>
          <w:lang w:val="en-US" w:eastAsia="zh-CN"/>
        </w:rPr>
        <w:t>20</w:t>
      </w:r>
      <w:r>
        <w:rPr>
          <w:rFonts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13）《危险废物贮存污染控制标准》（GB18597-20</w:t>
      </w:r>
      <w:r>
        <w:rPr>
          <w:rFonts w:hint="eastAsia" w:ascii="Times New Roman" w:hAnsi="Times New Roman" w:eastAsia="宋体"/>
          <w:sz w:val="24"/>
          <w:szCs w:val="24"/>
          <w:lang w:val="en-US" w:eastAsia="zh-CN"/>
        </w:rPr>
        <w:t>23</w:t>
      </w:r>
      <w:r>
        <w:rPr>
          <w:rFonts w:hint="eastAsia"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14）《危险废物名录》（环保部、发改委，20</w:t>
      </w:r>
      <w:r>
        <w:rPr>
          <w:rFonts w:hint="eastAsia" w:ascii="Times New Roman" w:hAnsi="Times New Roman" w:eastAsia="宋体"/>
          <w:sz w:val="24"/>
          <w:szCs w:val="24"/>
          <w:lang w:val="en-US" w:eastAsia="zh-CN"/>
        </w:rPr>
        <w:t>21</w:t>
      </w:r>
      <w:r>
        <w:rPr>
          <w:rFonts w:hint="eastAsia" w:ascii="Times New Roman" w:hAnsi="Times New Roman" w:eastAsia="宋体"/>
          <w:sz w:val="24"/>
          <w:szCs w:val="24"/>
        </w:rPr>
        <w:t>）</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（3）产业及行业其他标准、规范</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1）《淘汰落后生产能力、工艺和产品的目录》（第一、二、三、四批）</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2）《产业结构调整目录（20</w:t>
      </w:r>
      <w:r>
        <w:rPr>
          <w:rFonts w:hint="eastAsia" w:ascii="Times New Roman" w:hAnsi="Times New Roman" w:eastAsia="宋体"/>
          <w:sz w:val="24"/>
          <w:szCs w:val="24"/>
          <w:lang w:val="en-US" w:eastAsia="zh-CN"/>
        </w:rPr>
        <w:t>24</w:t>
      </w:r>
      <w:r>
        <w:rPr>
          <w:rFonts w:hint="eastAsia" w:ascii="Times New Roman" w:hAnsi="Times New Roman" w:eastAsia="宋体"/>
          <w:sz w:val="24"/>
          <w:szCs w:val="24"/>
        </w:rPr>
        <w:t>年本）》（20</w:t>
      </w:r>
      <w:r>
        <w:rPr>
          <w:rFonts w:hint="eastAsia" w:ascii="Times New Roman" w:hAnsi="Times New Roman" w:eastAsia="宋体"/>
          <w:sz w:val="24"/>
          <w:szCs w:val="24"/>
          <w:lang w:val="en-US" w:eastAsia="zh-CN"/>
        </w:rPr>
        <w:t>23</w:t>
      </w:r>
      <w:r>
        <w:rPr>
          <w:rFonts w:hint="eastAsia" w:ascii="Times New Roman" w:hAnsi="Times New Roman" w:eastAsia="宋体"/>
          <w:sz w:val="24"/>
          <w:szCs w:val="24"/>
        </w:rPr>
        <w:t>年修订）</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3）《企业清洁生产审计手册》</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4）《清洁生产审核指南 制定技术导则》（HJ469-2009）</w:t>
      </w:r>
    </w:p>
    <w:p>
      <w:pPr>
        <w:widowControl/>
        <w:jc w:val="left"/>
        <w:rPr>
          <w:rFonts w:ascii="Times New Roman" w:hAnsi="宋体" w:eastAsia="宋体"/>
          <w:sz w:val="24"/>
          <w:szCs w:val="24"/>
        </w:rPr>
      </w:pPr>
      <w:r>
        <w:rPr>
          <w:rFonts w:ascii="Times New Roman" w:hAnsi="宋体" w:eastAsia="宋体"/>
          <w:sz w:val="24"/>
          <w:szCs w:val="24"/>
        </w:rPr>
        <w:br w:type="page"/>
      </w: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color w:val="000000" w:themeColor="text1"/>
          <w:sz w:val="36"/>
          <w:szCs w:val="36"/>
        </w:rPr>
      </w:pPr>
      <w:bookmarkStart w:id="31" w:name="_Toc525138228"/>
      <w:bookmarkStart w:id="32" w:name="_Toc19218"/>
      <w:bookmarkStart w:id="33" w:name="_Toc403"/>
      <w:bookmarkStart w:id="34" w:name="_Toc525138372"/>
      <w:r>
        <w:rPr>
          <w:rFonts w:hint="eastAsia" w:cs="Times New Roman" w:asciiTheme="minorEastAsia" w:hAnsiTheme="minorEastAsia" w:eastAsiaTheme="minorEastAsia"/>
          <w:color w:val="000000" w:themeColor="text1"/>
          <w:sz w:val="36"/>
          <w:szCs w:val="36"/>
        </w:rPr>
        <w:t>二、</w:t>
      </w:r>
      <w:r>
        <w:rPr>
          <w:rFonts w:cs="Times New Roman" w:asciiTheme="minorEastAsia" w:hAnsiTheme="minorEastAsia" w:eastAsiaTheme="minorEastAsia"/>
          <w:color w:val="000000" w:themeColor="text1"/>
          <w:sz w:val="36"/>
          <w:szCs w:val="36"/>
        </w:rPr>
        <w:t>审核准备</w:t>
      </w:r>
      <w:bookmarkEnd w:id="31"/>
      <w:bookmarkEnd w:id="32"/>
      <w:bookmarkEnd w:id="33"/>
      <w:bookmarkEnd w:id="34"/>
    </w:p>
    <w:p>
      <w:pPr>
        <w:spacing w:line="360" w:lineRule="auto"/>
        <w:ind w:firstLine="482"/>
        <w:rPr>
          <w:rFonts w:ascii="宋体" w:hAnsi="宋体" w:eastAsia="宋体"/>
          <w:color w:val="000000" w:themeColor="text1"/>
          <w:sz w:val="24"/>
          <w:szCs w:val="24"/>
        </w:rPr>
      </w:pPr>
      <w:r>
        <w:rPr>
          <w:rFonts w:hint="eastAsia" w:ascii="宋体" w:hAnsi="宋体" w:eastAsia="宋体"/>
          <w:color w:val="000000" w:themeColor="text1"/>
          <w:sz w:val="24"/>
          <w:szCs w:val="24"/>
        </w:rPr>
        <w:t>审核准备</w:t>
      </w:r>
      <w:r>
        <w:rPr>
          <w:rFonts w:ascii="宋体" w:hAnsi="宋体" w:eastAsia="宋体"/>
          <w:color w:val="000000" w:themeColor="text1"/>
          <w:sz w:val="24"/>
          <w:szCs w:val="24"/>
        </w:rPr>
        <w:t>是</w:t>
      </w:r>
      <w:r>
        <w:rPr>
          <w:rFonts w:hint="eastAsia" w:ascii="宋体" w:hAnsi="宋体" w:eastAsia="宋体"/>
          <w:color w:val="000000" w:themeColor="text1"/>
          <w:sz w:val="24"/>
          <w:szCs w:val="24"/>
        </w:rPr>
        <w:t>企业</w:t>
      </w:r>
      <w:r>
        <w:rPr>
          <w:rFonts w:ascii="宋体" w:hAnsi="宋体" w:eastAsia="宋体"/>
          <w:color w:val="000000" w:themeColor="text1"/>
          <w:sz w:val="24"/>
          <w:szCs w:val="24"/>
        </w:rPr>
        <w:t>进行清洁生产审核工作的第一个阶段，</w:t>
      </w:r>
      <w:r>
        <w:rPr>
          <w:rFonts w:hint="eastAsia" w:ascii="宋体" w:hAnsi="宋体" w:eastAsia="宋体"/>
          <w:color w:val="000000" w:themeColor="text1"/>
          <w:sz w:val="24"/>
          <w:szCs w:val="24"/>
        </w:rPr>
        <w:t>目的</w:t>
      </w:r>
      <w:r>
        <w:rPr>
          <w:rFonts w:ascii="宋体" w:hAnsi="宋体" w:eastAsia="宋体"/>
          <w:color w:val="000000" w:themeColor="text1"/>
          <w:sz w:val="24"/>
          <w:szCs w:val="24"/>
        </w:rPr>
        <w:t>是</w:t>
      </w:r>
      <w:r>
        <w:rPr>
          <w:rFonts w:hint="eastAsia" w:ascii="宋体" w:hAnsi="宋体" w:eastAsia="宋体"/>
          <w:color w:val="000000" w:themeColor="text1"/>
          <w:sz w:val="24"/>
          <w:szCs w:val="24"/>
        </w:rPr>
        <w:t>通过宣传教育使</w:t>
      </w:r>
      <w:r>
        <w:rPr>
          <w:rFonts w:hint="eastAsia" w:ascii="Times New Roman" w:hAnsi="宋体" w:eastAsia="宋体"/>
          <w:color w:val="000000" w:themeColor="text1"/>
          <w:sz w:val="24"/>
          <w:szCs w:val="24"/>
          <w:lang w:eastAsia="zh-CN"/>
        </w:rPr>
        <w:t>湖南光华荣昌汽车部件有限公司</w:t>
      </w:r>
      <w:r>
        <w:rPr>
          <w:rFonts w:hint="eastAsia" w:ascii="宋体" w:hAnsi="宋体" w:eastAsia="宋体"/>
          <w:color w:val="000000" w:themeColor="text1"/>
          <w:sz w:val="24"/>
          <w:szCs w:val="24"/>
        </w:rPr>
        <w:t>的领导和员工对清洁生产有一个初步的、比较正确的认识，消除思想上的障碍。本阶段的主要工作是组建审核小组，制定工作计划和开展宣传教育。</w:t>
      </w:r>
    </w:p>
    <w:p>
      <w:pPr>
        <w:pStyle w:val="3"/>
        <w:spacing w:beforeLines="50" w:afterLines="50" w:line="240" w:lineRule="auto"/>
        <w:rPr>
          <w:rFonts w:ascii="Times New Roman" w:hAnsi="Times New Roman"/>
          <w:sz w:val="30"/>
          <w:szCs w:val="30"/>
        </w:rPr>
      </w:pPr>
      <w:bookmarkStart w:id="35" w:name="_Toc27576"/>
      <w:bookmarkStart w:id="36" w:name="_Toc525138373"/>
      <w:bookmarkStart w:id="37" w:name="_Toc525138229"/>
      <w:r>
        <w:rPr>
          <w:rFonts w:ascii="Times New Roman" w:hAnsi="Times New Roman"/>
          <w:sz w:val="30"/>
          <w:szCs w:val="30"/>
        </w:rPr>
        <w:t>2.1取得领导支持</w:t>
      </w:r>
      <w:bookmarkEnd w:id="35"/>
      <w:bookmarkEnd w:id="36"/>
      <w:bookmarkEnd w:id="37"/>
    </w:p>
    <w:p>
      <w:pPr>
        <w:spacing w:line="360" w:lineRule="auto"/>
        <w:ind w:firstLine="480" w:firstLineChars="200"/>
        <w:rPr>
          <w:rFonts w:ascii="宋体" w:hAnsi="宋体" w:eastAsia="宋体"/>
          <w:sz w:val="24"/>
          <w:szCs w:val="24"/>
        </w:rPr>
      </w:pPr>
      <w:r>
        <w:rPr>
          <w:rFonts w:hint="eastAsia" w:ascii="宋体" w:hAnsi="宋体" w:eastAsia="宋体"/>
          <w:sz w:val="24"/>
          <w:szCs w:val="24"/>
        </w:rPr>
        <w:t>审核师在进行企业初访时，认真与企业领导进行有效的沟通，介绍清洁生产的概念，以及开展清洁生产审核的重要性和会给企业带来的经济效益，环境效益，可推动技术进步，提高企业社会形象和产生的社会效益，提高无形资产等等，耐心细致地探讨企业生产经营及今后的发展思路，引起企业领导的高度重视，了解清洁生产审核的主要工作内容和方法，知道如何支持这项工作，明确在清洁生产审核工作中组织动员，提供必要的组织保证及物质资金支持和重大改造项目的决策作用。</w:t>
      </w:r>
    </w:p>
    <w:p>
      <w:pPr>
        <w:spacing w:line="360" w:lineRule="auto"/>
        <w:ind w:firstLine="480" w:firstLineChars="200"/>
        <w:rPr>
          <w:rFonts w:ascii="宋体" w:hAnsi="宋体" w:eastAsia="宋体"/>
          <w:sz w:val="24"/>
          <w:szCs w:val="24"/>
        </w:rPr>
      </w:pPr>
      <w:r>
        <w:rPr>
          <w:rFonts w:hint="eastAsia" w:ascii="宋体" w:hAnsi="宋体" w:eastAsia="宋体"/>
          <w:sz w:val="24"/>
          <w:szCs w:val="24"/>
        </w:rPr>
        <w:t>因此，公司领导决定对于本次审核给予大力支持。公司总经理</w:t>
      </w:r>
      <w:r>
        <w:rPr>
          <w:rFonts w:hint="eastAsia" w:ascii="Times New Roman" w:hAnsi="宋体" w:eastAsia="宋体"/>
          <w:sz w:val="24"/>
          <w:szCs w:val="24"/>
          <w:lang w:eastAsia="zh-CN"/>
        </w:rPr>
        <w:t>刘光辉</w:t>
      </w:r>
      <w:r>
        <w:rPr>
          <w:rFonts w:hint="eastAsia" w:ascii="宋体" w:hAnsi="宋体" w:eastAsia="宋体"/>
          <w:sz w:val="24"/>
          <w:szCs w:val="24"/>
        </w:rPr>
        <w:t>亲自参与并选派了相关领导和各车间部门负责人组建了清洁生产小组，同时对审核小组各成员在本来审核中所起的作用和任务做了统一的协调和安排；并不定期的对审核小组中各成员的任务完成情况进行检查和督促，以便及时顺利的完成本轮审核，并保证本轮审核能够收到预期的效果。</w:t>
      </w:r>
    </w:p>
    <w:p>
      <w:pPr>
        <w:pStyle w:val="3"/>
        <w:spacing w:beforeLines="50" w:afterLines="50" w:line="240" w:lineRule="auto"/>
        <w:rPr>
          <w:rFonts w:ascii="Times New Roman" w:hAnsi="Times New Roman"/>
          <w:sz w:val="30"/>
          <w:szCs w:val="30"/>
        </w:rPr>
      </w:pPr>
      <w:bookmarkStart w:id="38" w:name="_Toc176255036"/>
      <w:bookmarkStart w:id="39" w:name="_Toc4073"/>
      <w:bookmarkStart w:id="40" w:name="_Toc14763"/>
      <w:bookmarkStart w:id="41" w:name="_Toc525138374"/>
      <w:bookmarkStart w:id="42" w:name="_Toc525138230"/>
      <w:r>
        <w:rPr>
          <w:rFonts w:ascii="Times New Roman" w:hAnsi="Times New Roman"/>
          <w:sz w:val="30"/>
          <w:szCs w:val="30"/>
        </w:rPr>
        <w:t>2.</w:t>
      </w:r>
      <w:bookmarkEnd w:id="38"/>
      <w:r>
        <w:rPr>
          <w:rFonts w:ascii="Times New Roman" w:hAnsi="Times New Roman"/>
          <w:sz w:val="30"/>
          <w:szCs w:val="30"/>
        </w:rPr>
        <w:t>2组建清洁生产审核小组</w:t>
      </w:r>
      <w:bookmarkEnd w:id="39"/>
      <w:bookmarkEnd w:id="40"/>
      <w:bookmarkEnd w:id="41"/>
      <w:bookmarkEnd w:id="42"/>
    </w:p>
    <w:p>
      <w:pPr>
        <w:spacing w:line="360" w:lineRule="auto"/>
        <w:ind w:firstLine="480" w:firstLineChars="200"/>
        <w:rPr>
          <w:rFonts w:ascii="Times New Roman" w:hAnsi="宋体" w:eastAsia="宋体"/>
          <w:color w:val="000000" w:themeColor="text1"/>
          <w:sz w:val="24"/>
          <w:szCs w:val="24"/>
        </w:rPr>
      </w:pPr>
      <w:r>
        <w:rPr>
          <w:rFonts w:ascii="Times New Roman" w:hAnsi="Times New Roman" w:eastAsia="宋体"/>
          <w:color w:val="000000" w:themeColor="text1"/>
          <w:sz w:val="24"/>
          <w:szCs w:val="24"/>
        </w:rPr>
        <w:t>20</w:t>
      </w:r>
      <w:r>
        <w:rPr>
          <w:rFonts w:hint="eastAsia" w:ascii="Times New Roman" w:hAnsi="Times New Roman" w:eastAsia="宋体"/>
          <w:color w:val="000000" w:themeColor="text1"/>
          <w:sz w:val="24"/>
          <w:szCs w:val="24"/>
        </w:rPr>
        <w:t>2</w:t>
      </w:r>
      <w:r>
        <w:rPr>
          <w:rFonts w:hint="eastAsia" w:ascii="Times New Roman" w:hAnsi="Times New Roman" w:eastAsia="宋体"/>
          <w:color w:val="000000" w:themeColor="text1"/>
          <w:sz w:val="24"/>
          <w:szCs w:val="24"/>
          <w:lang w:val="en-US" w:eastAsia="zh-CN"/>
        </w:rPr>
        <w:t>4</w:t>
      </w:r>
      <w:r>
        <w:rPr>
          <w:rFonts w:ascii="Times New Roman" w:hAnsi="宋体" w:eastAsia="宋体"/>
          <w:color w:val="000000" w:themeColor="text1"/>
          <w:sz w:val="24"/>
          <w:szCs w:val="24"/>
        </w:rPr>
        <w:t>年</w:t>
      </w:r>
      <w:r>
        <w:rPr>
          <w:rFonts w:hint="eastAsia" w:ascii="Times New Roman" w:hAnsi="Times New Roman" w:eastAsia="宋体"/>
          <w:color w:val="000000" w:themeColor="text1"/>
          <w:sz w:val="24"/>
          <w:szCs w:val="24"/>
          <w:lang w:val="en-US" w:eastAsia="zh-CN"/>
        </w:rPr>
        <w:t>1</w:t>
      </w:r>
      <w:r>
        <w:rPr>
          <w:rFonts w:ascii="Times New Roman" w:hAnsi="宋体" w:eastAsia="宋体"/>
          <w:color w:val="000000" w:themeColor="text1"/>
          <w:sz w:val="24"/>
          <w:szCs w:val="24"/>
        </w:rPr>
        <w:t>月</w:t>
      </w:r>
      <w:r>
        <w:rPr>
          <w:rFonts w:hint="eastAsia" w:ascii="Times New Roman" w:hAnsi="Times New Roman" w:eastAsia="宋体"/>
          <w:color w:val="000000" w:themeColor="text1"/>
          <w:sz w:val="24"/>
          <w:szCs w:val="24"/>
          <w:lang w:val="en-US" w:eastAsia="zh-CN"/>
        </w:rPr>
        <w:t>13</w:t>
      </w:r>
      <w:r>
        <w:rPr>
          <w:rFonts w:ascii="Times New Roman" w:hAnsi="宋体" w:eastAsia="宋体"/>
          <w:color w:val="000000" w:themeColor="text1"/>
          <w:sz w:val="24"/>
          <w:szCs w:val="24"/>
        </w:rPr>
        <w:t>日，</w:t>
      </w:r>
      <w:r>
        <w:rPr>
          <w:rFonts w:hint="eastAsia" w:ascii="Times New Roman" w:hAnsi="宋体" w:eastAsia="宋体"/>
          <w:color w:val="000000" w:themeColor="text1"/>
          <w:sz w:val="24"/>
          <w:szCs w:val="24"/>
          <w:lang w:eastAsia="zh-CN"/>
        </w:rPr>
        <w:t>湖南光华荣昌汽车部件有限公司</w:t>
      </w:r>
      <w:r>
        <w:rPr>
          <w:rFonts w:ascii="Times New Roman" w:hAnsi="宋体" w:eastAsia="宋体"/>
          <w:color w:val="000000" w:themeColor="text1"/>
          <w:sz w:val="24"/>
          <w:szCs w:val="24"/>
        </w:rPr>
        <w:t>领导组织召开了清洁生产审核启动大会，并成立了本轮清洁生产小组，全权负责本次清洁生产审核工作。审核小组由公司总经理及各部门负责人组成</w:t>
      </w:r>
      <w:r>
        <w:rPr>
          <w:rFonts w:hint="eastAsia" w:ascii="Times New Roman" w:hAnsi="宋体" w:eastAsia="宋体"/>
          <w:color w:val="000000" w:themeColor="text1"/>
          <w:sz w:val="24"/>
          <w:szCs w:val="24"/>
        </w:rPr>
        <w:t>，</w:t>
      </w:r>
      <w:r>
        <w:rPr>
          <w:rFonts w:ascii="Times New Roman" w:hAnsi="宋体" w:eastAsia="宋体"/>
          <w:color w:val="000000" w:themeColor="text1"/>
          <w:sz w:val="24"/>
          <w:szCs w:val="24"/>
        </w:rPr>
        <w:t>总经理</w:t>
      </w:r>
      <w:r>
        <w:rPr>
          <w:rFonts w:hint="eastAsia" w:ascii="Times New Roman" w:hAnsi="宋体" w:eastAsia="宋体"/>
          <w:sz w:val="24"/>
          <w:szCs w:val="24"/>
          <w:lang w:eastAsia="zh-CN"/>
        </w:rPr>
        <w:t>刘光辉</w:t>
      </w:r>
      <w:r>
        <w:rPr>
          <w:rFonts w:ascii="Times New Roman" w:hAnsi="宋体" w:eastAsia="宋体"/>
          <w:color w:val="000000" w:themeColor="text1"/>
          <w:sz w:val="24"/>
          <w:szCs w:val="24"/>
        </w:rPr>
        <w:t>任组长，</w:t>
      </w:r>
      <w:r>
        <w:rPr>
          <w:rFonts w:hint="eastAsia" w:ascii="Times New Roman" w:hAnsi="宋体" w:eastAsia="宋体"/>
          <w:color w:val="000000" w:themeColor="text1"/>
          <w:sz w:val="24"/>
          <w:szCs w:val="24"/>
        </w:rPr>
        <w:t>运营总监</w:t>
      </w:r>
      <w:r>
        <w:rPr>
          <w:rFonts w:hint="eastAsia" w:ascii="Times New Roman" w:hAnsi="宋体" w:eastAsia="宋体"/>
          <w:color w:val="000000" w:themeColor="text1"/>
          <w:sz w:val="24"/>
          <w:szCs w:val="24"/>
          <w:lang w:eastAsia="zh-CN"/>
        </w:rPr>
        <w:t>卢中华</w:t>
      </w:r>
      <w:r>
        <w:rPr>
          <w:rFonts w:ascii="Times New Roman" w:hAnsi="宋体" w:eastAsia="宋体"/>
          <w:color w:val="000000" w:themeColor="text1"/>
          <w:sz w:val="24"/>
          <w:szCs w:val="24"/>
        </w:rPr>
        <w:t>任副组长，各车间主管及部分技术员为组员，具体成员组成和职责分工见表</w:t>
      </w:r>
      <w:r>
        <w:rPr>
          <w:rFonts w:hint="eastAsia" w:ascii="Times New Roman" w:hAnsi="Times New Roman" w:eastAsia="宋体"/>
          <w:color w:val="000000" w:themeColor="text1"/>
          <w:sz w:val="24"/>
          <w:szCs w:val="24"/>
        </w:rPr>
        <w:t>2</w:t>
      </w:r>
      <w:r>
        <w:rPr>
          <w:rFonts w:ascii="Times New Roman" w:hAnsi="Times New Roman" w:eastAsia="宋体"/>
          <w:color w:val="000000" w:themeColor="text1"/>
          <w:sz w:val="24"/>
          <w:szCs w:val="24"/>
        </w:rPr>
        <w:t>-1</w:t>
      </w:r>
      <w:r>
        <w:rPr>
          <w:rFonts w:ascii="Times New Roman" w:hAnsi="宋体" w:eastAsia="宋体"/>
          <w:color w:val="000000" w:themeColor="text1"/>
          <w:sz w:val="24"/>
          <w:szCs w:val="24"/>
        </w:rPr>
        <w:t>。</w:t>
      </w:r>
    </w:p>
    <w:p>
      <w:pPr>
        <w:pStyle w:val="42"/>
        <w:rPr>
          <w:rFonts w:hAnsi="楷体" w:eastAsia="楷体"/>
          <w:b/>
        </w:rPr>
      </w:pPr>
    </w:p>
    <w:p>
      <w:pPr>
        <w:pStyle w:val="42"/>
        <w:rPr>
          <w:rFonts w:hAnsi="楷体" w:eastAsia="楷体"/>
          <w:b/>
        </w:rPr>
      </w:pPr>
    </w:p>
    <w:p>
      <w:pPr>
        <w:pStyle w:val="42"/>
        <w:rPr>
          <w:rFonts w:hAnsi="楷体" w:eastAsia="楷体"/>
          <w:b/>
        </w:rPr>
      </w:pPr>
    </w:p>
    <w:p>
      <w:pPr>
        <w:pStyle w:val="42"/>
        <w:rPr>
          <w:rFonts w:hAnsi="楷体" w:eastAsia="楷体"/>
          <w:b/>
        </w:rPr>
      </w:pPr>
    </w:p>
    <w:p>
      <w:pPr>
        <w:pStyle w:val="42"/>
        <w:rPr>
          <w:rFonts w:hAnsi="楷体" w:eastAsia="楷体"/>
          <w:b/>
        </w:rPr>
      </w:pPr>
      <w:r>
        <w:rPr>
          <w:rFonts w:hAnsi="楷体" w:eastAsia="楷体"/>
          <w:b/>
        </w:rPr>
        <w:t>表</w:t>
      </w:r>
      <w:r>
        <w:rPr>
          <w:rFonts w:hint="eastAsia" w:hAnsi="楷体" w:eastAsia="楷体"/>
          <w:b/>
        </w:rPr>
        <w:t>2</w:t>
      </w:r>
      <w:r>
        <w:rPr>
          <w:rFonts w:hAnsi="楷体" w:eastAsia="楷体"/>
          <w:b/>
        </w:rPr>
        <w:t>-</w:t>
      </w:r>
      <w:r>
        <w:rPr>
          <w:rFonts w:hint="eastAsia" w:hAnsi="楷体" w:eastAsia="楷体"/>
          <w:b/>
        </w:rPr>
        <w:t xml:space="preserve">1  </w:t>
      </w:r>
      <w:r>
        <w:rPr>
          <w:rFonts w:hAnsi="楷体" w:eastAsia="楷体"/>
          <w:b/>
        </w:rPr>
        <w:t>清洁生产</w:t>
      </w:r>
      <w:r>
        <w:rPr>
          <w:rFonts w:hint="eastAsia" w:hAnsi="楷体" w:eastAsia="楷体"/>
          <w:b/>
        </w:rPr>
        <w:t>审核</w:t>
      </w:r>
      <w:r>
        <w:rPr>
          <w:rFonts w:hAnsi="楷体" w:eastAsia="楷体"/>
          <w:b/>
        </w:rPr>
        <w:t>小组成员表</w:t>
      </w:r>
    </w:p>
    <w:tbl>
      <w:tblPr>
        <w:tblStyle w:val="27"/>
        <w:tblpPr w:leftFromText="180" w:rightFromText="180" w:vertAnchor="text" w:horzAnchor="page" w:tblpX="1700" w:tblpY="481"/>
        <w:tblOverlap w:val="never"/>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1132"/>
        <w:gridCol w:w="1559"/>
        <w:gridCol w:w="49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03" w:type="dxa"/>
            <w:vAlign w:val="center"/>
          </w:tcPr>
          <w:p>
            <w:pPr>
              <w:pStyle w:val="44"/>
              <w:snapToGrid w:val="0"/>
              <w:spacing w:line="240" w:lineRule="auto"/>
              <w:rPr>
                <w:rFonts w:ascii="宋体" w:hAnsi="宋体" w:eastAsia="宋体"/>
                <w:szCs w:val="21"/>
              </w:rPr>
            </w:pPr>
            <w:r>
              <w:rPr>
                <w:rFonts w:ascii="宋体" w:hAnsi="宋体" w:eastAsia="宋体"/>
                <w:szCs w:val="21"/>
              </w:rPr>
              <w:t>姓名</w:t>
            </w:r>
          </w:p>
        </w:tc>
        <w:tc>
          <w:tcPr>
            <w:tcW w:w="1132" w:type="dxa"/>
            <w:vAlign w:val="center"/>
          </w:tcPr>
          <w:p>
            <w:pPr>
              <w:pStyle w:val="44"/>
              <w:snapToGrid w:val="0"/>
              <w:spacing w:line="240" w:lineRule="auto"/>
              <w:rPr>
                <w:rFonts w:ascii="宋体" w:hAnsi="宋体" w:eastAsia="宋体"/>
                <w:szCs w:val="21"/>
              </w:rPr>
            </w:pPr>
            <w:r>
              <w:rPr>
                <w:rFonts w:ascii="宋体" w:hAnsi="宋体" w:eastAsia="宋体"/>
                <w:szCs w:val="21"/>
              </w:rPr>
              <w:t>审核小组</w:t>
            </w:r>
          </w:p>
          <w:p>
            <w:pPr>
              <w:pStyle w:val="44"/>
              <w:snapToGrid w:val="0"/>
              <w:spacing w:line="240" w:lineRule="auto"/>
              <w:rPr>
                <w:rFonts w:ascii="宋体" w:hAnsi="宋体" w:eastAsia="宋体"/>
                <w:szCs w:val="21"/>
              </w:rPr>
            </w:pPr>
            <w:r>
              <w:rPr>
                <w:rFonts w:ascii="宋体" w:hAnsi="宋体" w:eastAsia="宋体"/>
                <w:szCs w:val="21"/>
              </w:rPr>
              <w:t>职务</w:t>
            </w:r>
          </w:p>
        </w:tc>
        <w:tc>
          <w:tcPr>
            <w:tcW w:w="1559" w:type="dxa"/>
            <w:vAlign w:val="center"/>
          </w:tcPr>
          <w:p>
            <w:pPr>
              <w:pStyle w:val="44"/>
              <w:snapToGrid w:val="0"/>
              <w:spacing w:line="240" w:lineRule="auto"/>
              <w:rPr>
                <w:rFonts w:ascii="宋体" w:hAnsi="宋体" w:eastAsia="宋体"/>
                <w:szCs w:val="21"/>
              </w:rPr>
            </w:pPr>
            <w:r>
              <w:rPr>
                <w:rFonts w:ascii="宋体" w:hAnsi="宋体" w:eastAsia="宋体"/>
                <w:szCs w:val="21"/>
              </w:rPr>
              <w:t>来自部门及职务</w:t>
            </w:r>
          </w:p>
        </w:tc>
        <w:tc>
          <w:tcPr>
            <w:tcW w:w="4926" w:type="dxa"/>
            <w:vAlign w:val="center"/>
          </w:tcPr>
          <w:p>
            <w:pPr>
              <w:pStyle w:val="44"/>
              <w:snapToGrid w:val="0"/>
              <w:spacing w:line="240" w:lineRule="auto"/>
              <w:rPr>
                <w:rFonts w:ascii="宋体" w:hAnsi="宋体" w:eastAsia="宋体"/>
                <w:szCs w:val="21"/>
              </w:rPr>
            </w:pPr>
            <w:r>
              <w:rPr>
                <w:rFonts w:ascii="宋体" w:hAnsi="宋体" w:eastAsia="宋体"/>
                <w:szCs w:val="21"/>
              </w:rPr>
              <w:t>审核职责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刘光辉</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组长</w:t>
            </w:r>
          </w:p>
        </w:tc>
        <w:tc>
          <w:tcPr>
            <w:tcW w:w="1559" w:type="dxa"/>
            <w:vAlign w:val="center"/>
          </w:tcPr>
          <w:p>
            <w:pPr>
              <w:pStyle w:val="45"/>
              <w:spacing w:line="240" w:lineRule="auto"/>
              <w:rPr>
                <w:rFonts w:ascii="宋体" w:hAnsi="宋体" w:eastAsia="宋体"/>
                <w:szCs w:val="21"/>
              </w:rPr>
            </w:pPr>
            <w:r>
              <w:rPr>
                <w:rFonts w:hint="eastAsia" w:ascii="宋体" w:hAnsi="宋体" w:eastAsia="宋体"/>
                <w:szCs w:val="21"/>
              </w:rPr>
              <w:t>总经理</w:t>
            </w:r>
          </w:p>
        </w:tc>
        <w:tc>
          <w:tcPr>
            <w:tcW w:w="4926" w:type="dxa"/>
            <w:vAlign w:val="center"/>
          </w:tcPr>
          <w:p>
            <w:pPr>
              <w:rPr>
                <w:rFonts w:ascii="宋体" w:hAnsi="宋体" w:eastAsia="宋体"/>
                <w:szCs w:val="21"/>
              </w:rPr>
            </w:pPr>
            <w:r>
              <w:rPr>
                <w:rFonts w:ascii="宋体" w:hAnsi="宋体" w:eastAsia="宋体"/>
                <w:szCs w:val="21"/>
              </w:rPr>
              <w:t>全面领导统筹，安排各部门的清洁生产工作，批准中/高费方案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6"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卢中华</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副组长</w:t>
            </w:r>
          </w:p>
        </w:tc>
        <w:tc>
          <w:tcPr>
            <w:tcW w:w="1559" w:type="dxa"/>
            <w:vAlign w:val="center"/>
          </w:tcPr>
          <w:p>
            <w:pPr>
              <w:pStyle w:val="45"/>
              <w:spacing w:line="240" w:lineRule="auto"/>
              <w:rPr>
                <w:rFonts w:ascii="宋体" w:hAnsi="宋体" w:eastAsia="宋体"/>
                <w:szCs w:val="21"/>
              </w:rPr>
            </w:pPr>
            <w:r>
              <w:rPr>
                <w:rFonts w:hint="eastAsia" w:ascii="宋体" w:hAnsi="宋体" w:eastAsia="宋体"/>
                <w:szCs w:val="21"/>
              </w:rPr>
              <w:t>运营总监</w:t>
            </w:r>
          </w:p>
        </w:tc>
        <w:tc>
          <w:tcPr>
            <w:tcW w:w="4926" w:type="dxa"/>
            <w:vAlign w:val="center"/>
          </w:tcPr>
          <w:p>
            <w:pPr>
              <w:rPr>
                <w:rFonts w:ascii="宋体" w:hAnsi="宋体" w:eastAsia="宋体"/>
                <w:szCs w:val="21"/>
              </w:rPr>
            </w:pPr>
            <w:r>
              <w:rPr>
                <w:rFonts w:ascii="宋体" w:hAnsi="宋体" w:eastAsia="宋体"/>
                <w:szCs w:val="21"/>
              </w:rPr>
              <w:t>配合组长，组织协调各部门、各阶段的审核工作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3" w:type="dxa"/>
            <w:vAlign w:val="center"/>
          </w:tcPr>
          <w:p>
            <w:pPr>
              <w:pStyle w:val="45"/>
              <w:spacing w:line="240" w:lineRule="auto"/>
              <w:rPr>
                <w:rFonts w:hint="eastAsia" w:ascii="宋体" w:hAnsi="宋体" w:eastAsia="宋体"/>
                <w:szCs w:val="21"/>
                <w:lang w:eastAsia="zh-CN"/>
              </w:rPr>
            </w:pPr>
            <w:r>
              <w:rPr>
                <w:rFonts w:hint="eastAsia" w:ascii="宋体" w:hAnsi="宋体" w:eastAsia="宋体"/>
                <w:szCs w:val="21"/>
                <w:lang w:eastAsia="zh-CN"/>
              </w:rPr>
              <w:t>刘本</w:t>
            </w:r>
          </w:p>
        </w:tc>
        <w:tc>
          <w:tcPr>
            <w:tcW w:w="1132" w:type="dxa"/>
            <w:vAlign w:val="center"/>
          </w:tcPr>
          <w:p>
            <w:pPr>
              <w:pStyle w:val="45"/>
              <w:spacing w:line="240" w:lineRule="auto"/>
              <w:rPr>
                <w:rFonts w:ascii="宋体" w:hAnsi="宋体" w:eastAsia="宋体"/>
                <w:szCs w:val="21"/>
              </w:rPr>
            </w:pPr>
            <w:r>
              <w:rPr>
                <w:rFonts w:hint="eastAsia" w:ascii="宋体" w:hAnsi="宋体" w:eastAsia="宋体"/>
                <w:szCs w:val="21"/>
              </w:rPr>
              <w:t>成员</w:t>
            </w:r>
          </w:p>
        </w:tc>
        <w:tc>
          <w:tcPr>
            <w:tcW w:w="1559" w:type="dxa"/>
            <w:vAlign w:val="center"/>
          </w:tcPr>
          <w:p>
            <w:pPr>
              <w:pStyle w:val="45"/>
              <w:spacing w:line="240" w:lineRule="auto"/>
              <w:rPr>
                <w:rFonts w:hint="eastAsia" w:ascii="宋体" w:hAnsi="宋体" w:eastAsia="宋体"/>
                <w:szCs w:val="21"/>
                <w:lang w:eastAsia="zh-CN"/>
              </w:rPr>
            </w:pPr>
            <w:r>
              <w:rPr>
                <w:rFonts w:hint="eastAsia" w:ascii="宋体" w:hAnsi="宋体" w:eastAsia="宋体"/>
                <w:szCs w:val="21"/>
                <w:lang w:eastAsia="zh-CN"/>
              </w:rPr>
              <w:t>财务总监</w:t>
            </w:r>
          </w:p>
        </w:tc>
        <w:tc>
          <w:tcPr>
            <w:tcW w:w="4926" w:type="dxa"/>
            <w:vAlign w:val="center"/>
          </w:tcPr>
          <w:p>
            <w:pPr>
              <w:pStyle w:val="44"/>
              <w:spacing w:line="240" w:lineRule="auto"/>
              <w:rPr>
                <w:rFonts w:ascii="宋体" w:hAnsi="宋体" w:eastAsia="宋体"/>
                <w:szCs w:val="21"/>
              </w:rPr>
            </w:pPr>
            <w:r>
              <w:rPr>
                <w:rFonts w:hint="eastAsia" w:ascii="宋体" w:hAnsi="宋体" w:eastAsia="宋体"/>
                <w:szCs w:val="21"/>
              </w:rPr>
              <w:t>提供相关财务数据及资料，参与方案财务分析，负责财务相关事项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6"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张华</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ascii="宋体" w:hAnsi="宋体" w:eastAsia="宋体"/>
                <w:szCs w:val="21"/>
              </w:rPr>
            </w:pPr>
            <w:r>
              <w:rPr>
                <w:rFonts w:hint="eastAsia" w:ascii="宋体" w:hAnsi="宋体" w:eastAsia="宋体"/>
                <w:szCs w:val="21"/>
              </w:rPr>
              <w:t>品质部长</w:t>
            </w:r>
          </w:p>
        </w:tc>
        <w:tc>
          <w:tcPr>
            <w:tcW w:w="4926" w:type="dxa"/>
            <w:vMerge w:val="restart"/>
            <w:vAlign w:val="center"/>
          </w:tcPr>
          <w:p>
            <w:pPr>
              <w:pStyle w:val="44"/>
              <w:snapToGrid w:val="0"/>
              <w:spacing w:line="240" w:lineRule="auto"/>
              <w:jc w:val="left"/>
              <w:rPr>
                <w:rFonts w:eastAsia="宋体"/>
                <w:kern w:val="0"/>
                <w:szCs w:val="21"/>
              </w:rPr>
            </w:pPr>
            <w:r>
              <w:rPr>
                <w:rFonts w:eastAsia="宋体"/>
                <w:kern w:val="0"/>
                <w:szCs w:val="21"/>
              </w:rPr>
              <w:t>1</w:t>
            </w:r>
            <w:r>
              <w:rPr>
                <w:rFonts w:hAnsi="宋体" w:eastAsia="宋体"/>
                <w:kern w:val="0"/>
                <w:szCs w:val="21"/>
              </w:rPr>
              <w:t>、进行清洁生产的宣传教育，组织进行审核培训，负责制定有关的制度、规程；</w:t>
            </w:r>
          </w:p>
          <w:p>
            <w:pPr>
              <w:pStyle w:val="44"/>
              <w:snapToGrid w:val="0"/>
              <w:spacing w:line="240" w:lineRule="auto"/>
              <w:jc w:val="left"/>
              <w:rPr>
                <w:rFonts w:eastAsia="宋体"/>
                <w:kern w:val="0"/>
                <w:szCs w:val="21"/>
              </w:rPr>
            </w:pPr>
            <w:r>
              <w:rPr>
                <w:rFonts w:eastAsia="宋体"/>
                <w:kern w:val="0"/>
                <w:szCs w:val="21"/>
              </w:rPr>
              <w:t>2</w:t>
            </w:r>
            <w:r>
              <w:rPr>
                <w:rFonts w:hAnsi="宋体" w:eastAsia="宋体"/>
                <w:kern w:val="0"/>
                <w:szCs w:val="21"/>
              </w:rPr>
              <w:t>、提供生产工艺流程、设备及产品质量相关资料、组织对相关资料的统计分析；</w:t>
            </w:r>
          </w:p>
          <w:p>
            <w:pPr>
              <w:pStyle w:val="44"/>
              <w:snapToGrid w:val="0"/>
              <w:spacing w:line="240" w:lineRule="auto"/>
              <w:jc w:val="left"/>
              <w:rPr>
                <w:rFonts w:eastAsia="宋体"/>
                <w:kern w:val="0"/>
                <w:szCs w:val="21"/>
              </w:rPr>
            </w:pPr>
            <w:r>
              <w:rPr>
                <w:rFonts w:eastAsia="宋体"/>
                <w:kern w:val="0"/>
                <w:szCs w:val="21"/>
              </w:rPr>
              <w:t>3</w:t>
            </w:r>
            <w:r>
              <w:rPr>
                <w:rFonts w:hAnsi="宋体" w:eastAsia="宋体"/>
                <w:kern w:val="0"/>
                <w:szCs w:val="21"/>
              </w:rPr>
              <w:t>、提出促进清洁生产的建议与措施，调动全员参与清洁生产的积极性；</w:t>
            </w:r>
          </w:p>
          <w:p>
            <w:pPr>
              <w:pStyle w:val="44"/>
              <w:snapToGrid w:val="0"/>
              <w:spacing w:line="240" w:lineRule="auto"/>
              <w:jc w:val="left"/>
              <w:rPr>
                <w:rFonts w:eastAsia="宋体"/>
                <w:kern w:val="0"/>
                <w:szCs w:val="21"/>
              </w:rPr>
            </w:pPr>
            <w:r>
              <w:rPr>
                <w:rFonts w:eastAsia="宋体"/>
                <w:kern w:val="0"/>
                <w:szCs w:val="21"/>
              </w:rPr>
              <w:t>4</w:t>
            </w:r>
            <w:r>
              <w:rPr>
                <w:rFonts w:hAnsi="宋体" w:eastAsia="宋体"/>
                <w:kern w:val="0"/>
                <w:szCs w:val="21"/>
              </w:rPr>
              <w:t>、组织对生产过程的物料平衡统计分析，并按要求进行技术评估和可行性分析，协助清洁生产方案的确定；</w:t>
            </w:r>
          </w:p>
          <w:p>
            <w:pPr>
              <w:pStyle w:val="44"/>
              <w:snapToGrid w:val="0"/>
              <w:spacing w:line="240" w:lineRule="auto"/>
              <w:jc w:val="left"/>
              <w:rPr>
                <w:rFonts w:ascii="宋体" w:hAnsi="宋体" w:eastAsia="宋体"/>
                <w:szCs w:val="21"/>
                <w:highlight w:val="yellow"/>
              </w:rPr>
            </w:pPr>
            <w:r>
              <w:rPr>
                <w:rFonts w:eastAsia="宋体"/>
                <w:kern w:val="0"/>
                <w:szCs w:val="21"/>
              </w:rPr>
              <w:t>5</w:t>
            </w:r>
            <w:r>
              <w:rPr>
                <w:rFonts w:hAnsi="宋体" w:eastAsia="宋体"/>
                <w:kern w:val="0"/>
                <w:szCs w:val="21"/>
              </w:rPr>
              <w:t>、负责组织清洁生产方案的实施；</w:t>
            </w:r>
            <w:r>
              <w:rPr>
                <w:rFonts w:ascii="宋体" w:hAnsi="宋体" w:eastAsia="宋体"/>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3"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李开阳</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财务部长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5"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刘涛</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生产部长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曾琼</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行政部长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赵五祥</w:t>
            </w:r>
          </w:p>
        </w:tc>
        <w:tc>
          <w:tcPr>
            <w:tcW w:w="1132" w:type="dxa"/>
            <w:vAlign w:val="center"/>
          </w:tcPr>
          <w:p>
            <w:pPr>
              <w:pStyle w:val="45"/>
              <w:spacing w:line="240" w:lineRule="auto"/>
              <w:rPr>
                <w:rFonts w:hint="eastAsia" w:ascii="宋体" w:hAnsi="宋体" w:eastAsia="宋体"/>
                <w:szCs w:val="21"/>
                <w:lang w:val="en-US" w:eastAsia="zh-CN"/>
              </w:rPr>
            </w:pPr>
            <w:r>
              <w:rPr>
                <w:rFonts w:hint="eastAsia" w:ascii="宋体" w:hAnsi="宋体" w:eastAsia="宋体"/>
                <w:szCs w:val="21"/>
                <w:lang w:val="en-US" w:eastAsia="zh-CN"/>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销售经理</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曹蜜</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生产制造部长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bl>
    <w:p>
      <w:pPr>
        <w:pStyle w:val="3"/>
        <w:spacing w:before="0" w:after="0" w:line="360" w:lineRule="auto"/>
        <w:rPr>
          <w:rFonts w:ascii="Times New Roman" w:hAnsi="Times New Roman"/>
          <w:sz w:val="30"/>
          <w:szCs w:val="30"/>
        </w:rPr>
      </w:pPr>
      <w:bookmarkStart w:id="43" w:name="_Toc525138231"/>
      <w:bookmarkStart w:id="44" w:name="_Toc29948"/>
      <w:bookmarkStart w:id="45" w:name="_Toc525138375"/>
      <w:bookmarkStart w:id="46" w:name="_Toc22545"/>
      <w:r>
        <w:rPr>
          <w:rFonts w:hint="eastAsia" w:ascii="Times New Roman" w:hAnsi="Times New Roman"/>
          <w:sz w:val="30"/>
          <w:szCs w:val="30"/>
        </w:rPr>
        <w:t>2.3</w:t>
      </w:r>
      <w:r>
        <w:rPr>
          <w:rFonts w:hint="eastAsia" w:ascii="Times New Roman"/>
          <w:sz w:val="30"/>
          <w:szCs w:val="30"/>
        </w:rPr>
        <w:t>制定</w:t>
      </w:r>
      <w:r>
        <w:rPr>
          <w:rFonts w:ascii="Times New Roman"/>
          <w:sz w:val="30"/>
          <w:szCs w:val="30"/>
        </w:rPr>
        <w:t>工作计划</w:t>
      </w:r>
      <w:bookmarkEnd w:id="43"/>
      <w:bookmarkEnd w:id="44"/>
      <w:bookmarkEnd w:id="45"/>
      <w:bookmarkEnd w:id="46"/>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为确保审核工作能顺利完成，根据清洁生产审核的相关要求，结合</w:t>
      </w:r>
      <w:r>
        <w:rPr>
          <w:rFonts w:hint="eastAsia" w:ascii="Times New Roman" w:hAnsi="宋体" w:eastAsia="宋体"/>
          <w:sz w:val="24"/>
          <w:szCs w:val="24"/>
          <w:lang w:eastAsia="zh-CN"/>
        </w:rPr>
        <w:t>湖南光华荣昌汽车部件有限公司</w:t>
      </w:r>
      <w:r>
        <w:rPr>
          <w:rFonts w:ascii="Times New Roman" w:hAnsi="Times New Roman" w:eastAsia="宋体"/>
          <w:sz w:val="24"/>
          <w:szCs w:val="24"/>
        </w:rPr>
        <w:t>实际情况，</w:t>
      </w:r>
      <w:r>
        <w:rPr>
          <w:rFonts w:hint="eastAsia" w:ascii="Times New Roman" w:hAnsi="Times New Roman" w:eastAsia="宋体"/>
          <w:sz w:val="24"/>
          <w:szCs w:val="24"/>
        </w:rPr>
        <w:t>审核</w:t>
      </w:r>
      <w:r>
        <w:rPr>
          <w:rFonts w:ascii="Times New Roman" w:hAnsi="Times New Roman" w:eastAsia="宋体"/>
          <w:sz w:val="24"/>
          <w:szCs w:val="24"/>
        </w:rPr>
        <w:t>小组</w:t>
      </w:r>
      <w:r>
        <w:rPr>
          <w:rFonts w:hint="eastAsia" w:ascii="Times New Roman" w:hAnsi="Times New Roman" w:eastAsia="宋体"/>
          <w:sz w:val="24"/>
          <w:szCs w:val="24"/>
        </w:rPr>
        <w:t>在成立之后就讨论确定了本次审核工作的整体工作计划</w:t>
      </w:r>
      <w:r>
        <w:rPr>
          <w:rFonts w:ascii="Times New Roman" w:hAnsi="Times New Roman" w:eastAsia="宋体"/>
          <w:sz w:val="24"/>
          <w:szCs w:val="24"/>
        </w:rPr>
        <w:t>，见表</w:t>
      </w:r>
      <w:r>
        <w:rPr>
          <w:rFonts w:hint="eastAsia" w:ascii="Times New Roman" w:hAnsi="Times New Roman" w:eastAsia="宋体"/>
          <w:sz w:val="24"/>
          <w:szCs w:val="24"/>
        </w:rPr>
        <w:t>2</w:t>
      </w:r>
      <w:r>
        <w:rPr>
          <w:rFonts w:ascii="Times New Roman" w:hAnsi="Times New Roman" w:eastAsia="宋体"/>
          <w:sz w:val="24"/>
          <w:szCs w:val="24"/>
        </w:rPr>
        <w:t>-</w:t>
      </w:r>
      <w:r>
        <w:rPr>
          <w:rFonts w:hint="eastAsia" w:ascii="Times New Roman" w:hAnsi="Times New Roman" w:eastAsia="宋体"/>
          <w:sz w:val="24"/>
          <w:szCs w:val="24"/>
        </w:rPr>
        <w:t>2</w:t>
      </w:r>
      <w:r>
        <w:rPr>
          <w:rFonts w:ascii="Times New Roman" w:hAnsi="Times New Roman" w:eastAsia="宋体"/>
          <w:sz w:val="24"/>
          <w:szCs w:val="24"/>
        </w:rPr>
        <w:t>。</w:t>
      </w:r>
    </w:p>
    <w:p>
      <w:pPr>
        <w:pStyle w:val="42"/>
        <w:rPr>
          <w:rFonts w:hAnsi="Times New Roman" w:eastAsia="楷体"/>
          <w:b/>
        </w:rPr>
      </w:pPr>
      <w:r>
        <w:rPr>
          <w:rFonts w:hAnsi="楷体" w:eastAsia="楷体"/>
          <w:b/>
        </w:rPr>
        <w:t>表</w:t>
      </w:r>
      <w:r>
        <w:rPr>
          <w:rFonts w:hAnsi="Times New Roman" w:eastAsia="楷体"/>
          <w:b/>
        </w:rPr>
        <w:t xml:space="preserve">2-2  </w:t>
      </w:r>
      <w:r>
        <w:rPr>
          <w:rFonts w:hAnsi="楷体" w:eastAsia="楷体"/>
          <w:b/>
        </w:rPr>
        <w:t>清洁生产审核工作计划表</w:t>
      </w:r>
    </w:p>
    <w:tbl>
      <w:tblPr>
        <w:tblStyle w:val="27"/>
        <w:tblW w:w="856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368"/>
        <w:gridCol w:w="666"/>
        <w:gridCol w:w="4498"/>
        <w:gridCol w:w="1832"/>
        <w:gridCol w:w="11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39" w:hRule="atLeast"/>
          <w:tblHeader/>
        </w:trPr>
        <w:tc>
          <w:tcPr>
            <w:tcW w:w="1034" w:type="dxa"/>
            <w:gridSpan w:val="2"/>
            <w:vAlign w:val="center"/>
          </w:tcPr>
          <w:p>
            <w:pPr>
              <w:pStyle w:val="44"/>
              <w:spacing w:line="240" w:lineRule="auto"/>
              <w:rPr>
                <w:rFonts w:eastAsia="宋体"/>
                <w:kern w:val="0"/>
                <w:szCs w:val="21"/>
              </w:rPr>
            </w:pPr>
            <w:r>
              <w:rPr>
                <w:rFonts w:hAnsi="宋体" w:eastAsia="宋体"/>
                <w:kern w:val="0"/>
                <w:szCs w:val="21"/>
              </w:rPr>
              <w:t>阶段</w:t>
            </w:r>
          </w:p>
        </w:tc>
        <w:tc>
          <w:tcPr>
            <w:tcW w:w="4498" w:type="dxa"/>
            <w:vAlign w:val="center"/>
          </w:tcPr>
          <w:p>
            <w:pPr>
              <w:pStyle w:val="44"/>
              <w:spacing w:line="240" w:lineRule="auto"/>
              <w:rPr>
                <w:rFonts w:eastAsia="宋体"/>
                <w:kern w:val="0"/>
                <w:szCs w:val="21"/>
              </w:rPr>
            </w:pPr>
            <w:r>
              <w:rPr>
                <w:rFonts w:hAnsi="宋体" w:eastAsia="宋体"/>
                <w:kern w:val="0"/>
                <w:szCs w:val="21"/>
              </w:rPr>
              <w:t>工作内容</w:t>
            </w:r>
          </w:p>
        </w:tc>
        <w:tc>
          <w:tcPr>
            <w:tcW w:w="1832" w:type="dxa"/>
            <w:vAlign w:val="center"/>
          </w:tcPr>
          <w:p>
            <w:pPr>
              <w:pStyle w:val="44"/>
              <w:spacing w:line="240" w:lineRule="auto"/>
              <w:rPr>
                <w:rFonts w:eastAsia="宋体"/>
                <w:kern w:val="0"/>
                <w:szCs w:val="21"/>
              </w:rPr>
            </w:pPr>
            <w:r>
              <w:rPr>
                <w:rFonts w:hAnsi="宋体" w:eastAsia="宋体"/>
                <w:kern w:val="0"/>
                <w:szCs w:val="21"/>
              </w:rPr>
              <w:t>完成时间</w:t>
            </w:r>
          </w:p>
        </w:tc>
        <w:tc>
          <w:tcPr>
            <w:tcW w:w="1196" w:type="dxa"/>
            <w:vAlign w:val="center"/>
          </w:tcPr>
          <w:p>
            <w:pPr>
              <w:pStyle w:val="44"/>
              <w:spacing w:line="240" w:lineRule="auto"/>
              <w:rPr>
                <w:rFonts w:eastAsia="宋体"/>
                <w:kern w:val="0"/>
                <w:szCs w:val="21"/>
              </w:rPr>
            </w:pPr>
            <w:r>
              <w:rPr>
                <w:rFonts w:hAnsi="宋体" w:eastAsia="宋体"/>
                <w:kern w:val="0"/>
                <w:szCs w:val="21"/>
              </w:rPr>
              <w:t>负责人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368" w:type="dxa"/>
            <w:vMerge w:val="restart"/>
            <w:vAlign w:val="center"/>
          </w:tcPr>
          <w:p>
            <w:pPr>
              <w:pStyle w:val="44"/>
              <w:spacing w:line="240" w:lineRule="auto"/>
              <w:rPr>
                <w:rFonts w:eastAsia="宋体"/>
                <w:kern w:val="0"/>
                <w:szCs w:val="21"/>
              </w:rPr>
            </w:pPr>
            <w:r>
              <w:rPr>
                <w:rFonts w:hAnsi="宋体" w:eastAsia="宋体"/>
                <w:kern w:val="0"/>
                <w:szCs w:val="21"/>
              </w:rPr>
              <w:t>审核准备</w:t>
            </w:r>
          </w:p>
        </w:tc>
        <w:tc>
          <w:tcPr>
            <w:tcW w:w="666" w:type="dxa"/>
            <w:vAlign w:val="center"/>
          </w:tcPr>
          <w:p>
            <w:pPr>
              <w:pStyle w:val="44"/>
              <w:spacing w:line="240" w:lineRule="auto"/>
              <w:rPr>
                <w:rFonts w:eastAsia="宋体"/>
                <w:kern w:val="0"/>
                <w:szCs w:val="21"/>
              </w:rPr>
            </w:pPr>
            <w:r>
              <w:rPr>
                <w:rFonts w:hAnsi="宋体" w:eastAsia="宋体"/>
                <w:kern w:val="0"/>
                <w:szCs w:val="21"/>
              </w:rPr>
              <w:t>筹划</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建立清洁生产审核工作机构；</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实施教育培训、宣传发动、克服障碍、转变观念。</w:t>
            </w:r>
          </w:p>
        </w:tc>
        <w:tc>
          <w:tcPr>
            <w:tcW w:w="1832" w:type="dxa"/>
            <w:vMerge w:val="restart"/>
            <w:vAlign w:val="center"/>
          </w:tcPr>
          <w:p>
            <w:pPr>
              <w:pStyle w:val="44"/>
              <w:spacing w:line="240" w:lineRule="auto"/>
              <w:rPr>
                <w:rFonts w:eastAsia="宋体"/>
                <w:kern w:val="0"/>
                <w:szCs w:val="21"/>
              </w:rPr>
            </w:pPr>
            <w:r>
              <w:rPr>
                <w:rFonts w:eastAsia="宋体"/>
                <w:kern w:val="0"/>
                <w:szCs w:val="21"/>
              </w:rPr>
              <w:t>20</w:t>
            </w:r>
            <w:r>
              <w:rPr>
                <w:rFonts w:hint="eastAsia" w:eastAsia="宋体"/>
                <w:kern w:val="0"/>
                <w:szCs w:val="21"/>
                <w:lang w:val="en-US" w:eastAsia="zh-CN"/>
              </w:rPr>
              <w:t>24</w:t>
            </w:r>
            <w:r>
              <w:rPr>
                <w:rFonts w:hAnsi="宋体" w:eastAsia="宋体"/>
                <w:kern w:val="0"/>
                <w:szCs w:val="21"/>
              </w:rPr>
              <w:t>年</w:t>
            </w:r>
            <w:r>
              <w:rPr>
                <w:rFonts w:hint="eastAsia" w:eastAsia="宋体"/>
                <w:kern w:val="0"/>
                <w:szCs w:val="21"/>
                <w:lang w:val="en-US" w:eastAsia="zh-CN"/>
              </w:rPr>
              <w:t>1</w:t>
            </w:r>
            <w:r>
              <w:rPr>
                <w:rFonts w:hAnsi="宋体" w:eastAsia="宋体"/>
                <w:kern w:val="0"/>
                <w:szCs w:val="21"/>
              </w:rPr>
              <w:t>月</w:t>
            </w: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刘光辉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368" w:type="dxa"/>
            <w:vMerge w:val="continue"/>
            <w:vAlign w:val="center"/>
          </w:tcPr>
          <w:p>
            <w:pPr>
              <w:pStyle w:val="44"/>
              <w:spacing w:line="240" w:lineRule="auto"/>
              <w:rPr>
                <w:rFonts w:eastAsia="宋体"/>
                <w:kern w:val="0"/>
                <w:szCs w:val="21"/>
              </w:rPr>
            </w:pPr>
          </w:p>
        </w:tc>
        <w:tc>
          <w:tcPr>
            <w:tcW w:w="666" w:type="dxa"/>
            <w:vAlign w:val="center"/>
          </w:tcPr>
          <w:p>
            <w:pPr>
              <w:pStyle w:val="44"/>
              <w:spacing w:line="240" w:lineRule="auto"/>
              <w:rPr>
                <w:rFonts w:eastAsia="宋体"/>
                <w:kern w:val="0"/>
                <w:szCs w:val="21"/>
              </w:rPr>
            </w:pPr>
            <w:r>
              <w:rPr>
                <w:rFonts w:hAnsi="宋体" w:eastAsia="宋体"/>
                <w:kern w:val="0"/>
                <w:szCs w:val="21"/>
              </w:rPr>
              <w:t>制定审核计划</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确定全过程审核计划；</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组织和动员全员参与清洁生产审核。</w:t>
            </w:r>
          </w:p>
        </w:tc>
        <w:tc>
          <w:tcPr>
            <w:tcW w:w="1832" w:type="dxa"/>
            <w:vMerge w:val="continue"/>
            <w:vAlign w:val="center"/>
          </w:tcPr>
          <w:p>
            <w:pPr>
              <w:pStyle w:val="44"/>
              <w:spacing w:line="240" w:lineRule="auto"/>
              <w:rPr>
                <w:rFonts w:eastAsia="宋体"/>
                <w:kern w:val="0"/>
                <w:szCs w:val="21"/>
              </w:rPr>
            </w:pP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刘光辉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368" w:type="dxa"/>
            <w:vMerge w:val="continue"/>
            <w:vAlign w:val="center"/>
          </w:tcPr>
          <w:p>
            <w:pPr>
              <w:pStyle w:val="44"/>
              <w:spacing w:line="240" w:lineRule="auto"/>
              <w:rPr>
                <w:rFonts w:eastAsia="宋体"/>
                <w:kern w:val="0"/>
                <w:szCs w:val="21"/>
              </w:rPr>
            </w:pPr>
          </w:p>
        </w:tc>
        <w:tc>
          <w:tcPr>
            <w:tcW w:w="666" w:type="dxa"/>
            <w:vAlign w:val="center"/>
          </w:tcPr>
          <w:p>
            <w:pPr>
              <w:pStyle w:val="44"/>
              <w:spacing w:line="240" w:lineRule="auto"/>
              <w:rPr>
                <w:rFonts w:eastAsia="宋体"/>
                <w:kern w:val="0"/>
                <w:szCs w:val="21"/>
              </w:rPr>
            </w:pPr>
            <w:r>
              <w:rPr>
                <w:rFonts w:hAnsi="宋体" w:eastAsia="宋体"/>
                <w:kern w:val="0"/>
                <w:szCs w:val="21"/>
              </w:rPr>
              <w:t>培训</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中层以上管理人员和清洁生产小组参加培训；</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参加考试；</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按文件的编写基本要求和编号规则统一文件；</w:t>
            </w:r>
          </w:p>
          <w:p>
            <w:pPr>
              <w:pStyle w:val="44"/>
              <w:spacing w:line="240" w:lineRule="auto"/>
              <w:jc w:val="left"/>
              <w:rPr>
                <w:rFonts w:eastAsia="宋体"/>
                <w:kern w:val="0"/>
                <w:szCs w:val="21"/>
              </w:rPr>
            </w:pPr>
            <w:r>
              <w:rPr>
                <w:rFonts w:eastAsia="宋体"/>
                <w:kern w:val="0"/>
                <w:szCs w:val="21"/>
              </w:rPr>
              <w:t>4.</w:t>
            </w:r>
            <w:r>
              <w:rPr>
                <w:rFonts w:hAnsi="宋体" w:eastAsia="宋体"/>
                <w:kern w:val="0"/>
                <w:szCs w:val="21"/>
              </w:rPr>
              <w:t>组织讲座，进一步了解清洁生产审核。</w:t>
            </w:r>
          </w:p>
        </w:tc>
        <w:tc>
          <w:tcPr>
            <w:tcW w:w="1832" w:type="dxa"/>
            <w:vMerge w:val="continue"/>
            <w:vAlign w:val="center"/>
          </w:tcPr>
          <w:p>
            <w:pPr>
              <w:pStyle w:val="44"/>
              <w:spacing w:line="240" w:lineRule="auto"/>
              <w:rPr>
                <w:rFonts w:eastAsia="宋体"/>
                <w:kern w:val="0"/>
                <w:szCs w:val="21"/>
              </w:rPr>
            </w:pP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刘本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1626" w:hRule="atLeast"/>
        </w:trPr>
        <w:tc>
          <w:tcPr>
            <w:tcW w:w="1034" w:type="dxa"/>
            <w:gridSpan w:val="2"/>
            <w:vAlign w:val="center"/>
          </w:tcPr>
          <w:p>
            <w:pPr>
              <w:pStyle w:val="44"/>
              <w:spacing w:line="240" w:lineRule="auto"/>
              <w:rPr>
                <w:rFonts w:eastAsia="宋体"/>
                <w:kern w:val="0"/>
                <w:szCs w:val="21"/>
              </w:rPr>
            </w:pPr>
            <w:r>
              <w:rPr>
                <w:rFonts w:hAnsi="宋体" w:eastAsia="宋体"/>
                <w:kern w:val="0"/>
                <w:szCs w:val="21"/>
              </w:rPr>
              <w:t>预审核</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生产现状调查；收集资料，发动群众，提出问题和建议；</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生产污染源及污染物调查；</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确定审核重点及需监测污染物种类；</w:t>
            </w:r>
          </w:p>
          <w:p>
            <w:pPr>
              <w:pStyle w:val="44"/>
              <w:spacing w:line="240" w:lineRule="auto"/>
              <w:jc w:val="left"/>
              <w:rPr>
                <w:rFonts w:eastAsia="宋体"/>
                <w:kern w:val="0"/>
                <w:szCs w:val="21"/>
              </w:rPr>
            </w:pPr>
            <w:r>
              <w:rPr>
                <w:rFonts w:eastAsia="宋体"/>
                <w:kern w:val="0"/>
                <w:szCs w:val="21"/>
              </w:rPr>
              <w:t>4.</w:t>
            </w:r>
            <w:r>
              <w:rPr>
                <w:rFonts w:hAnsi="宋体" w:eastAsia="宋体"/>
                <w:kern w:val="0"/>
                <w:szCs w:val="21"/>
              </w:rPr>
              <w:t>设置清洁生产目标权重打分，编写预审核报告；</w:t>
            </w:r>
          </w:p>
          <w:p>
            <w:pPr>
              <w:pStyle w:val="44"/>
              <w:spacing w:line="240" w:lineRule="auto"/>
              <w:jc w:val="left"/>
              <w:rPr>
                <w:rFonts w:eastAsia="宋体"/>
                <w:kern w:val="0"/>
                <w:szCs w:val="21"/>
              </w:rPr>
            </w:pPr>
            <w:r>
              <w:rPr>
                <w:rFonts w:eastAsia="宋体"/>
                <w:kern w:val="0"/>
                <w:szCs w:val="21"/>
              </w:rPr>
              <w:t>5.</w:t>
            </w:r>
            <w:r>
              <w:rPr>
                <w:rFonts w:hAnsi="宋体" w:eastAsia="宋体"/>
                <w:kern w:val="0"/>
                <w:szCs w:val="21"/>
              </w:rPr>
              <w:t>提出和实施无</w:t>
            </w:r>
            <w:r>
              <w:rPr>
                <w:rFonts w:eastAsia="宋体"/>
                <w:kern w:val="0"/>
                <w:szCs w:val="21"/>
              </w:rPr>
              <w:t>/</w:t>
            </w:r>
            <w:r>
              <w:rPr>
                <w:rFonts w:hAnsi="宋体" w:eastAsia="宋体"/>
                <w:kern w:val="0"/>
                <w:szCs w:val="21"/>
              </w:rPr>
              <w:t>低费方案。</w:t>
            </w:r>
          </w:p>
        </w:tc>
        <w:tc>
          <w:tcPr>
            <w:tcW w:w="1832" w:type="dxa"/>
            <w:vAlign w:val="center"/>
          </w:tcPr>
          <w:p>
            <w:pPr>
              <w:pStyle w:val="44"/>
              <w:spacing w:line="240" w:lineRule="auto"/>
              <w:rPr>
                <w:rFonts w:eastAsia="宋体"/>
                <w:kern w:val="0"/>
                <w:szCs w:val="21"/>
              </w:rPr>
            </w:pPr>
            <w:r>
              <w:rPr>
                <w:rFonts w:eastAsia="宋体"/>
                <w:kern w:val="0"/>
                <w:szCs w:val="21"/>
              </w:rPr>
              <w:t>20</w:t>
            </w:r>
            <w:r>
              <w:rPr>
                <w:rFonts w:hint="eastAsia" w:eastAsia="宋体"/>
                <w:kern w:val="0"/>
                <w:szCs w:val="21"/>
                <w:lang w:val="en-US" w:eastAsia="zh-CN"/>
              </w:rPr>
              <w:t>24</w:t>
            </w:r>
            <w:r>
              <w:rPr>
                <w:rFonts w:hAnsi="宋体" w:eastAsia="宋体"/>
                <w:kern w:val="0"/>
                <w:szCs w:val="21"/>
              </w:rPr>
              <w:t>年</w:t>
            </w:r>
            <w:r>
              <w:rPr>
                <w:rFonts w:hint="eastAsia" w:eastAsia="宋体"/>
                <w:kern w:val="0"/>
                <w:szCs w:val="21"/>
                <w:lang w:val="en-US" w:eastAsia="zh-CN"/>
              </w:rPr>
              <w:t>1</w:t>
            </w:r>
            <w:r>
              <w:rPr>
                <w:rFonts w:hAnsi="宋体" w:eastAsia="宋体"/>
                <w:kern w:val="0"/>
                <w:szCs w:val="21"/>
              </w:rPr>
              <w:t>月</w:t>
            </w: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卢中华</w:t>
            </w:r>
            <w:r>
              <w:rPr>
                <w:rFonts w:hint="eastAsia" w:ascii="宋体" w:hAnsi="宋体" w:eastAsia="宋体"/>
                <w:szCs w:val="21"/>
              </w:rPr>
              <w:t>/</w:t>
            </w:r>
            <w:r>
              <w:rPr>
                <w:rFonts w:hint="eastAsia" w:ascii="宋体" w:hAnsi="宋体" w:eastAsia="宋体"/>
                <w:szCs w:val="21"/>
                <w:lang w:eastAsia="zh-CN"/>
              </w:rPr>
              <w:t>刘本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1029" w:hRule="atLeast"/>
        </w:trPr>
        <w:tc>
          <w:tcPr>
            <w:tcW w:w="1034" w:type="dxa"/>
            <w:gridSpan w:val="2"/>
            <w:vAlign w:val="center"/>
          </w:tcPr>
          <w:p>
            <w:pPr>
              <w:pStyle w:val="44"/>
              <w:spacing w:line="240" w:lineRule="auto"/>
              <w:rPr>
                <w:rFonts w:eastAsia="宋体"/>
                <w:kern w:val="0"/>
                <w:szCs w:val="21"/>
              </w:rPr>
            </w:pPr>
            <w:r>
              <w:rPr>
                <w:rFonts w:hAnsi="宋体" w:eastAsia="宋体"/>
                <w:kern w:val="0"/>
                <w:szCs w:val="21"/>
              </w:rPr>
              <w:t>审核</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对审核重点进行监测分析；</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实测输入输出物流并完成物料平衡；</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分析废弃物产生的原因；</w:t>
            </w:r>
          </w:p>
          <w:p>
            <w:pPr>
              <w:pStyle w:val="44"/>
              <w:spacing w:line="240" w:lineRule="auto"/>
              <w:jc w:val="left"/>
              <w:rPr>
                <w:rFonts w:eastAsia="宋体"/>
                <w:kern w:val="0"/>
                <w:szCs w:val="21"/>
              </w:rPr>
            </w:pPr>
            <w:r>
              <w:rPr>
                <w:rFonts w:eastAsia="宋体"/>
                <w:kern w:val="0"/>
                <w:szCs w:val="21"/>
              </w:rPr>
              <w:t>4.</w:t>
            </w:r>
            <w:r>
              <w:rPr>
                <w:rFonts w:hAnsi="宋体" w:eastAsia="宋体"/>
                <w:kern w:val="0"/>
                <w:szCs w:val="21"/>
              </w:rPr>
              <w:t>发动群众开展合理化建议活动，提出污染源削减方案；</w:t>
            </w:r>
          </w:p>
          <w:p>
            <w:pPr>
              <w:pStyle w:val="44"/>
              <w:spacing w:line="240" w:lineRule="auto"/>
              <w:jc w:val="left"/>
              <w:rPr>
                <w:rFonts w:eastAsia="宋体"/>
                <w:kern w:val="0"/>
                <w:szCs w:val="21"/>
              </w:rPr>
            </w:pPr>
            <w:r>
              <w:rPr>
                <w:rFonts w:eastAsia="宋体"/>
                <w:kern w:val="0"/>
                <w:szCs w:val="21"/>
              </w:rPr>
              <w:t>5.</w:t>
            </w:r>
            <w:r>
              <w:rPr>
                <w:rFonts w:hAnsi="宋体" w:eastAsia="宋体"/>
                <w:kern w:val="0"/>
                <w:szCs w:val="21"/>
              </w:rPr>
              <w:t>提出和实施无</w:t>
            </w:r>
            <w:r>
              <w:rPr>
                <w:rFonts w:eastAsia="宋体"/>
                <w:kern w:val="0"/>
                <w:szCs w:val="21"/>
              </w:rPr>
              <w:t>/</w:t>
            </w:r>
            <w:r>
              <w:rPr>
                <w:rFonts w:hAnsi="宋体" w:eastAsia="宋体"/>
                <w:kern w:val="0"/>
                <w:szCs w:val="21"/>
              </w:rPr>
              <w:t>低费方案。</w:t>
            </w:r>
          </w:p>
        </w:tc>
        <w:tc>
          <w:tcPr>
            <w:tcW w:w="1832" w:type="dxa"/>
            <w:vAlign w:val="center"/>
          </w:tcPr>
          <w:p>
            <w:pPr>
              <w:pStyle w:val="44"/>
              <w:spacing w:line="240" w:lineRule="auto"/>
              <w:rPr>
                <w:rFonts w:eastAsia="宋体"/>
                <w:kern w:val="0"/>
                <w:szCs w:val="21"/>
              </w:rPr>
            </w:pPr>
            <w:r>
              <w:rPr>
                <w:rFonts w:eastAsia="宋体"/>
                <w:kern w:val="0"/>
                <w:szCs w:val="21"/>
              </w:rPr>
              <w:t>20</w:t>
            </w:r>
            <w:r>
              <w:rPr>
                <w:rFonts w:hint="eastAsia" w:eastAsia="宋体"/>
                <w:kern w:val="0"/>
                <w:szCs w:val="21"/>
              </w:rPr>
              <w:t>2</w:t>
            </w:r>
            <w:r>
              <w:rPr>
                <w:rFonts w:hint="eastAsia" w:eastAsia="宋体"/>
                <w:kern w:val="0"/>
                <w:szCs w:val="21"/>
                <w:lang w:val="en-US" w:eastAsia="zh-CN"/>
              </w:rPr>
              <w:t>4</w:t>
            </w:r>
            <w:r>
              <w:rPr>
                <w:rFonts w:hAnsi="宋体" w:eastAsia="宋体"/>
                <w:kern w:val="0"/>
                <w:szCs w:val="21"/>
              </w:rPr>
              <w:t>年</w:t>
            </w:r>
            <w:r>
              <w:rPr>
                <w:rFonts w:hint="eastAsia" w:hAnsi="宋体" w:eastAsia="宋体"/>
                <w:kern w:val="0"/>
                <w:szCs w:val="21"/>
                <w:lang w:val="en-US" w:eastAsia="zh-CN"/>
              </w:rPr>
              <w:t>2</w:t>
            </w:r>
            <w:r>
              <w:rPr>
                <w:rFonts w:hAnsi="宋体" w:eastAsia="宋体"/>
                <w:kern w:val="0"/>
                <w:szCs w:val="21"/>
              </w:rPr>
              <w:t>月</w:t>
            </w: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卢中华</w:t>
            </w:r>
            <w:r>
              <w:rPr>
                <w:rFonts w:hint="eastAsia" w:ascii="宋体" w:hAnsi="宋体" w:eastAsia="宋体"/>
                <w:szCs w:val="21"/>
              </w:rPr>
              <w:t>/</w:t>
            </w:r>
            <w:r>
              <w:rPr>
                <w:rFonts w:hint="eastAsia" w:ascii="宋体" w:hAnsi="宋体" w:eastAsia="宋体"/>
                <w:szCs w:val="21"/>
                <w:lang w:eastAsia="zh-CN"/>
              </w:rPr>
              <w:t>刘本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1034" w:type="dxa"/>
            <w:gridSpan w:val="2"/>
            <w:vAlign w:val="center"/>
          </w:tcPr>
          <w:p>
            <w:pPr>
              <w:pStyle w:val="44"/>
              <w:spacing w:line="240" w:lineRule="auto"/>
              <w:rPr>
                <w:rFonts w:eastAsia="宋体"/>
                <w:kern w:val="0"/>
                <w:szCs w:val="21"/>
              </w:rPr>
            </w:pPr>
            <w:r>
              <w:rPr>
                <w:rFonts w:hAnsi="宋体" w:eastAsia="宋体"/>
                <w:kern w:val="0"/>
                <w:szCs w:val="21"/>
              </w:rPr>
              <w:t>方案产生和筛选</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针对废弃物产生的原因和存在的问题，提出可行的污染削减、减少能耗、降低成本的清洁生产方案；</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分类汇总方案；</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权重总和计分筛选方案；</w:t>
            </w:r>
          </w:p>
          <w:p>
            <w:pPr>
              <w:pStyle w:val="44"/>
              <w:spacing w:line="240" w:lineRule="auto"/>
              <w:jc w:val="left"/>
              <w:rPr>
                <w:rFonts w:eastAsia="宋体"/>
                <w:kern w:val="0"/>
                <w:szCs w:val="21"/>
              </w:rPr>
            </w:pPr>
            <w:r>
              <w:rPr>
                <w:rFonts w:eastAsia="宋体"/>
                <w:kern w:val="0"/>
                <w:szCs w:val="21"/>
              </w:rPr>
              <w:t>4.</w:t>
            </w:r>
            <w:r>
              <w:rPr>
                <w:rFonts w:hAnsi="宋体" w:eastAsia="宋体"/>
                <w:kern w:val="0"/>
                <w:szCs w:val="21"/>
              </w:rPr>
              <w:t>继续实施无</w:t>
            </w:r>
            <w:r>
              <w:rPr>
                <w:rFonts w:eastAsia="宋体"/>
                <w:kern w:val="0"/>
                <w:szCs w:val="21"/>
              </w:rPr>
              <w:t>/</w:t>
            </w:r>
            <w:r>
              <w:rPr>
                <w:rFonts w:hAnsi="宋体" w:eastAsia="宋体"/>
                <w:kern w:val="0"/>
                <w:szCs w:val="21"/>
              </w:rPr>
              <w:t>低费方案。</w:t>
            </w:r>
          </w:p>
        </w:tc>
        <w:tc>
          <w:tcPr>
            <w:tcW w:w="1832" w:type="dxa"/>
            <w:vAlign w:val="center"/>
          </w:tcPr>
          <w:p>
            <w:pPr>
              <w:pStyle w:val="44"/>
              <w:spacing w:line="240" w:lineRule="auto"/>
              <w:rPr>
                <w:rFonts w:eastAsia="宋体"/>
                <w:kern w:val="0"/>
                <w:szCs w:val="21"/>
              </w:rPr>
            </w:pPr>
            <w:r>
              <w:rPr>
                <w:rFonts w:eastAsia="宋体"/>
                <w:kern w:val="0"/>
                <w:szCs w:val="21"/>
              </w:rPr>
              <w:t>20</w:t>
            </w:r>
            <w:r>
              <w:rPr>
                <w:rFonts w:hint="eastAsia" w:eastAsia="宋体"/>
                <w:kern w:val="0"/>
                <w:szCs w:val="21"/>
              </w:rPr>
              <w:t>2</w:t>
            </w:r>
            <w:r>
              <w:rPr>
                <w:rFonts w:hint="eastAsia" w:eastAsia="宋体"/>
                <w:kern w:val="0"/>
                <w:szCs w:val="21"/>
                <w:lang w:val="en-US" w:eastAsia="zh-CN"/>
              </w:rPr>
              <w:t>4</w:t>
            </w:r>
            <w:r>
              <w:rPr>
                <w:rFonts w:hAnsi="宋体" w:eastAsia="宋体"/>
                <w:kern w:val="0"/>
                <w:szCs w:val="21"/>
              </w:rPr>
              <w:t>年</w:t>
            </w:r>
            <w:r>
              <w:rPr>
                <w:rFonts w:hint="eastAsia" w:hAnsi="宋体" w:eastAsia="宋体"/>
                <w:kern w:val="0"/>
                <w:szCs w:val="21"/>
                <w:lang w:val="en-US" w:eastAsia="zh-CN"/>
              </w:rPr>
              <w:t>2</w:t>
            </w:r>
            <w:r>
              <w:rPr>
                <w:rFonts w:hAnsi="宋体" w:eastAsia="宋体"/>
                <w:kern w:val="0"/>
                <w:szCs w:val="21"/>
              </w:rPr>
              <w:t>月</w:t>
            </w: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卢中华</w:t>
            </w:r>
            <w:r>
              <w:rPr>
                <w:rFonts w:hint="eastAsia" w:ascii="宋体" w:hAnsi="宋体" w:eastAsia="宋体"/>
                <w:szCs w:val="21"/>
              </w:rPr>
              <w:t>/</w:t>
            </w:r>
            <w:r>
              <w:rPr>
                <w:rFonts w:hint="eastAsia" w:ascii="宋体" w:hAnsi="宋体" w:eastAsia="宋体"/>
                <w:szCs w:val="21"/>
                <w:lang w:eastAsia="zh-CN"/>
              </w:rPr>
              <w:t>刘本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1034" w:type="dxa"/>
            <w:gridSpan w:val="2"/>
            <w:vAlign w:val="center"/>
          </w:tcPr>
          <w:p>
            <w:pPr>
              <w:pStyle w:val="44"/>
              <w:spacing w:line="240" w:lineRule="auto"/>
              <w:rPr>
                <w:rFonts w:eastAsia="宋体"/>
                <w:kern w:val="0"/>
                <w:szCs w:val="21"/>
              </w:rPr>
            </w:pPr>
            <w:r>
              <w:rPr>
                <w:rFonts w:hAnsi="宋体" w:eastAsia="宋体"/>
                <w:kern w:val="0"/>
                <w:szCs w:val="21"/>
              </w:rPr>
              <w:t>确定实施方案</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对重大削减方案进行可行性分析，包括：</w:t>
            </w:r>
          </w:p>
          <w:p>
            <w:pPr>
              <w:pStyle w:val="44"/>
              <w:spacing w:line="240" w:lineRule="auto"/>
              <w:jc w:val="left"/>
              <w:rPr>
                <w:rFonts w:eastAsia="宋体"/>
                <w:kern w:val="0"/>
                <w:szCs w:val="21"/>
              </w:rPr>
            </w:pPr>
            <w:r>
              <w:rPr>
                <w:rFonts w:hAnsi="宋体" w:eastAsia="宋体"/>
                <w:kern w:val="0"/>
                <w:szCs w:val="21"/>
              </w:rPr>
              <w:t>（</w:t>
            </w:r>
            <w:r>
              <w:rPr>
                <w:rFonts w:eastAsia="宋体"/>
                <w:kern w:val="0"/>
                <w:szCs w:val="21"/>
              </w:rPr>
              <w:t>1</w:t>
            </w:r>
            <w:r>
              <w:rPr>
                <w:rFonts w:hAnsi="宋体" w:eastAsia="宋体"/>
                <w:kern w:val="0"/>
                <w:szCs w:val="21"/>
              </w:rPr>
              <w:t>）技术评价；（</w:t>
            </w:r>
            <w:r>
              <w:rPr>
                <w:rFonts w:eastAsia="宋体"/>
                <w:kern w:val="0"/>
                <w:szCs w:val="21"/>
              </w:rPr>
              <w:t>2</w:t>
            </w:r>
            <w:r>
              <w:rPr>
                <w:rFonts w:hAnsi="宋体" w:eastAsia="宋体"/>
                <w:kern w:val="0"/>
                <w:szCs w:val="21"/>
              </w:rPr>
              <w:t>）环境评价；（</w:t>
            </w:r>
            <w:r>
              <w:rPr>
                <w:rFonts w:eastAsia="宋体"/>
                <w:kern w:val="0"/>
                <w:szCs w:val="21"/>
              </w:rPr>
              <w:t>3</w:t>
            </w:r>
            <w:r>
              <w:rPr>
                <w:rFonts w:hAnsi="宋体" w:eastAsia="宋体"/>
                <w:kern w:val="0"/>
                <w:szCs w:val="21"/>
              </w:rPr>
              <w:t>）经济评价。</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已实施方案的成果汇总及效果分析总结；</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纠正审核过程中的问题</w:t>
            </w:r>
          </w:p>
        </w:tc>
        <w:tc>
          <w:tcPr>
            <w:tcW w:w="1832" w:type="dxa"/>
            <w:vAlign w:val="center"/>
          </w:tcPr>
          <w:p>
            <w:pPr>
              <w:pStyle w:val="44"/>
              <w:spacing w:line="240" w:lineRule="auto"/>
              <w:rPr>
                <w:rFonts w:eastAsia="宋体"/>
                <w:szCs w:val="21"/>
              </w:rPr>
            </w:pPr>
            <w:r>
              <w:rPr>
                <w:rFonts w:eastAsia="宋体"/>
                <w:kern w:val="0"/>
                <w:szCs w:val="21"/>
              </w:rPr>
              <w:t>20</w:t>
            </w:r>
            <w:r>
              <w:rPr>
                <w:rFonts w:hint="eastAsia" w:eastAsia="宋体"/>
                <w:kern w:val="0"/>
                <w:szCs w:val="21"/>
              </w:rPr>
              <w:t>2</w:t>
            </w:r>
            <w:r>
              <w:rPr>
                <w:rFonts w:hint="eastAsia" w:eastAsia="宋体"/>
                <w:kern w:val="0"/>
                <w:szCs w:val="21"/>
                <w:lang w:val="en-US" w:eastAsia="zh-CN"/>
              </w:rPr>
              <w:t>4</w:t>
            </w:r>
            <w:r>
              <w:rPr>
                <w:rFonts w:hAnsi="宋体" w:eastAsia="宋体"/>
                <w:kern w:val="0"/>
                <w:szCs w:val="21"/>
              </w:rPr>
              <w:t>年</w:t>
            </w:r>
            <w:r>
              <w:rPr>
                <w:rFonts w:hint="eastAsia" w:eastAsia="宋体"/>
                <w:kern w:val="0"/>
                <w:szCs w:val="21"/>
                <w:lang w:val="en-US" w:eastAsia="zh-CN"/>
              </w:rPr>
              <w:t>2</w:t>
            </w:r>
            <w:r>
              <w:rPr>
                <w:rFonts w:hAnsi="宋体" w:eastAsia="宋体"/>
                <w:kern w:val="0"/>
                <w:szCs w:val="21"/>
              </w:rPr>
              <w:t>月</w:t>
            </w: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卢中华</w:t>
            </w:r>
            <w:r>
              <w:rPr>
                <w:rFonts w:hint="eastAsia" w:ascii="宋体" w:hAnsi="宋体" w:eastAsia="宋体"/>
                <w:szCs w:val="21"/>
              </w:rPr>
              <w:t>/</w:t>
            </w:r>
            <w:r>
              <w:rPr>
                <w:rFonts w:hint="eastAsia" w:ascii="宋体" w:hAnsi="宋体" w:eastAsia="宋体"/>
                <w:szCs w:val="21"/>
                <w:lang w:eastAsia="zh-CN"/>
              </w:rPr>
              <w:t>刘本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1034" w:type="dxa"/>
            <w:gridSpan w:val="2"/>
            <w:vAlign w:val="center"/>
          </w:tcPr>
          <w:p>
            <w:pPr>
              <w:pStyle w:val="44"/>
              <w:spacing w:line="240" w:lineRule="auto"/>
              <w:rPr>
                <w:rFonts w:eastAsia="宋体"/>
                <w:kern w:val="0"/>
                <w:szCs w:val="21"/>
              </w:rPr>
            </w:pPr>
            <w:r>
              <w:rPr>
                <w:rFonts w:hAnsi="宋体" w:eastAsia="宋体"/>
                <w:kern w:val="0"/>
                <w:szCs w:val="21"/>
              </w:rPr>
              <w:t>持续清洁生产</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建立和完善清洁生产组织；</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建立和完善清洁生产管理制度；</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制定持续清洁生产计划（主要为方案实施计划）。</w:t>
            </w:r>
          </w:p>
        </w:tc>
        <w:tc>
          <w:tcPr>
            <w:tcW w:w="1832" w:type="dxa"/>
            <w:vAlign w:val="center"/>
          </w:tcPr>
          <w:p>
            <w:pPr>
              <w:pStyle w:val="44"/>
              <w:spacing w:line="240" w:lineRule="auto"/>
              <w:rPr>
                <w:rFonts w:eastAsia="宋体"/>
                <w:kern w:val="0"/>
                <w:szCs w:val="21"/>
              </w:rPr>
            </w:pPr>
            <w:r>
              <w:rPr>
                <w:rFonts w:eastAsia="宋体"/>
                <w:kern w:val="0"/>
                <w:szCs w:val="21"/>
              </w:rPr>
              <w:t>20</w:t>
            </w:r>
            <w:r>
              <w:rPr>
                <w:rFonts w:hint="eastAsia" w:eastAsia="宋体"/>
                <w:kern w:val="0"/>
                <w:szCs w:val="21"/>
                <w:lang w:val="en-US" w:eastAsia="zh-CN"/>
              </w:rPr>
              <w:t>24</w:t>
            </w:r>
            <w:r>
              <w:rPr>
                <w:rFonts w:hAnsi="宋体" w:eastAsia="宋体"/>
                <w:kern w:val="0"/>
                <w:szCs w:val="21"/>
              </w:rPr>
              <w:t>年</w:t>
            </w:r>
            <w:r>
              <w:rPr>
                <w:rFonts w:hint="eastAsia" w:eastAsia="宋体"/>
                <w:kern w:val="0"/>
                <w:szCs w:val="21"/>
                <w:lang w:val="en-US" w:eastAsia="zh-CN"/>
              </w:rPr>
              <w:t>3</w:t>
            </w:r>
            <w:r>
              <w:rPr>
                <w:rFonts w:hAnsi="宋体" w:eastAsia="宋体"/>
                <w:kern w:val="0"/>
                <w:szCs w:val="21"/>
              </w:rPr>
              <w:t>月</w:t>
            </w:r>
          </w:p>
        </w:tc>
        <w:tc>
          <w:tcPr>
            <w:tcW w:w="1196" w:type="dxa"/>
            <w:vAlign w:val="center"/>
          </w:tcPr>
          <w:p>
            <w:pPr>
              <w:pStyle w:val="44"/>
              <w:spacing w:line="240" w:lineRule="auto"/>
              <w:rPr>
                <w:rFonts w:hint="eastAsia" w:eastAsia="宋体"/>
                <w:szCs w:val="21"/>
                <w:lang w:eastAsia="zh-CN"/>
              </w:rPr>
            </w:pPr>
            <w:r>
              <w:rPr>
                <w:rFonts w:hint="eastAsia" w:ascii="宋体" w:hAnsi="宋体" w:eastAsia="宋体"/>
                <w:szCs w:val="21"/>
                <w:lang w:eastAsia="zh-CN"/>
              </w:rPr>
              <w:t>卢中华</w:t>
            </w:r>
            <w:r>
              <w:rPr>
                <w:rFonts w:hint="eastAsia" w:ascii="宋体" w:hAnsi="宋体" w:eastAsia="宋体"/>
                <w:szCs w:val="21"/>
              </w:rPr>
              <w:t>/</w:t>
            </w:r>
            <w:r>
              <w:rPr>
                <w:rFonts w:hint="eastAsia" w:ascii="宋体" w:hAnsi="宋体" w:eastAsia="宋体"/>
                <w:szCs w:val="21"/>
                <w:lang w:eastAsia="zh-CN"/>
              </w:rPr>
              <w:t>刘本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c>
          <w:tcPr>
            <w:tcW w:w="1034" w:type="dxa"/>
            <w:gridSpan w:val="2"/>
            <w:vAlign w:val="center"/>
          </w:tcPr>
          <w:p>
            <w:pPr>
              <w:pStyle w:val="44"/>
              <w:spacing w:line="240" w:lineRule="auto"/>
              <w:rPr>
                <w:rFonts w:eastAsia="宋体"/>
                <w:kern w:val="0"/>
                <w:szCs w:val="21"/>
              </w:rPr>
            </w:pPr>
            <w:r>
              <w:rPr>
                <w:rFonts w:hAnsi="宋体" w:eastAsia="宋体"/>
                <w:kern w:val="0"/>
                <w:szCs w:val="21"/>
              </w:rPr>
              <w:t>编写清洁生产审核报告</w:t>
            </w:r>
          </w:p>
        </w:tc>
        <w:tc>
          <w:tcPr>
            <w:tcW w:w="4498" w:type="dxa"/>
            <w:vAlign w:val="center"/>
          </w:tcPr>
          <w:p>
            <w:pPr>
              <w:pStyle w:val="44"/>
              <w:spacing w:line="240" w:lineRule="auto"/>
              <w:jc w:val="left"/>
              <w:rPr>
                <w:rFonts w:eastAsia="宋体"/>
                <w:kern w:val="0"/>
                <w:szCs w:val="21"/>
              </w:rPr>
            </w:pPr>
            <w:r>
              <w:rPr>
                <w:rFonts w:eastAsia="宋体"/>
                <w:kern w:val="0"/>
                <w:szCs w:val="21"/>
              </w:rPr>
              <w:t>1.</w:t>
            </w:r>
            <w:r>
              <w:rPr>
                <w:rFonts w:hAnsi="宋体" w:eastAsia="宋体"/>
                <w:kern w:val="0"/>
                <w:szCs w:val="21"/>
              </w:rPr>
              <w:t>描述公司生产、环保执法情况，公司产污、排污现状；</w:t>
            </w:r>
          </w:p>
          <w:p>
            <w:pPr>
              <w:pStyle w:val="44"/>
              <w:spacing w:line="240" w:lineRule="auto"/>
              <w:jc w:val="left"/>
              <w:rPr>
                <w:rFonts w:eastAsia="宋体"/>
                <w:kern w:val="0"/>
                <w:szCs w:val="21"/>
              </w:rPr>
            </w:pPr>
            <w:r>
              <w:rPr>
                <w:rFonts w:eastAsia="宋体"/>
                <w:kern w:val="0"/>
                <w:szCs w:val="21"/>
              </w:rPr>
              <w:t>2.</w:t>
            </w:r>
            <w:r>
              <w:rPr>
                <w:rFonts w:hAnsi="宋体" w:eastAsia="宋体"/>
                <w:kern w:val="0"/>
                <w:szCs w:val="21"/>
              </w:rPr>
              <w:t>公司目前污染源的位置、数量，污染物的种类、数量和排放浓度与排放量、排放方式等；</w:t>
            </w:r>
          </w:p>
          <w:p>
            <w:pPr>
              <w:pStyle w:val="44"/>
              <w:spacing w:line="240" w:lineRule="auto"/>
              <w:jc w:val="left"/>
              <w:rPr>
                <w:rFonts w:eastAsia="宋体"/>
                <w:kern w:val="0"/>
                <w:szCs w:val="21"/>
              </w:rPr>
            </w:pPr>
            <w:r>
              <w:rPr>
                <w:rFonts w:eastAsia="宋体"/>
                <w:kern w:val="0"/>
                <w:szCs w:val="21"/>
              </w:rPr>
              <w:t>3.</w:t>
            </w:r>
            <w:r>
              <w:rPr>
                <w:rFonts w:hAnsi="宋体" w:eastAsia="宋体"/>
                <w:kern w:val="0"/>
                <w:szCs w:val="21"/>
              </w:rPr>
              <w:t>说明产生污染物的原因及对策；</w:t>
            </w:r>
          </w:p>
          <w:p>
            <w:pPr>
              <w:pStyle w:val="44"/>
              <w:spacing w:line="240" w:lineRule="auto"/>
              <w:jc w:val="left"/>
              <w:rPr>
                <w:rFonts w:eastAsia="宋体"/>
                <w:kern w:val="0"/>
                <w:szCs w:val="21"/>
              </w:rPr>
            </w:pPr>
            <w:r>
              <w:rPr>
                <w:rFonts w:eastAsia="宋体"/>
                <w:kern w:val="0"/>
                <w:szCs w:val="21"/>
              </w:rPr>
              <w:t>4.</w:t>
            </w:r>
            <w:r>
              <w:rPr>
                <w:rFonts w:hAnsi="宋体" w:eastAsia="宋体"/>
                <w:kern w:val="0"/>
                <w:szCs w:val="21"/>
              </w:rPr>
              <w:t>客观地总结清洁生产审核所取得的经济效益、社会效益和环境效益，指出存在的问题和今后努力的方向；</w:t>
            </w:r>
          </w:p>
          <w:p>
            <w:pPr>
              <w:pStyle w:val="44"/>
              <w:spacing w:line="240" w:lineRule="auto"/>
              <w:jc w:val="left"/>
              <w:rPr>
                <w:rFonts w:eastAsia="宋体"/>
                <w:kern w:val="0"/>
                <w:szCs w:val="21"/>
              </w:rPr>
            </w:pPr>
            <w:r>
              <w:rPr>
                <w:rFonts w:eastAsia="宋体"/>
                <w:kern w:val="0"/>
                <w:szCs w:val="21"/>
              </w:rPr>
              <w:t>5.</w:t>
            </w:r>
            <w:r>
              <w:rPr>
                <w:rFonts w:hAnsi="宋体" w:eastAsia="宋体"/>
                <w:kern w:val="0"/>
                <w:szCs w:val="21"/>
              </w:rPr>
              <w:t>已实施的清洁生产方案的成果总结；</w:t>
            </w:r>
          </w:p>
          <w:p>
            <w:pPr>
              <w:pStyle w:val="44"/>
              <w:spacing w:line="240" w:lineRule="auto"/>
              <w:jc w:val="left"/>
              <w:rPr>
                <w:rFonts w:eastAsia="宋体"/>
                <w:kern w:val="0"/>
                <w:szCs w:val="21"/>
              </w:rPr>
            </w:pPr>
            <w:r>
              <w:rPr>
                <w:rFonts w:eastAsia="宋体"/>
                <w:kern w:val="0"/>
                <w:szCs w:val="21"/>
              </w:rPr>
              <w:t>6.</w:t>
            </w:r>
            <w:r>
              <w:rPr>
                <w:rFonts w:hAnsi="宋体" w:eastAsia="宋体"/>
                <w:kern w:val="0"/>
                <w:szCs w:val="21"/>
              </w:rPr>
              <w:t>拟实施的清洁生产方案的效果预测；</w:t>
            </w:r>
          </w:p>
          <w:p>
            <w:pPr>
              <w:pStyle w:val="44"/>
              <w:spacing w:line="240" w:lineRule="auto"/>
              <w:jc w:val="left"/>
              <w:rPr>
                <w:rFonts w:eastAsia="宋体"/>
                <w:kern w:val="0"/>
                <w:szCs w:val="21"/>
              </w:rPr>
            </w:pPr>
            <w:r>
              <w:rPr>
                <w:rFonts w:eastAsia="宋体"/>
                <w:kern w:val="0"/>
                <w:szCs w:val="21"/>
              </w:rPr>
              <w:t>7.</w:t>
            </w:r>
            <w:r>
              <w:rPr>
                <w:rFonts w:hAnsi="宋体" w:eastAsia="宋体"/>
                <w:kern w:val="0"/>
                <w:szCs w:val="21"/>
              </w:rPr>
              <w:t>是否达到所设置的清洁生产目标。</w:t>
            </w:r>
          </w:p>
        </w:tc>
        <w:tc>
          <w:tcPr>
            <w:tcW w:w="1832" w:type="dxa"/>
            <w:vAlign w:val="center"/>
          </w:tcPr>
          <w:p>
            <w:pPr>
              <w:pStyle w:val="44"/>
              <w:spacing w:line="240" w:lineRule="auto"/>
              <w:rPr>
                <w:rFonts w:eastAsia="宋体"/>
                <w:kern w:val="0"/>
                <w:szCs w:val="21"/>
              </w:rPr>
            </w:pPr>
            <w:r>
              <w:rPr>
                <w:rFonts w:eastAsia="宋体"/>
                <w:kern w:val="0"/>
                <w:szCs w:val="21"/>
              </w:rPr>
              <w:t>20</w:t>
            </w:r>
            <w:r>
              <w:rPr>
                <w:rFonts w:hint="eastAsia" w:eastAsia="宋体"/>
                <w:kern w:val="0"/>
                <w:szCs w:val="21"/>
                <w:lang w:val="en-US" w:eastAsia="zh-CN"/>
              </w:rPr>
              <w:t>24</w:t>
            </w:r>
            <w:r>
              <w:rPr>
                <w:rFonts w:hAnsi="宋体" w:eastAsia="宋体"/>
                <w:kern w:val="0"/>
                <w:szCs w:val="21"/>
              </w:rPr>
              <w:t>年</w:t>
            </w:r>
            <w:r>
              <w:rPr>
                <w:rFonts w:hint="eastAsia" w:eastAsia="宋体"/>
                <w:kern w:val="0"/>
                <w:szCs w:val="21"/>
                <w:lang w:val="en-US" w:eastAsia="zh-CN"/>
              </w:rPr>
              <w:t>4</w:t>
            </w:r>
            <w:r>
              <w:rPr>
                <w:rFonts w:hint="eastAsia" w:hAnsi="宋体" w:eastAsia="宋体"/>
                <w:kern w:val="0"/>
                <w:szCs w:val="21"/>
              </w:rPr>
              <w:t>月</w:t>
            </w:r>
          </w:p>
        </w:tc>
        <w:tc>
          <w:tcPr>
            <w:tcW w:w="1196" w:type="dxa"/>
            <w:vAlign w:val="center"/>
          </w:tcPr>
          <w:p>
            <w:pPr>
              <w:pStyle w:val="44"/>
              <w:spacing w:line="240" w:lineRule="auto"/>
              <w:rPr>
                <w:rFonts w:hint="eastAsia" w:eastAsia="宋体"/>
                <w:kern w:val="0"/>
                <w:szCs w:val="21"/>
                <w:lang w:eastAsia="zh-CN"/>
              </w:rPr>
            </w:pPr>
            <w:r>
              <w:rPr>
                <w:rFonts w:hint="eastAsia" w:ascii="宋体" w:hAnsi="宋体" w:eastAsia="宋体"/>
                <w:szCs w:val="21"/>
                <w:lang w:eastAsia="zh-CN"/>
              </w:rPr>
              <w:t>刘本</w:t>
            </w:r>
          </w:p>
        </w:tc>
      </w:tr>
    </w:tbl>
    <w:p>
      <w:pPr>
        <w:pStyle w:val="3"/>
        <w:spacing w:beforeLines="50" w:afterLines="50" w:line="360" w:lineRule="auto"/>
        <w:rPr>
          <w:rFonts w:ascii="Times New Roman" w:hAnsi="Times New Roman"/>
          <w:sz w:val="30"/>
          <w:szCs w:val="30"/>
        </w:rPr>
      </w:pPr>
      <w:bookmarkStart w:id="47" w:name="_Toc23631"/>
      <w:bookmarkStart w:id="48" w:name="_Toc12655"/>
      <w:bookmarkStart w:id="49" w:name="_Toc525138232"/>
      <w:bookmarkStart w:id="50" w:name="_Toc525138376"/>
      <w:r>
        <w:rPr>
          <w:rFonts w:hint="eastAsia" w:ascii="Times New Roman" w:hAnsi="Times New Roman"/>
          <w:sz w:val="30"/>
          <w:szCs w:val="30"/>
        </w:rPr>
        <w:t>2.4开展</w:t>
      </w:r>
      <w:r>
        <w:rPr>
          <w:rFonts w:ascii="Times New Roman"/>
          <w:sz w:val="30"/>
          <w:szCs w:val="30"/>
        </w:rPr>
        <w:t>宣传和培训</w:t>
      </w:r>
      <w:bookmarkEnd w:id="47"/>
      <w:bookmarkEnd w:id="48"/>
      <w:bookmarkEnd w:id="49"/>
      <w:bookmarkEnd w:id="50"/>
    </w:p>
    <w:p>
      <w:pPr>
        <w:spacing w:line="360" w:lineRule="auto"/>
        <w:ind w:firstLine="482"/>
        <w:rPr>
          <w:rFonts w:ascii="Times New Roman" w:hAnsi="Times New Roman" w:eastAsia="宋体"/>
          <w:sz w:val="24"/>
          <w:szCs w:val="24"/>
        </w:rPr>
      </w:pPr>
      <w:r>
        <w:rPr>
          <w:rFonts w:ascii="Times New Roman" w:hAnsi="宋体" w:eastAsia="宋体"/>
          <w:sz w:val="24"/>
          <w:szCs w:val="24"/>
        </w:rPr>
        <w:t>清洁生产思想是一项新的立足于整体预防环境战略的创造性思想，与以前的末端治理为主的环境保护策略有着根本的区别，它涉及到工艺、财务、节能、降耗等部门和生产的全过程。因此，通过宣传教育转变公司职工及管理干部的传统观念就成了进行审核工作的一项至关重要的工作。</w:t>
      </w:r>
      <w:r>
        <w:rPr>
          <w:rFonts w:hint="eastAsia" w:ascii="Times New Roman" w:hAnsi="宋体" w:eastAsia="宋体"/>
          <w:sz w:val="24"/>
          <w:szCs w:val="24"/>
          <w:lang w:eastAsia="zh-CN"/>
        </w:rPr>
        <w:t>湖南光华荣昌汽车部件有限公司</w:t>
      </w:r>
      <w:r>
        <w:rPr>
          <w:rFonts w:ascii="Times New Roman" w:hAnsi="宋体" w:eastAsia="宋体"/>
          <w:sz w:val="24"/>
          <w:szCs w:val="24"/>
        </w:rPr>
        <w:t>采用的主要宣传形式如下。</w:t>
      </w:r>
    </w:p>
    <w:p>
      <w:pPr>
        <w:spacing w:line="360" w:lineRule="auto"/>
        <w:ind w:firstLine="482"/>
        <w:rPr>
          <w:rFonts w:ascii="Times New Roman" w:hAnsi="Times New Roman" w:eastAsia="宋体"/>
          <w:sz w:val="24"/>
          <w:szCs w:val="24"/>
        </w:rPr>
      </w:pPr>
      <w:bookmarkStart w:id="51" w:name="_Toc354823623"/>
      <w:r>
        <w:rPr>
          <w:rFonts w:ascii="Times New Roman" w:hAnsi="Times New Roman" w:eastAsia="宋体"/>
          <w:sz w:val="24"/>
          <w:szCs w:val="24"/>
        </w:rPr>
        <w:t>1</w:t>
      </w:r>
      <w:r>
        <w:rPr>
          <w:rFonts w:ascii="Times New Roman" w:hAnsi="宋体" w:eastAsia="宋体"/>
          <w:sz w:val="24"/>
          <w:szCs w:val="24"/>
        </w:rPr>
        <w:t>、</w:t>
      </w:r>
      <w:bookmarkEnd w:id="51"/>
      <w:r>
        <w:rPr>
          <w:rFonts w:hint="eastAsia" w:ascii="Times New Roman" w:hAnsi="宋体" w:eastAsia="宋体"/>
          <w:sz w:val="24"/>
          <w:szCs w:val="24"/>
        </w:rPr>
        <w:t>召开培训研讨会</w:t>
      </w:r>
    </w:p>
    <w:p>
      <w:pPr>
        <w:spacing w:line="360" w:lineRule="auto"/>
        <w:ind w:firstLine="480" w:firstLineChars="200"/>
        <w:rPr>
          <w:rFonts w:ascii="Times New Roman" w:hAnsi="宋体" w:eastAsia="宋体"/>
          <w:sz w:val="24"/>
          <w:szCs w:val="24"/>
        </w:rPr>
      </w:pPr>
      <w:r>
        <w:rPr>
          <w:rFonts w:hint="eastAsia" w:ascii="Times New Roman" w:hAnsi="宋体" w:eastAsia="宋体"/>
          <w:sz w:val="24"/>
          <w:szCs w:val="24"/>
          <w:lang w:eastAsia="zh-CN"/>
        </w:rPr>
        <w:t>湖南光华荣昌汽车部件有限公司</w:t>
      </w:r>
      <w:r>
        <w:rPr>
          <w:rFonts w:ascii="Times New Roman" w:hAnsi="宋体" w:eastAsia="宋体"/>
          <w:sz w:val="24"/>
          <w:szCs w:val="24"/>
        </w:rPr>
        <w:t>部分人员的节能环保意识较差，不了解清洁生产及审核知识，因此在成立审核小组后，咨询单位对审核小组成员及公司各车间部门的领导骨干进行了</w:t>
      </w:r>
      <w:r>
        <w:rPr>
          <w:rFonts w:hint="eastAsia" w:ascii="Times New Roman" w:hAnsi="宋体" w:eastAsia="宋体"/>
          <w:sz w:val="24"/>
          <w:szCs w:val="24"/>
        </w:rPr>
        <w:t>3次</w:t>
      </w:r>
      <w:r>
        <w:rPr>
          <w:rFonts w:ascii="Times New Roman" w:hAnsi="宋体" w:eastAsia="宋体"/>
          <w:sz w:val="24"/>
          <w:szCs w:val="24"/>
        </w:rPr>
        <w:t>清洁生产及审核知识培训。</w:t>
      </w:r>
    </w:p>
    <w:p>
      <w:pPr>
        <w:spacing w:line="360" w:lineRule="auto"/>
        <w:jc w:val="center"/>
      </w:pPr>
      <w:r>
        <w:drawing>
          <wp:inline distT="0" distB="0" distL="114300" distR="114300">
            <wp:extent cx="4922520" cy="3276600"/>
            <wp:effectExtent l="0" t="0" r="1143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7"/>
                    <a:stretch>
                      <a:fillRect/>
                    </a:stretch>
                  </pic:blipFill>
                  <pic:spPr>
                    <a:xfrm>
                      <a:off x="0" y="0"/>
                      <a:ext cx="4922520" cy="3276600"/>
                    </a:xfrm>
                    <a:prstGeom prst="rect">
                      <a:avLst/>
                    </a:prstGeom>
                    <a:noFill/>
                    <a:ln>
                      <a:noFill/>
                    </a:ln>
                  </pic:spPr>
                </pic:pic>
              </a:graphicData>
            </a:graphic>
          </wp:inline>
        </w:drawing>
      </w:r>
    </w:p>
    <w:p>
      <w:pPr>
        <w:spacing w:line="360" w:lineRule="auto"/>
        <w:jc w:val="center"/>
        <w:rPr>
          <w:rFonts w:hint="default" w:eastAsiaTheme="minorEastAsia"/>
          <w:lang w:val="en-US" w:eastAsia="zh-CN"/>
        </w:rPr>
      </w:pPr>
      <w:r>
        <w:rPr>
          <w:rFonts w:hint="eastAsia"/>
          <w:lang w:val="en-US" w:eastAsia="zh-CN"/>
        </w:rPr>
        <w:t>清洁生产培训</w:t>
      </w:r>
    </w:p>
    <w:p>
      <w:pPr>
        <w:spacing w:line="360" w:lineRule="auto"/>
        <w:ind w:firstLine="482"/>
        <w:rPr>
          <w:rFonts w:ascii="Times New Roman" w:hAnsi="宋体" w:eastAsia="宋体"/>
          <w:sz w:val="24"/>
          <w:szCs w:val="24"/>
        </w:rPr>
      </w:pPr>
      <w:r>
        <w:rPr>
          <w:rFonts w:hint="eastAsia" w:ascii="Times New Roman" w:hAnsi="宋体" w:eastAsia="宋体"/>
          <w:sz w:val="24"/>
          <w:szCs w:val="24"/>
        </w:rPr>
        <w:t>培训主要分三个层次进行：</w:t>
      </w:r>
    </w:p>
    <w:p>
      <w:pPr>
        <w:spacing w:line="360" w:lineRule="auto"/>
        <w:ind w:firstLine="482"/>
        <w:rPr>
          <w:rFonts w:ascii="Times New Roman" w:hAnsi="宋体" w:eastAsia="宋体"/>
          <w:sz w:val="24"/>
          <w:szCs w:val="24"/>
        </w:rPr>
      </w:pPr>
      <w:r>
        <w:rPr>
          <w:rFonts w:hint="eastAsia" w:ascii="Times New Roman" w:hAnsi="宋体" w:eastAsia="宋体"/>
          <w:sz w:val="24"/>
          <w:szCs w:val="24"/>
        </w:rPr>
        <w:t>首先，由咨询服务单位的清洁生产老师就清洁生产审核概念、目的、意义、程序与工作内容及进度要求等，对公司中高层管理人员进行了宣讲。</w:t>
      </w:r>
    </w:p>
    <w:p>
      <w:pPr>
        <w:spacing w:line="360" w:lineRule="auto"/>
        <w:ind w:firstLine="482"/>
        <w:rPr>
          <w:rFonts w:ascii="Times New Roman" w:hAnsi="宋体" w:eastAsia="宋体"/>
          <w:sz w:val="24"/>
          <w:szCs w:val="24"/>
        </w:rPr>
      </w:pPr>
      <w:r>
        <w:rPr>
          <w:rFonts w:hint="eastAsia" w:ascii="Times New Roman" w:hAnsi="宋体" w:eastAsia="宋体"/>
          <w:sz w:val="24"/>
          <w:szCs w:val="24"/>
        </w:rPr>
        <w:t>其次，为了使全公司员工了解企业实施清洁生产的意义，掌握清洁生产审核的程序与方法，20</w:t>
      </w:r>
      <w:r>
        <w:rPr>
          <w:rFonts w:hint="eastAsia" w:ascii="Times New Roman" w:hAnsi="宋体" w:eastAsia="宋体"/>
          <w:sz w:val="24"/>
          <w:szCs w:val="24"/>
          <w:lang w:val="en-US" w:eastAsia="zh-CN"/>
        </w:rPr>
        <w:t>24</w:t>
      </w:r>
      <w:r>
        <w:rPr>
          <w:rFonts w:hint="eastAsia" w:ascii="Times New Roman" w:hAnsi="宋体" w:eastAsia="宋体"/>
          <w:sz w:val="24"/>
          <w:szCs w:val="24"/>
        </w:rPr>
        <w:t>年</w:t>
      </w:r>
      <w:r>
        <w:rPr>
          <w:rFonts w:hint="eastAsia" w:ascii="Times New Roman" w:hAnsi="宋体" w:eastAsia="宋体"/>
          <w:sz w:val="24"/>
          <w:szCs w:val="24"/>
          <w:lang w:val="en-US" w:eastAsia="zh-CN"/>
        </w:rPr>
        <w:t>1</w:t>
      </w:r>
      <w:r>
        <w:rPr>
          <w:rFonts w:hint="eastAsia" w:ascii="Times New Roman" w:hAnsi="宋体" w:eastAsia="宋体"/>
          <w:sz w:val="24"/>
          <w:szCs w:val="24"/>
        </w:rPr>
        <w:t>月起，多次组织各部门主管、车间骨干参加清洁生产宣讲会，由咨询服务单位老师进行宣讲，内容主要包括清洁生产的基本理念、产生背景、国内外清洁生产的状况，清洁生产技术的发展，清洁生产的末端治理的区别，开展清洁生产审核的必要性与可行性，清洁生产审核工作的内容与要求，清洁生产审核企业的社会责任等。</w:t>
      </w:r>
    </w:p>
    <w:p>
      <w:pPr>
        <w:spacing w:line="360" w:lineRule="auto"/>
        <w:ind w:firstLine="482"/>
        <w:rPr>
          <w:rFonts w:ascii="Times New Roman" w:hAnsi="宋体" w:eastAsia="宋体"/>
          <w:sz w:val="24"/>
          <w:szCs w:val="24"/>
        </w:rPr>
      </w:pPr>
      <w:r>
        <w:rPr>
          <w:rFonts w:hint="eastAsia" w:ascii="Times New Roman" w:hAnsi="宋体" w:eastAsia="宋体"/>
          <w:sz w:val="24"/>
          <w:szCs w:val="24"/>
        </w:rPr>
        <w:t>再次，对清洁生产审核小组成员进行专门的培训，培训的主要内容为清洁生产审核的工作程度与基本工作内容。结合案例，说明清洁生产是在生产过程中通过加强管理和使用新工艺、新技术或改变原材料、改进产品结构，达到节能、降耗、减污的目的，企业也将获得环境与经济效益。</w:t>
      </w:r>
    </w:p>
    <w:p>
      <w:pPr>
        <w:spacing w:line="360" w:lineRule="auto"/>
        <w:ind w:firstLine="482"/>
        <w:rPr>
          <w:rFonts w:ascii="Times New Roman" w:hAnsi="宋体" w:eastAsia="宋体"/>
          <w:sz w:val="24"/>
          <w:szCs w:val="24"/>
        </w:rPr>
      </w:pPr>
      <w:r>
        <w:rPr>
          <w:rFonts w:hint="eastAsia" w:ascii="Times New Roman" w:hAnsi="宋体" w:eastAsia="宋体"/>
          <w:sz w:val="24"/>
          <w:szCs w:val="24"/>
        </w:rPr>
        <w:t>2、集中学习与自学等</w:t>
      </w:r>
    </w:p>
    <w:p>
      <w:pPr>
        <w:spacing w:line="360" w:lineRule="auto"/>
        <w:ind w:firstLine="482"/>
        <w:rPr>
          <w:rFonts w:ascii="Times New Roman" w:hAnsi="宋体" w:eastAsia="宋体"/>
          <w:sz w:val="24"/>
          <w:szCs w:val="24"/>
        </w:rPr>
      </w:pPr>
      <w:r>
        <w:rPr>
          <w:rFonts w:hint="eastAsia" w:ascii="Times New Roman" w:hAnsi="宋体" w:eastAsia="宋体"/>
          <w:sz w:val="24"/>
          <w:szCs w:val="24"/>
        </w:rPr>
        <w:t>对未参与宣讲会的员工，公司要求各部门领导及车间技术骨干负责，充分利用各个部门、车间召开班前、班后会，结合岗位实际向员工宣讲，或由专业组长组织集体学习。同时，咨询服务单位将组织编写的《清洁生产宣传教育手册》发放到有关人员手上，让相关人员自学。《宣传手册》内容主要包括清洁生产及审核的基本知识、审核的工作程序、工作重点和难点以及审核工作的法律法规等。</w:t>
      </w:r>
    </w:p>
    <w:p>
      <w:pPr>
        <w:spacing w:line="360" w:lineRule="auto"/>
        <w:ind w:firstLine="482"/>
        <w:rPr>
          <w:rFonts w:ascii="Times New Roman" w:hAnsi="宋体" w:eastAsia="宋体"/>
          <w:sz w:val="24"/>
          <w:szCs w:val="24"/>
        </w:rPr>
      </w:pPr>
      <w:r>
        <w:rPr>
          <w:rFonts w:hint="eastAsia" w:ascii="Times New Roman" w:hAnsi="宋体" w:eastAsia="宋体"/>
          <w:sz w:val="24"/>
          <w:szCs w:val="24"/>
        </w:rPr>
        <w:t>3、开展合理化建议活动</w:t>
      </w:r>
    </w:p>
    <w:p>
      <w:pPr>
        <w:spacing w:line="360" w:lineRule="auto"/>
        <w:ind w:firstLine="482"/>
        <w:rPr>
          <w:rFonts w:ascii="Times New Roman" w:hAnsi="宋体" w:eastAsia="宋体"/>
          <w:sz w:val="24"/>
          <w:szCs w:val="24"/>
        </w:rPr>
      </w:pPr>
      <w:r>
        <w:rPr>
          <w:rFonts w:hint="eastAsia" w:ascii="Times New Roman" w:hAnsi="宋体" w:eastAsia="宋体"/>
          <w:sz w:val="24"/>
          <w:szCs w:val="24"/>
        </w:rPr>
        <w:t>为鼓励全体职工特别是一线工人积极提出清洁生产改进建议和方案，公司开展了持续的合理化建议活动，并对提出合理化建议的职工予以奖励。合理化建议表单</w:t>
      </w:r>
      <w:r>
        <w:rPr>
          <w:rFonts w:ascii="Times New Roman" w:hAnsi="宋体" w:eastAsia="宋体"/>
          <w:sz w:val="24"/>
          <w:szCs w:val="24"/>
        </w:rPr>
        <w:t>设计</w:t>
      </w:r>
      <w:r>
        <w:rPr>
          <w:rFonts w:hint="eastAsia" w:ascii="Times New Roman" w:hAnsi="宋体" w:eastAsia="宋体"/>
          <w:sz w:val="24"/>
          <w:szCs w:val="24"/>
        </w:rPr>
        <w:t>见表2-3。</w:t>
      </w:r>
    </w:p>
    <w:p>
      <w:pPr>
        <w:pStyle w:val="42"/>
        <w:rPr>
          <w:rFonts w:eastAsia="宋体"/>
          <w:b/>
        </w:rPr>
      </w:pPr>
      <w:r>
        <w:rPr>
          <w:rFonts w:eastAsia="宋体"/>
          <w:b/>
        </w:rPr>
        <w:t>表</w:t>
      </w:r>
      <w:r>
        <w:rPr>
          <w:rFonts w:hint="eastAsia" w:eastAsia="宋体"/>
          <w:b/>
        </w:rPr>
        <w:t>2</w:t>
      </w:r>
      <w:r>
        <w:rPr>
          <w:rFonts w:eastAsia="宋体"/>
          <w:b/>
        </w:rPr>
        <w:t>-</w:t>
      </w:r>
      <w:r>
        <w:rPr>
          <w:rFonts w:hint="eastAsia" w:eastAsia="宋体"/>
          <w:b/>
        </w:rPr>
        <w:t>3  清洁生产</w:t>
      </w:r>
      <w:r>
        <w:rPr>
          <w:rFonts w:eastAsia="宋体"/>
          <w:b/>
        </w:rPr>
        <w:t>合理化建议</w:t>
      </w:r>
      <w:r>
        <w:rPr>
          <w:rFonts w:hint="eastAsia" w:eastAsia="宋体"/>
          <w:b/>
        </w:rPr>
        <w:t>表</w:t>
      </w:r>
    </w:p>
    <w:tbl>
      <w:tblPr>
        <w:tblStyle w:val="27"/>
        <w:tblW w:w="8462"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8462"/>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5415" w:hRule="atLeast"/>
          <w:jc w:val="center"/>
        </w:trPr>
        <w:tc>
          <w:tcPr>
            <w:tcW w:w="8462" w:type="dxa"/>
          </w:tcPr>
          <w:p>
            <w:pPr>
              <w:pStyle w:val="44"/>
              <w:jc w:val="left"/>
              <w:rPr>
                <w:rFonts w:ascii="宋体" w:hAnsi="宋体" w:eastAsia="宋体"/>
                <w:kern w:val="0"/>
              </w:rPr>
            </w:pPr>
            <w:r>
              <w:rPr>
                <w:rFonts w:hint="eastAsia" w:ascii="宋体" w:hAnsi="宋体" w:eastAsia="宋体"/>
                <w:kern w:val="0"/>
              </w:rPr>
              <w:t xml:space="preserve">姓名                       部门                    联系电话             </w:t>
            </w:r>
          </w:p>
          <w:p>
            <w:pPr>
              <w:pStyle w:val="44"/>
              <w:jc w:val="left"/>
              <w:rPr>
                <w:rFonts w:ascii="宋体" w:hAnsi="宋体" w:eastAsia="宋体"/>
                <w:kern w:val="0"/>
              </w:rPr>
            </w:pPr>
            <w:r>
              <w:rPr>
                <w:rFonts w:hint="eastAsia" w:ascii="宋体" w:hAnsi="宋体" w:eastAsia="宋体"/>
                <w:kern w:val="0"/>
              </w:rPr>
              <w:t>建议的主要内容：</w:t>
            </w:r>
          </w:p>
          <w:p>
            <w:pPr>
              <w:pStyle w:val="44"/>
              <w:jc w:val="left"/>
              <w:rPr>
                <w:rFonts w:ascii="宋体" w:hAnsi="宋体" w:eastAsia="宋体"/>
                <w:kern w:val="0"/>
              </w:rPr>
            </w:pPr>
          </w:p>
          <w:p>
            <w:pPr>
              <w:pStyle w:val="38"/>
              <w:ind w:firstLine="480"/>
              <w:rPr>
                <w:rFonts w:ascii="宋体" w:hAnsi="宋体"/>
                <w:color w:val="auto"/>
              </w:rPr>
            </w:pPr>
          </w:p>
          <w:p>
            <w:pPr>
              <w:pStyle w:val="44"/>
              <w:jc w:val="left"/>
              <w:rPr>
                <w:rFonts w:ascii="宋体" w:hAnsi="宋体" w:eastAsia="宋体"/>
                <w:kern w:val="0"/>
              </w:rPr>
            </w:pPr>
            <w:r>
              <w:rPr>
                <w:rFonts w:hint="eastAsia" w:ascii="宋体" w:hAnsi="宋体" w:eastAsia="宋体"/>
                <w:kern w:val="0"/>
              </w:rPr>
              <w:t>可能产生的效益估算：</w:t>
            </w:r>
          </w:p>
          <w:p>
            <w:pPr>
              <w:pStyle w:val="44"/>
              <w:jc w:val="left"/>
              <w:rPr>
                <w:rFonts w:ascii="宋体" w:hAnsi="宋体" w:eastAsia="宋体"/>
                <w:kern w:val="0"/>
              </w:rPr>
            </w:pPr>
          </w:p>
          <w:p>
            <w:pPr>
              <w:pStyle w:val="44"/>
              <w:jc w:val="left"/>
              <w:rPr>
                <w:rFonts w:ascii="宋体" w:hAnsi="宋体" w:eastAsia="宋体"/>
                <w:kern w:val="0"/>
              </w:rPr>
            </w:pPr>
          </w:p>
          <w:p>
            <w:pPr>
              <w:pStyle w:val="44"/>
              <w:jc w:val="left"/>
              <w:rPr>
                <w:rFonts w:ascii="宋体" w:hAnsi="宋体" w:eastAsia="宋体"/>
                <w:kern w:val="0"/>
              </w:rPr>
            </w:pPr>
            <w:r>
              <w:rPr>
                <w:rFonts w:hint="eastAsia" w:ascii="宋体" w:hAnsi="宋体" w:eastAsia="宋体"/>
                <w:kern w:val="0"/>
              </w:rPr>
              <w:t>所需的投入估算：</w:t>
            </w:r>
          </w:p>
          <w:p>
            <w:pPr>
              <w:ind w:firstLine="480"/>
              <w:rPr>
                <w:rFonts w:ascii="宋体" w:hAnsi="宋体" w:eastAsia="宋体"/>
              </w:rPr>
            </w:pPr>
          </w:p>
          <w:p>
            <w:pPr>
              <w:ind w:firstLine="480"/>
              <w:rPr>
                <w:rFonts w:ascii="宋体" w:hAnsi="宋体" w:eastAsia="宋体"/>
              </w:rPr>
            </w:pPr>
          </w:p>
          <w:p>
            <w:pPr>
              <w:ind w:firstLine="480"/>
              <w:rPr>
                <w:rFonts w:ascii="宋体" w:hAnsi="宋体" w:eastAsia="宋体"/>
              </w:rPr>
            </w:pPr>
          </w:p>
          <w:p>
            <w:pPr>
              <w:ind w:firstLine="480"/>
              <w:rPr>
                <w:rFonts w:ascii="宋体" w:hAnsi="宋体" w:eastAsia="宋体"/>
              </w:rPr>
            </w:pPr>
          </w:p>
          <w:p>
            <w:pPr>
              <w:ind w:firstLine="480"/>
              <w:rPr>
                <w:rFonts w:ascii="宋体" w:hAnsi="宋体" w:eastAsia="宋体"/>
              </w:rPr>
            </w:pPr>
          </w:p>
          <w:p>
            <w:pPr>
              <w:rPr>
                <w:szCs w:val="21"/>
              </w:rPr>
            </w:pPr>
            <w:r>
              <w:rPr>
                <w:rFonts w:hint="eastAsia" w:ascii="宋体" w:hAnsi="宋体" w:eastAsia="宋体"/>
                <w:szCs w:val="21"/>
              </w:rPr>
              <w:t>备注：如已发现问题，但不知解决方法，也可先将问题提出来。</w:t>
            </w:r>
          </w:p>
        </w:tc>
      </w:tr>
    </w:tbl>
    <w:p>
      <w:pPr>
        <w:autoSpaceDE w:val="0"/>
        <w:autoSpaceDN w:val="0"/>
        <w:spacing w:line="360" w:lineRule="auto"/>
        <w:ind w:firstLine="482"/>
        <w:rPr>
          <w:rFonts w:ascii="Times New Roman" w:hAnsi="宋体" w:eastAsia="宋体"/>
          <w:sz w:val="24"/>
          <w:szCs w:val="24"/>
        </w:rPr>
      </w:pPr>
      <w:r>
        <w:rPr>
          <w:rFonts w:hint="eastAsia" w:ascii="Times New Roman" w:hAnsi="宋体" w:eastAsia="宋体"/>
          <w:sz w:val="24"/>
          <w:szCs w:val="24"/>
        </w:rPr>
        <w:t>4、</w:t>
      </w:r>
      <w:r>
        <w:rPr>
          <w:rFonts w:ascii="Times New Roman" w:hAnsi="宋体" w:eastAsia="宋体"/>
          <w:sz w:val="24"/>
          <w:szCs w:val="24"/>
        </w:rPr>
        <w:t>技术人员与</w:t>
      </w:r>
      <w:r>
        <w:rPr>
          <w:rFonts w:hint="eastAsia" w:ascii="Times New Roman" w:hAnsi="宋体" w:eastAsia="宋体"/>
          <w:sz w:val="24"/>
          <w:szCs w:val="24"/>
        </w:rPr>
        <w:t>企业</w:t>
      </w:r>
      <w:r>
        <w:rPr>
          <w:rFonts w:ascii="Times New Roman" w:hAnsi="宋体" w:eastAsia="宋体"/>
          <w:sz w:val="24"/>
          <w:szCs w:val="24"/>
        </w:rPr>
        <w:t>职工现场交流方式</w:t>
      </w:r>
    </w:p>
    <w:p>
      <w:pPr>
        <w:autoSpaceDE w:val="0"/>
        <w:autoSpaceDN w:val="0"/>
        <w:spacing w:line="360" w:lineRule="auto"/>
        <w:ind w:firstLine="482"/>
        <w:rPr>
          <w:rFonts w:ascii="Times New Roman" w:hAnsi="宋体" w:eastAsia="宋体"/>
          <w:sz w:val="24"/>
          <w:szCs w:val="24"/>
        </w:rPr>
      </w:pPr>
      <w:r>
        <w:rPr>
          <w:rFonts w:ascii="Times New Roman" w:hAnsi="宋体" w:eastAsia="宋体"/>
          <w:sz w:val="24"/>
          <w:szCs w:val="24"/>
        </w:rPr>
        <w:t>审核小组人员和清洁生产专家走进车间，与车间工人进行面对面的交流，听取他们对清洁生产的看法和对</w:t>
      </w:r>
      <w:r>
        <w:rPr>
          <w:rFonts w:hint="eastAsia" w:ascii="Times New Roman" w:hAnsi="宋体" w:eastAsia="宋体"/>
          <w:sz w:val="24"/>
          <w:szCs w:val="24"/>
        </w:rPr>
        <w:t>公司</w:t>
      </w:r>
      <w:r>
        <w:rPr>
          <w:rFonts w:ascii="Times New Roman" w:hAnsi="宋体" w:eastAsia="宋体"/>
          <w:sz w:val="24"/>
          <w:szCs w:val="24"/>
        </w:rPr>
        <w:t>开展清洁生产的建议，对于不理解清洁生产的员工还进行了当面讲解，并</w:t>
      </w:r>
      <w:r>
        <w:rPr>
          <w:rFonts w:hint="eastAsia" w:ascii="Times New Roman" w:hAnsi="宋体" w:eastAsia="宋体"/>
          <w:sz w:val="24"/>
          <w:szCs w:val="24"/>
        </w:rPr>
        <w:t>通过现场照片</w:t>
      </w:r>
      <w:r>
        <w:rPr>
          <w:rFonts w:ascii="Times New Roman" w:hAnsi="宋体" w:eastAsia="宋体"/>
          <w:sz w:val="24"/>
          <w:szCs w:val="24"/>
        </w:rPr>
        <w:t>启发他们提出清洁生产方案</w:t>
      </w:r>
      <w:r>
        <w:rPr>
          <w:rFonts w:hint="eastAsia" w:ascii="Times New Roman" w:hAnsi="宋体" w:eastAsia="宋体"/>
          <w:sz w:val="24"/>
          <w:szCs w:val="24"/>
        </w:rPr>
        <w:t>，寻找清洁生产机会</w:t>
      </w:r>
      <w:r>
        <w:rPr>
          <w:rFonts w:ascii="Times New Roman" w:hAnsi="宋体" w:eastAsia="宋体"/>
          <w:sz w:val="24"/>
          <w:szCs w:val="24"/>
        </w:rPr>
        <w:t>。</w:t>
      </w:r>
    </w:p>
    <w:p>
      <w:pPr>
        <w:autoSpaceDE w:val="0"/>
        <w:autoSpaceDN w:val="0"/>
        <w:spacing w:line="360" w:lineRule="auto"/>
        <w:ind w:firstLine="482"/>
        <w:rPr>
          <w:rFonts w:ascii="Times New Roman" w:hAnsi="宋体" w:eastAsia="宋体"/>
          <w:sz w:val="24"/>
          <w:szCs w:val="24"/>
        </w:rPr>
      </w:pPr>
      <w:r>
        <w:rPr>
          <w:rFonts w:ascii="Times New Roman" w:hAnsi="宋体" w:eastAsia="宋体"/>
          <w:sz w:val="24"/>
          <w:szCs w:val="24"/>
        </w:rPr>
        <w:t>通过以上一系列宣传教育工作，使一些干部职工对清洁生产有了一个较为清楚、全面的认识，分清了清洁生产与传统的末端治理的区别和利弊，提高了自觉参与清洁生产工作的积极性和责任感，为开展清洁生产审核工作营造了较好的氛围。</w:t>
      </w:r>
    </w:p>
    <w:p>
      <w:pPr>
        <w:autoSpaceDE w:val="0"/>
        <w:autoSpaceDN w:val="0"/>
        <w:spacing w:line="360" w:lineRule="auto"/>
        <w:ind w:firstLine="482"/>
        <w:rPr>
          <w:rFonts w:ascii="Times New Roman" w:hAnsi="宋体" w:eastAsia="宋体"/>
          <w:sz w:val="24"/>
          <w:szCs w:val="24"/>
        </w:rPr>
      </w:pPr>
      <w:r>
        <w:rPr>
          <w:rFonts w:hint="eastAsia" w:ascii="Times New Roman" w:hAnsi="宋体" w:eastAsia="宋体"/>
          <w:sz w:val="24"/>
          <w:szCs w:val="24"/>
        </w:rPr>
        <w:t>5、清洁生产审核障碍表现及解决方法</w:t>
      </w:r>
    </w:p>
    <w:p>
      <w:pPr>
        <w:spacing w:line="360" w:lineRule="auto"/>
        <w:ind w:firstLine="482"/>
        <w:rPr>
          <w:rFonts w:ascii="Times New Roman" w:hAnsi="宋体" w:eastAsia="宋体"/>
          <w:sz w:val="24"/>
          <w:szCs w:val="24"/>
        </w:rPr>
      </w:pPr>
      <w:r>
        <w:rPr>
          <w:rFonts w:hint="eastAsia" w:ascii="Times New Roman" w:hAnsi="宋体" w:eastAsia="宋体"/>
          <w:sz w:val="24"/>
          <w:szCs w:val="24"/>
        </w:rPr>
        <w:t>公司开展清洁生产审核工作，难免存在一些</w:t>
      </w:r>
      <w:r>
        <w:rPr>
          <w:rFonts w:ascii="Times New Roman" w:hAnsi="宋体" w:eastAsia="宋体"/>
          <w:sz w:val="24"/>
          <w:szCs w:val="24"/>
        </w:rPr>
        <w:t>障碍</w:t>
      </w:r>
      <w:r>
        <w:rPr>
          <w:rFonts w:hint="eastAsia" w:ascii="Times New Roman" w:hAnsi="宋体" w:eastAsia="宋体"/>
          <w:sz w:val="24"/>
          <w:szCs w:val="24"/>
        </w:rPr>
        <w:t>，但</w:t>
      </w:r>
      <w:r>
        <w:rPr>
          <w:rFonts w:ascii="Times New Roman" w:hAnsi="宋体" w:eastAsia="宋体"/>
          <w:sz w:val="24"/>
          <w:szCs w:val="24"/>
        </w:rPr>
        <w:t>这些障碍的克服</w:t>
      </w:r>
      <w:r>
        <w:rPr>
          <w:rFonts w:hint="eastAsia" w:ascii="Times New Roman" w:hAnsi="宋体" w:eastAsia="宋体"/>
          <w:sz w:val="24"/>
          <w:szCs w:val="24"/>
        </w:rPr>
        <w:t>又</w:t>
      </w:r>
      <w:r>
        <w:rPr>
          <w:rFonts w:ascii="Times New Roman" w:hAnsi="宋体" w:eastAsia="宋体"/>
          <w:sz w:val="24"/>
          <w:szCs w:val="24"/>
        </w:rPr>
        <w:t>有利于推动清洁生产审核工作</w:t>
      </w:r>
      <w:r>
        <w:rPr>
          <w:rFonts w:hint="eastAsia" w:ascii="Times New Roman" w:hAnsi="宋体" w:eastAsia="宋体"/>
          <w:sz w:val="24"/>
          <w:szCs w:val="24"/>
        </w:rPr>
        <w:t>的实施，因此审核小组认为</w:t>
      </w:r>
      <w:r>
        <w:rPr>
          <w:rFonts w:ascii="Times New Roman" w:hAnsi="宋体" w:eastAsia="宋体"/>
          <w:sz w:val="24"/>
          <w:szCs w:val="24"/>
        </w:rPr>
        <w:t>很有必要</w:t>
      </w:r>
      <w:r>
        <w:rPr>
          <w:rFonts w:hint="eastAsia" w:ascii="Times New Roman" w:hAnsi="宋体" w:eastAsia="宋体"/>
          <w:sz w:val="24"/>
          <w:szCs w:val="24"/>
        </w:rPr>
        <w:t>了解</w:t>
      </w:r>
      <w:r>
        <w:rPr>
          <w:rFonts w:ascii="Times New Roman" w:hAnsi="宋体" w:eastAsia="宋体"/>
          <w:sz w:val="24"/>
          <w:szCs w:val="24"/>
        </w:rPr>
        <w:t>清</w:t>
      </w:r>
      <w:r>
        <w:rPr>
          <w:rFonts w:hint="eastAsia" w:ascii="Times New Roman" w:hAnsi="宋体" w:eastAsia="宋体"/>
          <w:sz w:val="24"/>
          <w:szCs w:val="24"/>
        </w:rPr>
        <w:t>楚公司</w:t>
      </w:r>
      <w:r>
        <w:rPr>
          <w:rFonts w:ascii="Times New Roman" w:hAnsi="宋体" w:eastAsia="宋体"/>
          <w:sz w:val="24"/>
          <w:szCs w:val="24"/>
        </w:rPr>
        <w:t>在审核中存在的障碍</w:t>
      </w:r>
      <w:r>
        <w:rPr>
          <w:rFonts w:hint="eastAsia" w:ascii="Times New Roman" w:hAnsi="宋体" w:eastAsia="宋体"/>
          <w:sz w:val="24"/>
          <w:szCs w:val="24"/>
        </w:rPr>
        <w:t>。于是</w:t>
      </w:r>
      <w:r>
        <w:rPr>
          <w:rFonts w:ascii="Times New Roman" w:hAnsi="宋体" w:eastAsia="宋体"/>
          <w:sz w:val="24"/>
          <w:szCs w:val="24"/>
        </w:rPr>
        <w:t>审核小组在全厂</w:t>
      </w:r>
      <w:r>
        <w:rPr>
          <w:rFonts w:hint="eastAsia" w:ascii="Times New Roman" w:hAnsi="宋体" w:eastAsia="宋体"/>
          <w:sz w:val="24"/>
          <w:szCs w:val="24"/>
        </w:rPr>
        <w:t>范围内</w:t>
      </w:r>
      <w:r>
        <w:rPr>
          <w:rFonts w:ascii="Times New Roman" w:hAnsi="宋体" w:eastAsia="宋体"/>
          <w:sz w:val="24"/>
          <w:szCs w:val="24"/>
        </w:rPr>
        <w:t>开展了清洁生产审核障碍调查，并针对调查的结果进行了</w:t>
      </w:r>
      <w:r>
        <w:rPr>
          <w:rFonts w:hint="eastAsia" w:ascii="Times New Roman" w:hAnsi="宋体" w:eastAsia="宋体"/>
          <w:sz w:val="24"/>
          <w:szCs w:val="24"/>
        </w:rPr>
        <w:t>统计和</w:t>
      </w:r>
      <w:r>
        <w:rPr>
          <w:rFonts w:ascii="Times New Roman" w:hAnsi="宋体" w:eastAsia="宋体"/>
          <w:sz w:val="24"/>
          <w:szCs w:val="24"/>
        </w:rPr>
        <w:t>分析，提出</w:t>
      </w:r>
      <w:r>
        <w:rPr>
          <w:rFonts w:hint="eastAsia" w:ascii="Times New Roman" w:hAnsi="宋体" w:eastAsia="宋体"/>
          <w:sz w:val="24"/>
          <w:szCs w:val="24"/>
        </w:rPr>
        <w:t>了</w:t>
      </w:r>
      <w:r>
        <w:rPr>
          <w:rFonts w:ascii="Times New Roman" w:hAnsi="宋体" w:eastAsia="宋体"/>
          <w:sz w:val="24"/>
          <w:szCs w:val="24"/>
        </w:rPr>
        <w:t>障碍</w:t>
      </w:r>
      <w:r>
        <w:rPr>
          <w:rFonts w:hint="eastAsia" w:ascii="Times New Roman" w:hAnsi="宋体" w:eastAsia="宋体"/>
          <w:sz w:val="24"/>
          <w:szCs w:val="24"/>
        </w:rPr>
        <w:t>的</w:t>
      </w:r>
      <w:r>
        <w:rPr>
          <w:rFonts w:ascii="Times New Roman" w:hAnsi="宋体" w:eastAsia="宋体"/>
          <w:sz w:val="24"/>
          <w:szCs w:val="24"/>
        </w:rPr>
        <w:t>解决方法。</w:t>
      </w:r>
    </w:p>
    <w:p>
      <w:pPr>
        <w:spacing w:line="360" w:lineRule="auto"/>
        <w:ind w:firstLine="482"/>
        <w:rPr>
          <w:rFonts w:ascii="Times New Roman" w:hAnsi="宋体" w:eastAsia="宋体"/>
          <w:sz w:val="24"/>
          <w:szCs w:val="24"/>
        </w:rPr>
      </w:pPr>
      <w:r>
        <w:rPr>
          <w:rFonts w:ascii="Times New Roman" w:hAnsi="宋体" w:eastAsia="宋体"/>
          <w:sz w:val="24"/>
          <w:szCs w:val="24"/>
        </w:rPr>
        <w:t>针对审核中遇到的各种障碍，</w:t>
      </w:r>
      <w:r>
        <w:rPr>
          <w:rFonts w:hint="eastAsia" w:ascii="Times New Roman" w:hAnsi="宋体" w:eastAsia="宋体"/>
          <w:sz w:val="24"/>
          <w:szCs w:val="24"/>
        </w:rPr>
        <w:t>咨询小</w:t>
      </w:r>
      <w:r>
        <w:rPr>
          <w:rFonts w:ascii="Times New Roman" w:hAnsi="宋体" w:eastAsia="宋体"/>
          <w:sz w:val="24"/>
          <w:szCs w:val="24"/>
        </w:rPr>
        <w:t>组</w:t>
      </w:r>
      <w:r>
        <w:rPr>
          <w:rFonts w:hint="eastAsia" w:ascii="Times New Roman" w:hAnsi="宋体" w:eastAsia="宋体"/>
          <w:sz w:val="24"/>
          <w:szCs w:val="24"/>
        </w:rPr>
        <w:t>和工作小组</w:t>
      </w:r>
      <w:r>
        <w:rPr>
          <w:rFonts w:ascii="Times New Roman" w:hAnsi="宋体" w:eastAsia="宋体"/>
          <w:sz w:val="24"/>
          <w:szCs w:val="24"/>
        </w:rPr>
        <w:t>反复向大家阐明清洁生产的内涵；工作小组通过总结已进行过清洁生产审核的公司的成功经验，用实例指出清洁生产的巨大潜力，很大程度是蕴藏在公司日常工作和管理中。</w:t>
      </w:r>
    </w:p>
    <w:p>
      <w:pPr>
        <w:spacing w:line="360" w:lineRule="auto"/>
        <w:ind w:firstLine="482"/>
        <w:rPr>
          <w:rFonts w:ascii="Times New Roman" w:hAnsi="宋体" w:eastAsia="宋体"/>
          <w:sz w:val="24"/>
          <w:szCs w:val="24"/>
        </w:rPr>
      </w:pPr>
      <w:r>
        <w:rPr>
          <w:rFonts w:ascii="Times New Roman" w:hAnsi="宋体" w:eastAsia="宋体"/>
          <w:sz w:val="24"/>
          <w:szCs w:val="24"/>
        </w:rPr>
        <w:t>清洁生产</w:t>
      </w:r>
      <w:r>
        <w:rPr>
          <w:rFonts w:hint="eastAsia" w:ascii="Times New Roman" w:hAnsi="宋体" w:eastAsia="宋体"/>
          <w:sz w:val="24"/>
          <w:szCs w:val="24"/>
        </w:rPr>
        <w:t>审核</w:t>
      </w:r>
      <w:r>
        <w:rPr>
          <w:rFonts w:ascii="Times New Roman" w:hAnsi="宋体" w:eastAsia="宋体"/>
          <w:sz w:val="24"/>
          <w:szCs w:val="24"/>
        </w:rPr>
        <w:t>中遇到的障碍及解决办法如表</w:t>
      </w:r>
      <w:r>
        <w:rPr>
          <w:rFonts w:hint="eastAsia" w:ascii="Times New Roman" w:hAnsi="宋体" w:eastAsia="宋体"/>
          <w:sz w:val="24"/>
          <w:szCs w:val="24"/>
        </w:rPr>
        <w:t>2</w:t>
      </w:r>
      <w:r>
        <w:rPr>
          <w:rFonts w:ascii="Times New Roman" w:hAnsi="宋体" w:eastAsia="宋体"/>
          <w:sz w:val="24"/>
          <w:szCs w:val="24"/>
        </w:rPr>
        <w:t>-</w:t>
      </w:r>
      <w:r>
        <w:rPr>
          <w:rFonts w:hint="eastAsia" w:ascii="Times New Roman" w:hAnsi="宋体" w:eastAsia="宋体"/>
          <w:sz w:val="24"/>
          <w:szCs w:val="24"/>
        </w:rPr>
        <w:t>4。</w:t>
      </w:r>
    </w:p>
    <w:p>
      <w:pPr>
        <w:pStyle w:val="42"/>
        <w:rPr>
          <w:rFonts w:eastAsia="宋体"/>
          <w:b/>
        </w:rPr>
      </w:pPr>
      <w:r>
        <w:rPr>
          <w:rFonts w:eastAsia="宋体"/>
          <w:b/>
        </w:rPr>
        <w:t>表</w:t>
      </w:r>
      <w:r>
        <w:rPr>
          <w:rFonts w:hint="eastAsia" w:eastAsia="宋体"/>
          <w:b/>
        </w:rPr>
        <w:t>2</w:t>
      </w:r>
      <w:r>
        <w:rPr>
          <w:rFonts w:eastAsia="宋体"/>
          <w:b/>
        </w:rPr>
        <w:t>-</w:t>
      </w:r>
      <w:r>
        <w:rPr>
          <w:rFonts w:hint="eastAsia" w:eastAsia="宋体"/>
          <w:b/>
        </w:rPr>
        <w:t>4</w:t>
      </w:r>
      <w:r>
        <w:rPr>
          <w:rFonts w:eastAsia="宋体"/>
          <w:b/>
        </w:rPr>
        <w:t xml:space="preserve"> </w:t>
      </w:r>
      <w:r>
        <w:rPr>
          <w:rFonts w:hint="eastAsia" w:eastAsia="宋体"/>
          <w:b/>
        </w:rPr>
        <w:t xml:space="preserve"> </w:t>
      </w:r>
      <w:r>
        <w:rPr>
          <w:rFonts w:eastAsia="宋体"/>
          <w:b/>
        </w:rPr>
        <w:t>清洁生产障碍及解决办法</w:t>
      </w:r>
      <w:r>
        <w:rPr>
          <w:rFonts w:hint="eastAsia" w:eastAsia="宋体"/>
          <w:b/>
        </w:rPr>
        <w:t>一览表</w:t>
      </w:r>
    </w:p>
    <w:tbl>
      <w:tblPr>
        <w:tblStyle w:val="27"/>
        <w:tblW w:w="8720" w:type="dxa"/>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9"/>
        <w:gridCol w:w="3843"/>
        <w:gridCol w:w="41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82" w:type="dxa"/>
            <w:gridSpan w:val="2"/>
            <w:vAlign w:val="center"/>
          </w:tcPr>
          <w:p>
            <w:pPr>
              <w:pStyle w:val="44"/>
              <w:snapToGrid w:val="0"/>
              <w:spacing w:beforeLines="20" w:line="240" w:lineRule="auto"/>
              <w:rPr>
                <w:rFonts w:ascii="宋体" w:hAnsi="宋体" w:eastAsia="宋体"/>
                <w:szCs w:val="21"/>
              </w:rPr>
            </w:pPr>
            <w:r>
              <w:rPr>
                <w:rFonts w:ascii="宋体" w:hAnsi="宋体" w:eastAsia="宋体"/>
                <w:szCs w:val="21"/>
              </w:rPr>
              <w:t>障碍</w:t>
            </w:r>
            <w:r>
              <w:rPr>
                <w:rFonts w:hint="eastAsia" w:ascii="宋体" w:hAnsi="宋体" w:eastAsia="宋体"/>
                <w:szCs w:val="21"/>
              </w:rPr>
              <w:t>表现</w:t>
            </w:r>
          </w:p>
        </w:tc>
        <w:tc>
          <w:tcPr>
            <w:tcW w:w="4138" w:type="dxa"/>
            <w:vAlign w:val="center"/>
          </w:tcPr>
          <w:p>
            <w:pPr>
              <w:pStyle w:val="44"/>
              <w:snapToGrid w:val="0"/>
              <w:spacing w:beforeLines="20" w:line="240" w:lineRule="auto"/>
              <w:rPr>
                <w:rFonts w:ascii="宋体" w:hAnsi="宋体" w:eastAsia="宋体"/>
                <w:szCs w:val="21"/>
              </w:rPr>
            </w:pPr>
            <w:r>
              <w:rPr>
                <w:rFonts w:ascii="宋体" w:hAnsi="宋体" w:eastAsia="宋体"/>
                <w:szCs w:val="21"/>
              </w:rPr>
              <w:t>解决办法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8" w:hRule="atLeast"/>
        </w:trPr>
        <w:tc>
          <w:tcPr>
            <w:tcW w:w="739" w:type="dxa"/>
            <w:vMerge w:val="restart"/>
            <w:vAlign w:val="center"/>
          </w:tcPr>
          <w:p>
            <w:pPr>
              <w:pStyle w:val="44"/>
              <w:snapToGrid w:val="0"/>
              <w:spacing w:beforeLines="20" w:line="240" w:lineRule="auto"/>
              <w:rPr>
                <w:rFonts w:ascii="宋体" w:hAnsi="宋体" w:eastAsia="宋体"/>
                <w:szCs w:val="21"/>
              </w:rPr>
            </w:pPr>
            <w:r>
              <w:rPr>
                <w:rFonts w:ascii="宋体" w:hAnsi="宋体" w:eastAsia="宋体"/>
                <w:szCs w:val="21"/>
              </w:rPr>
              <w:t>思想障碍</w:t>
            </w: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不了解清洁生产概念、清洁生产就是清洁卫生、清洁生产就是环保治理、清洁生产是公司环保部门的事情</w:t>
            </w:r>
          </w:p>
        </w:tc>
        <w:tc>
          <w:tcPr>
            <w:tcW w:w="4138" w:type="dxa"/>
            <w:vAlign w:val="center"/>
          </w:tcPr>
          <w:p>
            <w:pPr>
              <w:pStyle w:val="44"/>
              <w:snapToGrid w:val="0"/>
              <w:spacing w:beforeLines="20" w:line="240" w:lineRule="auto"/>
              <w:rPr>
                <w:rFonts w:ascii="宋体" w:hAnsi="宋体" w:eastAsia="宋体"/>
                <w:szCs w:val="21"/>
              </w:rPr>
            </w:pPr>
            <w:r>
              <w:rPr>
                <w:rFonts w:ascii="宋体" w:hAnsi="宋体" w:eastAsia="宋体"/>
                <w:szCs w:val="21"/>
              </w:rPr>
              <w:t>与一线员工进行面对面的交谈，使人人参与的观念深入每一位员工的生产活动，强调</w:t>
            </w:r>
            <w:r>
              <w:rPr>
                <w:rFonts w:hint="eastAsia" w:ascii="宋体" w:hAnsi="宋体" w:eastAsia="宋体"/>
                <w:szCs w:val="21"/>
              </w:rPr>
              <w:t>公司</w:t>
            </w:r>
            <w:r>
              <w:rPr>
                <w:rFonts w:ascii="宋体" w:hAnsi="宋体" w:eastAsia="宋体"/>
                <w:szCs w:val="21"/>
              </w:rPr>
              <w:t>清洁生产审核的核心思想是</w:t>
            </w:r>
            <w:r>
              <w:rPr>
                <w:rFonts w:hint="eastAsia" w:ascii="宋体" w:hAnsi="宋体" w:eastAsia="宋体"/>
                <w:szCs w:val="21"/>
              </w:rPr>
              <w:t>“</w:t>
            </w:r>
            <w:r>
              <w:rPr>
                <w:rFonts w:ascii="宋体" w:hAnsi="宋体" w:eastAsia="宋体"/>
                <w:szCs w:val="21"/>
              </w:rPr>
              <w:t>从我做起、从现在做起</w:t>
            </w:r>
            <w:r>
              <w:rPr>
                <w:rFonts w:hint="eastAsia" w:ascii="宋体" w:hAnsi="宋体"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dxa"/>
            <w:vMerge w:val="continue"/>
            <w:vAlign w:val="center"/>
          </w:tcPr>
          <w:p>
            <w:pPr>
              <w:pStyle w:val="44"/>
              <w:snapToGrid w:val="0"/>
              <w:spacing w:beforeLines="20" w:line="240" w:lineRule="auto"/>
              <w:rPr>
                <w:rFonts w:ascii="宋体" w:hAnsi="宋体" w:eastAsia="宋体"/>
                <w:szCs w:val="21"/>
              </w:rPr>
            </w:pP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本厂区或者岗位没有清洁生产潜力</w:t>
            </w:r>
          </w:p>
        </w:tc>
        <w:tc>
          <w:tcPr>
            <w:tcW w:w="4138"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从清洁生产的八个方面分析清洁生产潜力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dxa"/>
            <w:vMerge w:val="continue"/>
            <w:vAlign w:val="center"/>
          </w:tcPr>
          <w:p>
            <w:pPr>
              <w:pStyle w:val="44"/>
              <w:snapToGrid w:val="0"/>
              <w:spacing w:beforeLines="20" w:line="240" w:lineRule="auto"/>
              <w:rPr>
                <w:rFonts w:ascii="宋体" w:hAnsi="宋体" w:eastAsia="宋体"/>
                <w:szCs w:val="21"/>
              </w:rPr>
            </w:pP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生产、环保装置已达标，没必要再搞清洁生产</w:t>
            </w:r>
          </w:p>
        </w:tc>
        <w:tc>
          <w:tcPr>
            <w:tcW w:w="4138"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从分析流程开始，说明我们身边依然存在清洁生产潜力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dxa"/>
            <w:vMerge w:val="continue"/>
            <w:vAlign w:val="center"/>
          </w:tcPr>
          <w:p>
            <w:pPr>
              <w:pStyle w:val="44"/>
              <w:snapToGrid w:val="0"/>
              <w:spacing w:beforeLines="20" w:line="240" w:lineRule="auto"/>
              <w:rPr>
                <w:rFonts w:ascii="宋体" w:hAnsi="宋体" w:eastAsia="宋体"/>
                <w:szCs w:val="21"/>
              </w:rPr>
            </w:pP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清洁生产审核工作程序复杂，担心会影响生产</w:t>
            </w:r>
          </w:p>
        </w:tc>
        <w:tc>
          <w:tcPr>
            <w:tcW w:w="4138"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讲清审核的工作量和它可能带来的各种效益之间的关系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739" w:type="dxa"/>
            <w:vMerge w:val="restart"/>
            <w:vAlign w:val="center"/>
          </w:tcPr>
          <w:p>
            <w:pPr>
              <w:pStyle w:val="44"/>
              <w:snapToGrid w:val="0"/>
              <w:spacing w:beforeLines="20" w:line="240" w:lineRule="auto"/>
              <w:rPr>
                <w:rFonts w:ascii="宋体" w:hAnsi="宋体" w:eastAsia="宋体"/>
                <w:szCs w:val="21"/>
              </w:rPr>
            </w:pPr>
            <w:r>
              <w:rPr>
                <w:rFonts w:ascii="宋体" w:hAnsi="宋体" w:eastAsia="宋体"/>
                <w:szCs w:val="21"/>
              </w:rPr>
              <w:t>技术障碍</w:t>
            </w: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有些清洁生产技术往往给习惯于传统作业的工人带来麻烦，不易于贯彻实施</w:t>
            </w:r>
          </w:p>
        </w:tc>
        <w:tc>
          <w:tcPr>
            <w:tcW w:w="4138"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尽可能选择易于实施的清洁生产方案，并定期给操作工人作技能培训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739" w:type="dxa"/>
            <w:vMerge w:val="continue"/>
            <w:vAlign w:val="center"/>
          </w:tcPr>
          <w:p>
            <w:pPr>
              <w:pStyle w:val="44"/>
              <w:snapToGrid w:val="0"/>
              <w:spacing w:beforeLines="20" w:line="240" w:lineRule="auto"/>
              <w:rPr>
                <w:rFonts w:ascii="宋体" w:hAnsi="宋体" w:eastAsia="宋体"/>
                <w:szCs w:val="21"/>
              </w:rPr>
            </w:pP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有些清洁生产技术已应用，但无法达到理论效果</w:t>
            </w:r>
          </w:p>
        </w:tc>
        <w:tc>
          <w:tcPr>
            <w:tcW w:w="4138"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与企业生产技术人员一起沟通，分析可能的原因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pPr>
              <w:pStyle w:val="44"/>
              <w:snapToGrid w:val="0"/>
              <w:spacing w:beforeLines="20" w:line="240" w:lineRule="auto"/>
              <w:rPr>
                <w:rFonts w:ascii="宋体" w:hAnsi="宋体" w:eastAsia="宋体"/>
                <w:szCs w:val="21"/>
              </w:rPr>
            </w:pPr>
            <w:r>
              <w:rPr>
                <w:rFonts w:ascii="宋体" w:hAnsi="宋体" w:eastAsia="宋体"/>
                <w:szCs w:val="21"/>
              </w:rPr>
              <w:t>经济障碍</w:t>
            </w: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清洁生产会提高企业的生产成本，降低企业竞争力</w:t>
            </w:r>
          </w:p>
        </w:tc>
        <w:tc>
          <w:tcPr>
            <w:tcW w:w="4138"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以各行业的清洁生产成功案例证明清洁生产会提高公司竞争力，降低生产成本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739" w:type="dxa"/>
            <w:vMerge w:val="restart"/>
            <w:vAlign w:val="center"/>
          </w:tcPr>
          <w:p>
            <w:pPr>
              <w:pStyle w:val="44"/>
              <w:snapToGrid w:val="0"/>
              <w:spacing w:beforeLines="20" w:line="240" w:lineRule="auto"/>
              <w:rPr>
                <w:rFonts w:ascii="宋体" w:hAnsi="宋体" w:eastAsia="宋体"/>
                <w:szCs w:val="21"/>
              </w:rPr>
            </w:pPr>
            <w:r>
              <w:rPr>
                <w:rFonts w:ascii="宋体" w:hAnsi="宋体" w:eastAsia="宋体"/>
                <w:szCs w:val="21"/>
              </w:rPr>
              <w:t>政策法规</w:t>
            </w: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对</w:t>
            </w:r>
            <w:r>
              <w:rPr>
                <w:rFonts w:ascii="宋体" w:hAnsi="宋体" w:eastAsia="宋体"/>
                <w:szCs w:val="21"/>
              </w:rPr>
              <w:t>清洁生产促进法和当地</w:t>
            </w:r>
            <w:r>
              <w:rPr>
                <w:rFonts w:hint="eastAsia" w:ascii="宋体" w:hAnsi="宋体" w:eastAsia="宋体"/>
                <w:szCs w:val="21"/>
              </w:rPr>
              <w:t>有关促进</w:t>
            </w:r>
            <w:r>
              <w:rPr>
                <w:rFonts w:ascii="宋体" w:hAnsi="宋体" w:eastAsia="宋体"/>
                <w:szCs w:val="21"/>
              </w:rPr>
              <w:t>清洁生产的政策了解</w:t>
            </w:r>
            <w:r>
              <w:rPr>
                <w:rFonts w:hint="eastAsia" w:ascii="宋体" w:hAnsi="宋体" w:eastAsia="宋体"/>
                <w:szCs w:val="21"/>
              </w:rPr>
              <w:t>不全面</w:t>
            </w:r>
          </w:p>
        </w:tc>
        <w:tc>
          <w:tcPr>
            <w:tcW w:w="4138" w:type="dxa"/>
            <w:vMerge w:val="restart"/>
            <w:vAlign w:val="center"/>
          </w:tcPr>
          <w:p>
            <w:pPr>
              <w:pStyle w:val="44"/>
              <w:snapToGrid w:val="0"/>
              <w:spacing w:beforeLines="20" w:line="240" w:lineRule="auto"/>
              <w:rPr>
                <w:rFonts w:ascii="宋体" w:hAnsi="宋体" w:eastAsia="宋体"/>
                <w:szCs w:val="21"/>
              </w:rPr>
            </w:pPr>
            <w:r>
              <w:rPr>
                <w:rFonts w:ascii="宋体" w:hAnsi="宋体" w:eastAsia="宋体"/>
                <w:szCs w:val="21"/>
              </w:rPr>
              <w:t>将清洁生产促进法和</w:t>
            </w:r>
            <w:r>
              <w:rPr>
                <w:rFonts w:hint="eastAsia" w:ascii="宋体" w:hAnsi="宋体" w:eastAsia="宋体"/>
                <w:szCs w:val="21"/>
              </w:rPr>
              <w:t>湖南省</w:t>
            </w:r>
            <w:r>
              <w:rPr>
                <w:rFonts w:ascii="宋体" w:hAnsi="宋体" w:eastAsia="宋体"/>
                <w:szCs w:val="21"/>
              </w:rPr>
              <w:t>清洁生产政策纳入清洁生产宣传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739" w:type="dxa"/>
            <w:vMerge w:val="continue"/>
            <w:vAlign w:val="center"/>
          </w:tcPr>
          <w:p>
            <w:pPr>
              <w:pStyle w:val="44"/>
              <w:snapToGrid w:val="0"/>
              <w:spacing w:beforeLines="20" w:line="240" w:lineRule="auto"/>
              <w:rPr>
                <w:rFonts w:ascii="宋体" w:hAnsi="宋体" w:eastAsia="宋体"/>
                <w:szCs w:val="21"/>
              </w:rPr>
            </w:pPr>
          </w:p>
        </w:tc>
        <w:tc>
          <w:tcPr>
            <w:tcW w:w="3843" w:type="dxa"/>
            <w:vAlign w:val="center"/>
          </w:tcPr>
          <w:p>
            <w:pPr>
              <w:pStyle w:val="44"/>
              <w:snapToGrid w:val="0"/>
              <w:spacing w:beforeLines="20" w:line="240" w:lineRule="auto"/>
              <w:rPr>
                <w:rFonts w:ascii="宋体" w:hAnsi="宋体" w:eastAsia="宋体"/>
                <w:szCs w:val="21"/>
              </w:rPr>
            </w:pPr>
            <w:r>
              <w:rPr>
                <w:rFonts w:hint="eastAsia" w:ascii="宋体" w:hAnsi="宋体" w:eastAsia="宋体"/>
                <w:szCs w:val="21"/>
              </w:rPr>
              <w:t>当地无清洁生产激励政策</w:t>
            </w:r>
          </w:p>
        </w:tc>
        <w:tc>
          <w:tcPr>
            <w:tcW w:w="4138" w:type="dxa"/>
            <w:vMerge w:val="continue"/>
            <w:vAlign w:val="center"/>
          </w:tcPr>
          <w:p>
            <w:pPr>
              <w:pStyle w:val="44"/>
              <w:snapToGrid w:val="0"/>
              <w:spacing w:beforeLines="20" w:line="240" w:lineRule="auto"/>
              <w:rPr>
                <w:rFonts w:ascii="宋体" w:hAnsi="宋体" w:eastAsia="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739" w:type="dxa"/>
            <w:vMerge w:val="continue"/>
            <w:vAlign w:val="center"/>
          </w:tcPr>
          <w:p>
            <w:pPr>
              <w:pStyle w:val="44"/>
              <w:snapToGrid w:val="0"/>
              <w:spacing w:beforeLines="20" w:line="240" w:lineRule="auto"/>
              <w:rPr>
                <w:rFonts w:ascii="宋体" w:hAnsi="宋体" w:eastAsia="宋体"/>
                <w:szCs w:val="21"/>
              </w:rPr>
            </w:pPr>
          </w:p>
        </w:tc>
        <w:tc>
          <w:tcPr>
            <w:tcW w:w="3843" w:type="dxa"/>
            <w:vAlign w:val="center"/>
          </w:tcPr>
          <w:p>
            <w:pPr>
              <w:pStyle w:val="44"/>
              <w:snapToGrid w:val="0"/>
              <w:spacing w:beforeLines="20" w:line="240" w:lineRule="auto"/>
              <w:rPr>
                <w:rFonts w:ascii="宋体" w:hAnsi="宋体" w:eastAsia="宋体"/>
                <w:szCs w:val="21"/>
              </w:rPr>
            </w:pPr>
            <w:r>
              <w:rPr>
                <w:rFonts w:ascii="宋体" w:hAnsi="宋体" w:eastAsia="宋体"/>
                <w:szCs w:val="21"/>
              </w:rPr>
              <w:t>现行的环境管理制度对于清洁生产的要求不够</w:t>
            </w:r>
          </w:p>
        </w:tc>
        <w:tc>
          <w:tcPr>
            <w:tcW w:w="4138" w:type="dxa"/>
            <w:vAlign w:val="center"/>
          </w:tcPr>
          <w:p>
            <w:pPr>
              <w:pStyle w:val="44"/>
              <w:snapToGrid w:val="0"/>
              <w:spacing w:beforeLines="20" w:line="240" w:lineRule="auto"/>
              <w:rPr>
                <w:rFonts w:ascii="宋体" w:hAnsi="宋体" w:eastAsia="宋体"/>
                <w:szCs w:val="21"/>
              </w:rPr>
            </w:pPr>
            <w:r>
              <w:rPr>
                <w:rFonts w:ascii="宋体" w:hAnsi="宋体" w:eastAsia="宋体"/>
                <w:szCs w:val="21"/>
              </w:rPr>
              <w:t>充分总结清洁生产经验，促进实施公司管理和环境管理中有利于清洁生产的一些规定和方法</w:t>
            </w:r>
          </w:p>
        </w:tc>
      </w:tr>
    </w:tbl>
    <w:p>
      <w:pPr>
        <w:pStyle w:val="3"/>
        <w:spacing w:beforeLines="50" w:afterLines="50" w:line="360" w:lineRule="auto"/>
        <w:rPr>
          <w:rFonts w:ascii="Times New Roman" w:hAnsi="Times New Roman"/>
          <w:sz w:val="30"/>
          <w:szCs w:val="30"/>
        </w:rPr>
      </w:pPr>
      <w:bookmarkStart w:id="52" w:name="_Toc525138234"/>
      <w:bookmarkStart w:id="53" w:name="_Toc2230"/>
      <w:bookmarkStart w:id="54" w:name="_Toc525138378"/>
      <w:r>
        <w:rPr>
          <w:rFonts w:ascii="Times New Roman" w:hAnsi="Times New Roman"/>
          <w:sz w:val="30"/>
          <w:szCs w:val="30"/>
        </w:rPr>
        <w:t>2.</w:t>
      </w:r>
      <w:r>
        <w:rPr>
          <w:rFonts w:hint="eastAsia" w:ascii="Times New Roman" w:hAnsi="Times New Roman"/>
          <w:sz w:val="30"/>
          <w:szCs w:val="30"/>
        </w:rPr>
        <w:t>5建立清洁生产的激励机制</w:t>
      </w:r>
      <w:bookmarkEnd w:id="52"/>
      <w:bookmarkEnd w:id="53"/>
      <w:bookmarkEnd w:id="54"/>
    </w:p>
    <w:p>
      <w:pPr>
        <w:spacing w:line="360" w:lineRule="auto"/>
        <w:ind w:firstLine="480" w:firstLineChars="200"/>
        <w:rPr>
          <w:rFonts w:ascii="Times New Roman" w:hAnsi="宋体" w:eastAsia="宋体"/>
          <w:sz w:val="24"/>
          <w:szCs w:val="24"/>
        </w:rPr>
      </w:pPr>
      <w:r>
        <w:rPr>
          <w:rFonts w:hint="eastAsia" w:ascii="Times New Roman" w:hAnsi="宋体" w:eastAsia="宋体"/>
          <w:sz w:val="24"/>
          <w:szCs w:val="24"/>
        </w:rPr>
        <w:t>清洁生产，人人有责；推行清洁生产，全员参与最重要。为了营造“人人知晓清洁生产，人人关心清洁生产，人人支持清洁生产”的氛围，除了要强化培训，广泛宣传，全面提高全员清洁生产意识外，还需要制定一定的激励措施，提高企业员工参与到清洁生产工作的积极性。</w:t>
      </w:r>
    </w:p>
    <w:p>
      <w:pPr>
        <w:spacing w:line="360" w:lineRule="auto"/>
        <w:ind w:firstLine="480" w:firstLineChars="200"/>
        <w:rPr>
          <w:rFonts w:ascii="Times New Roman" w:hAnsi="宋体" w:eastAsia="宋体"/>
          <w:sz w:val="24"/>
          <w:szCs w:val="24"/>
        </w:rPr>
      </w:pPr>
      <w:r>
        <w:rPr>
          <w:rFonts w:hint="eastAsia" w:ascii="Times New Roman" w:hAnsi="宋体" w:eastAsia="宋体"/>
          <w:sz w:val="24"/>
          <w:szCs w:val="24"/>
        </w:rPr>
        <w:t>为此，</w:t>
      </w:r>
      <w:r>
        <w:rPr>
          <w:rFonts w:hint="eastAsia" w:ascii="Times New Roman" w:hAnsi="宋体" w:eastAsia="宋体"/>
          <w:sz w:val="24"/>
          <w:szCs w:val="24"/>
          <w:lang w:eastAsia="zh-CN"/>
        </w:rPr>
        <w:t>湖南光华荣昌汽车部件有限公司</w:t>
      </w:r>
      <w:r>
        <w:rPr>
          <w:rFonts w:hint="eastAsia" w:ascii="Times New Roman" w:hAnsi="宋体" w:eastAsia="宋体"/>
          <w:sz w:val="24"/>
          <w:szCs w:val="24"/>
        </w:rPr>
        <w:t>在审核开始的时候制定了《清洁生产管理办法》，详细规定了对清洁生产方案提出者予以适当经济奖励，以鼓励企业员工积极参与清洁生产审核和方案的提出，为企业持续清洁生产的开展创造了良好的工作氛围。</w:t>
      </w:r>
    </w:p>
    <w:p>
      <w:pPr>
        <w:widowControl/>
        <w:jc w:val="left"/>
        <w:rPr>
          <w:rFonts w:ascii="Times New Roman" w:hAnsi="宋体" w:eastAsia="宋体"/>
          <w:sz w:val="24"/>
          <w:szCs w:val="24"/>
        </w:rPr>
      </w:pPr>
      <w:r>
        <w:rPr>
          <w:rFonts w:ascii="Times New Roman" w:hAnsi="宋体" w:eastAsia="宋体"/>
          <w:sz w:val="24"/>
          <w:szCs w:val="24"/>
        </w:rPr>
        <w:br w:type="page"/>
      </w: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color w:val="000000" w:themeColor="text1"/>
          <w:sz w:val="36"/>
          <w:szCs w:val="36"/>
        </w:rPr>
      </w:pPr>
      <w:bookmarkStart w:id="55" w:name="_Toc176255048"/>
      <w:bookmarkStart w:id="56" w:name="_Toc525138379"/>
      <w:bookmarkStart w:id="57" w:name="_Toc4554"/>
      <w:bookmarkStart w:id="58" w:name="_Toc18886"/>
      <w:bookmarkStart w:id="59" w:name="_Toc525138235"/>
      <w:r>
        <w:rPr>
          <w:rFonts w:hint="eastAsia" w:cs="Times New Roman" w:asciiTheme="minorEastAsia" w:hAnsiTheme="minorEastAsia" w:eastAsiaTheme="minorEastAsia"/>
          <w:color w:val="000000" w:themeColor="text1"/>
          <w:sz w:val="36"/>
          <w:szCs w:val="36"/>
        </w:rPr>
        <w:t>三、</w:t>
      </w:r>
      <w:r>
        <w:rPr>
          <w:rFonts w:cs="Times New Roman" w:asciiTheme="minorEastAsia" w:hAnsiTheme="minorEastAsia" w:eastAsiaTheme="minorEastAsia"/>
          <w:color w:val="000000" w:themeColor="text1"/>
          <w:sz w:val="36"/>
          <w:szCs w:val="36"/>
        </w:rPr>
        <w:t>预</w:t>
      </w:r>
      <w:bookmarkEnd w:id="55"/>
      <w:r>
        <w:rPr>
          <w:rFonts w:cs="Times New Roman" w:asciiTheme="minorEastAsia" w:hAnsiTheme="minorEastAsia" w:eastAsiaTheme="minorEastAsia"/>
          <w:color w:val="000000" w:themeColor="text1"/>
          <w:sz w:val="36"/>
          <w:szCs w:val="36"/>
        </w:rPr>
        <w:t>审核</w:t>
      </w:r>
      <w:bookmarkEnd w:id="56"/>
      <w:bookmarkEnd w:id="57"/>
      <w:bookmarkEnd w:id="58"/>
      <w:bookmarkEnd w:id="59"/>
    </w:p>
    <w:p>
      <w:pPr>
        <w:spacing w:beforeLines="50" w:line="360" w:lineRule="auto"/>
        <w:ind w:firstLine="480" w:firstLineChars="200"/>
        <w:rPr>
          <w:rFonts w:ascii="Times New Roman" w:hAnsi="Times New Roman" w:eastAsia="宋体"/>
          <w:sz w:val="24"/>
          <w:szCs w:val="24"/>
        </w:rPr>
      </w:pPr>
      <w:r>
        <w:rPr>
          <w:rFonts w:ascii="Times New Roman" w:hAnsi="Times New Roman" w:eastAsia="宋体"/>
          <w:sz w:val="24"/>
          <w:szCs w:val="24"/>
        </w:rPr>
        <w:t>预</w:t>
      </w:r>
      <w:r>
        <w:rPr>
          <w:rFonts w:hint="eastAsia" w:ascii="Times New Roman" w:hAnsi="Times New Roman" w:eastAsia="宋体"/>
          <w:sz w:val="24"/>
          <w:szCs w:val="24"/>
        </w:rPr>
        <w:t>审核是清洁生产审核的第二阶段，</w:t>
      </w:r>
      <w:r>
        <w:rPr>
          <w:rFonts w:ascii="Times New Roman" w:hAnsi="Times New Roman" w:eastAsia="宋体"/>
          <w:sz w:val="24"/>
          <w:szCs w:val="24"/>
        </w:rPr>
        <w:t>目的是</w:t>
      </w:r>
      <w:r>
        <w:rPr>
          <w:rFonts w:hint="eastAsia" w:ascii="Times New Roman" w:hAnsi="Times New Roman" w:eastAsia="宋体"/>
          <w:sz w:val="24"/>
          <w:szCs w:val="24"/>
        </w:rPr>
        <w:t>从生产全过程出发，对公司生产状况、环境保护状况、产排污状况级管理状况进行调研和现场考察，</w:t>
      </w:r>
      <w:r>
        <w:rPr>
          <w:rFonts w:ascii="Times New Roman" w:hAnsi="Times New Roman" w:eastAsia="宋体"/>
          <w:sz w:val="24"/>
          <w:szCs w:val="24"/>
        </w:rPr>
        <w:t>分析和发现</w:t>
      </w:r>
      <w:r>
        <w:rPr>
          <w:rFonts w:hint="eastAsia" w:ascii="Times New Roman" w:hAnsi="Times New Roman" w:eastAsia="宋体"/>
          <w:sz w:val="24"/>
          <w:szCs w:val="24"/>
        </w:rPr>
        <w:t>企业存在的主要问题</w:t>
      </w:r>
      <w:r>
        <w:rPr>
          <w:rFonts w:ascii="Times New Roman" w:hAnsi="Times New Roman" w:eastAsia="宋体"/>
          <w:sz w:val="24"/>
          <w:szCs w:val="24"/>
        </w:rPr>
        <w:t>、清洁生产的潜力和机会，从而确定本轮审核的重点</w:t>
      </w:r>
      <w:r>
        <w:rPr>
          <w:rFonts w:hint="eastAsia" w:ascii="Times New Roman" w:hAnsi="Times New Roman" w:eastAsia="宋体"/>
          <w:sz w:val="24"/>
          <w:szCs w:val="24"/>
        </w:rPr>
        <w:t>，设置清洁生产的近期和中远期目标</w:t>
      </w:r>
      <w:r>
        <w:rPr>
          <w:rFonts w:ascii="Times New Roman" w:hAnsi="Times New Roman" w:eastAsia="宋体"/>
          <w:sz w:val="24"/>
          <w:szCs w:val="24"/>
        </w:rPr>
        <w:t>。</w:t>
      </w:r>
    </w:p>
    <w:p>
      <w:pPr>
        <w:pStyle w:val="3"/>
        <w:spacing w:beforeLines="50" w:afterLines="50" w:line="360" w:lineRule="auto"/>
        <w:rPr>
          <w:rFonts w:ascii="Times New Roman" w:hAnsi="Times New Roman"/>
          <w:sz w:val="30"/>
          <w:szCs w:val="30"/>
        </w:rPr>
      </w:pPr>
      <w:bookmarkStart w:id="60" w:name="_Toc176255050"/>
      <w:bookmarkStart w:id="61" w:name="_Toc24230"/>
      <w:bookmarkStart w:id="62" w:name="_Toc525138380"/>
      <w:bookmarkStart w:id="63" w:name="_Toc10747"/>
      <w:bookmarkStart w:id="64" w:name="_Toc525138236"/>
      <w:r>
        <w:rPr>
          <w:rFonts w:hint="eastAsia" w:ascii="Times New Roman" w:hAnsi="Times New Roman"/>
          <w:sz w:val="30"/>
          <w:szCs w:val="30"/>
        </w:rPr>
        <w:t>3</w:t>
      </w:r>
      <w:r>
        <w:rPr>
          <w:rFonts w:ascii="Times New Roman" w:hAnsi="Times New Roman"/>
          <w:sz w:val="30"/>
          <w:szCs w:val="30"/>
        </w:rPr>
        <w:t>.1企业</w:t>
      </w:r>
      <w:bookmarkEnd w:id="60"/>
      <w:r>
        <w:rPr>
          <w:rFonts w:ascii="Times New Roman" w:hAnsi="Times New Roman"/>
          <w:sz w:val="30"/>
          <w:szCs w:val="30"/>
        </w:rPr>
        <w:t>概况</w:t>
      </w:r>
      <w:bookmarkEnd w:id="61"/>
      <w:bookmarkEnd w:id="62"/>
      <w:bookmarkEnd w:id="63"/>
      <w:bookmarkEnd w:id="64"/>
    </w:p>
    <w:p>
      <w:pPr>
        <w:pStyle w:val="4"/>
        <w:spacing w:before="0" w:after="0" w:line="360" w:lineRule="auto"/>
        <w:rPr>
          <w:rFonts w:ascii="Times New Roman" w:hAnsi="宋体" w:eastAsia="宋体"/>
          <w:sz w:val="28"/>
          <w:szCs w:val="28"/>
        </w:rPr>
      </w:pPr>
      <w:bookmarkStart w:id="65" w:name="_Toc30448"/>
      <w:bookmarkStart w:id="66" w:name="_Toc525138381"/>
      <w:bookmarkStart w:id="67" w:name="_Toc525138237"/>
      <w:bookmarkStart w:id="68" w:name="_Toc18171"/>
      <w:r>
        <w:rPr>
          <w:rFonts w:hint="eastAsia" w:ascii="Times New Roman" w:hAnsi="Times New Roman" w:eastAsia="宋体"/>
          <w:sz w:val="28"/>
          <w:szCs w:val="28"/>
        </w:rPr>
        <w:t>3</w:t>
      </w:r>
      <w:r>
        <w:rPr>
          <w:rFonts w:ascii="Times New Roman" w:hAnsi="Times New Roman" w:eastAsia="宋体"/>
          <w:sz w:val="28"/>
          <w:szCs w:val="28"/>
        </w:rPr>
        <w:t>.1.1</w:t>
      </w:r>
      <w:r>
        <w:rPr>
          <w:rFonts w:ascii="Times New Roman" w:hAnsi="宋体" w:eastAsia="宋体"/>
          <w:sz w:val="28"/>
          <w:szCs w:val="28"/>
        </w:rPr>
        <w:t>企业</w:t>
      </w:r>
      <w:r>
        <w:rPr>
          <w:rFonts w:hint="eastAsia" w:ascii="Times New Roman" w:hAnsi="宋体" w:eastAsia="宋体"/>
          <w:sz w:val="28"/>
          <w:szCs w:val="28"/>
        </w:rPr>
        <w:t>的基本情况</w:t>
      </w:r>
      <w:bookmarkEnd w:id="65"/>
      <w:bookmarkEnd w:id="66"/>
      <w:bookmarkEnd w:id="67"/>
      <w:bookmarkEnd w:id="68"/>
    </w:p>
    <w:p>
      <w:pPr>
        <w:pStyle w:val="6"/>
        <w:keepLines w:val="0"/>
        <w:widowControl w:val="0"/>
        <w:adjustRightInd/>
        <w:snapToGrid/>
        <w:spacing w:beforeLines="50" w:after="0" w:line="360" w:lineRule="auto"/>
        <w:rPr>
          <w:rFonts w:ascii="Times New Roman" w:hAnsi="Times New Roman"/>
          <w:bCs w:val="0"/>
          <w:sz w:val="24"/>
        </w:rPr>
      </w:pPr>
      <w:r>
        <w:rPr>
          <w:rFonts w:ascii="Times New Roman" w:hAnsi="Times New Roman"/>
          <w:bCs w:val="0"/>
          <w:sz w:val="24"/>
        </w:rPr>
        <w:t>3.1.1.1企业的基本</w:t>
      </w:r>
      <w:r>
        <w:rPr>
          <w:rFonts w:hint="eastAsia" w:ascii="Times New Roman" w:hAnsi="Times New Roman"/>
          <w:bCs w:val="0"/>
          <w:sz w:val="24"/>
        </w:rPr>
        <w:t>信息</w:t>
      </w:r>
    </w:p>
    <w:p>
      <w:pPr>
        <w:pStyle w:val="42"/>
        <w:rPr>
          <w:rFonts w:ascii="宋体" w:eastAsia="宋体"/>
          <w:b/>
        </w:rPr>
      </w:pPr>
      <w:r>
        <w:rPr>
          <w:rFonts w:eastAsia="宋体"/>
          <w:b/>
        </w:rPr>
        <w:t>表</w:t>
      </w:r>
      <w:r>
        <w:rPr>
          <w:rFonts w:hint="eastAsia" w:hAnsi="Times New Roman" w:eastAsia="宋体"/>
          <w:b/>
        </w:rPr>
        <w:t>3</w:t>
      </w:r>
      <w:r>
        <w:rPr>
          <w:rFonts w:hAnsi="Times New Roman" w:eastAsia="宋体"/>
          <w:b/>
        </w:rPr>
        <w:t xml:space="preserve">-1 </w:t>
      </w:r>
      <w:r>
        <w:rPr>
          <w:rFonts w:hint="eastAsia" w:hAnsi="Times New Roman" w:eastAsia="宋体"/>
          <w:b/>
        </w:rPr>
        <w:t xml:space="preserve"> </w:t>
      </w:r>
      <w:r>
        <w:rPr>
          <w:rFonts w:eastAsia="宋体"/>
          <w:b/>
        </w:rPr>
        <w:t>企业基本</w:t>
      </w:r>
      <w:r>
        <w:rPr>
          <w:rFonts w:hint="eastAsia" w:ascii="宋体" w:eastAsia="宋体"/>
          <w:b/>
        </w:rPr>
        <w:t>情况</w:t>
      </w:r>
    </w:p>
    <w:tbl>
      <w:tblPr>
        <w:tblStyle w:val="27"/>
        <w:tblW w:w="901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99"/>
        <w:gridCol w:w="4237"/>
        <w:gridCol w:w="1318"/>
        <w:gridCol w:w="19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企业名称</w:t>
            </w:r>
          </w:p>
        </w:tc>
        <w:tc>
          <w:tcPr>
            <w:tcW w:w="4237"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eastAsia="zh-CN"/>
              </w:rPr>
              <w:t>湖南光华荣昌汽车部件有限公司</w:t>
            </w:r>
          </w:p>
        </w:tc>
        <w:tc>
          <w:tcPr>
            <w:tcW w:w="1318" w:type="dxa"/>
            <w:vAlign w:val="center"/>
          </w:tcPr>
          <w:p>
            <w:pPr>
              <w:spacing w:beforeLines="20" w:afterLines="20"/>
              <w:jc w:val="center"/>
              <w:rPr>
                <w:rFonts w:hint="eastAsia"/>
                <w:kern w:val="18"/>
                <w:sz w:val="21"/>
                <w:szCs w:val="21"/>
              </w:rPr>
            </w:pPr>
            <w:r>
              <w:rPr>
                <w:rFonts w:hint="eastAsia"/>
                <w:kern w:val="18"/>
                <w:sz w:val="21"/>
                <w:szCs w:val="21"/>
              </w:rPr>
              <w:t>所属行业</w:t>
            </w:r>
          </w:p>
        </w:tc>
        <w:tc>
          <w:tcPr>
            <w:tcW w:w="1956" w:type="dxa"/>
            <w:vAlign w:val="center"/>
          </w:tcPr>
          <w:p>
            <w:pPr>
              <w:spacing w:beforeLines="20" w:afterLines="20"/>
              <w:jc w:val="center"/>
              <w:rPr>
                <w:rFonts w:hint="eastAsia" w:ascii="Times New Roman" w:hAnsi="宋体" w:eastAsia="宋体"/>
                <w:kern w:val="18"/>
                <w:szCs w:val="21"/>
                <w:lang w:val="en-US" w:eastAsia="zh-CN"/>
              </w:rPr>
            </w:pPr>
            <w:r>
              <w:rPr>
                <w:rFonts w:hint="eastAsia" w:ascii="Times New Roman" w:hAnsi="宋体" w:eastAsia="宋体"/>
                <w:kern w:val="18"/>
                <w:szCs w:val="21"/>
                <w:lang w:val="en-US" w:eastAsia="zh-CN"/>
              </w:rPr>
              <w:t>汽车零部件及配件制造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企业类型</w:t>
            </w:r>
          </w:p>
        </w:tc>
        <w:tc>
          <w:tcPr>
            <w:tcW w:w="4237" w:type="dxa"/>
            <w:vAlign w:val="center"/>
          </w:tcPr>
          <w:p>
            <w:pPr>
              <w:spacing w:beforeLines="20" w:afterLines="20"/>
              <w:jc w:val="center"/>
              <w:rPr>
                <w:rFonts w:hint="default" w:ascii="Times New Roman" w:hAnsi="宋体" w:eastAsia="宋体"/>
                <w:kern w:val="18"/>
                <w:szCs w:val="21"/>
                <w:lang w:val="en-US" w:eastAsia="zh-CN"/>
              </w:rPr>
            </w:pPr>
            <w:r>
              <w:rPr>
                <w:rFonts w:hint="eastAsia" w:ascii="Times New Roman" w:hAnsi="宋体" w:eastAsia="宋体"/>
                <w:kern w:val="18"/>
                <w:szCs w:val="21"/>
                <w:lang w:val="en-US" w:eastAsia="zh-CN"/>
              </w:rPr>
              <w:t>有限责任公司</w:t>
            </w:r>
          </w:p>
        </w:tc>
        <w:tc>
          <w:tcPr>
            <w:tcW w:w="1318" w:type="dxa"/>
            <w:vAlign w:val="center"/>
          </w:tcPr>
          <w:p>
            <w:pPr>
              <w:spacing w:beforeLines="20" w:afterLines="20"/>
              <w:jc w:val="center"/>
              <w:rPr>
                <w:rFonts w:hint="eastAsia" w:ascii="Times New Roman" w:hAnsi="宋体" w:eastAsia="宋体"/>
                <w:kern w:val="18"/>
                <w:szCs w:val="21"/>
              </w:rPr>
            </w:pPr>
            <w:r>
              <w:rPr>
                <w:rFonts w:hint="eastAsia" w:ascii="Times New Roman" w:hAnsi="宋体" w:eastAsia="宋体"/>
                <w:kern w:val="18"/>
                <w:szCs w:val="21"/>
              </w:rPr>
              <w:t>法人代表</w:t>
            </w:r>
          </w:p>
        </w:tc>
        <w:tc>
          <w:tcPr>
            <w:tcW w:w="1956" w:type="dxa"/>
            <w:vAlign w:val="center"/>
          </w:tcPr>
          <w:p>
            <w:pPr>
              <w:spacing w:beforeLines="20" w:afterLines="20"/>
              <w:jc w:val="center"/>
              <w:rPr>
                <w:rFonts w:hint="default" w:ascii="Times New Roman" w:hAnsi="宋体" w:eastAsia="宋体"/>
                <w:kern w:val="18"/>
                <w:szCs w:val="21"/>
                <w:lang w:val="en-US" w:eastAsia="zh-CN"/>
              </w:rPr>
            </w:pPr>
            <w:r>
              <w:rPr>
                <w:rFonts w:hint="eastAsia" w:ascii="Times New Roman" w:hAnsi="宋体" w:eastAsia="宋体"/>
                <w:kern w:val="18"/>
                <w:szCs w:val="21"/>
                <w:lang w:val="en-US" w:eastAsia="zh-CN"/>
              </w:rPr>
              <w:t>赵月强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4" w:hRule="atLeast"/>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注册地址</w:t>
            </w:r>
          </w:p>
        </w:tc>
        <w:tc>
          <w:tcPr>
            <w:tcW w:w="4237"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eastAsia="zh-CN"/>
              </w:rPr>
              <w:t xml:space="preserve">湖南省株洲市天元区栗雨工业园46区 </w:t>
            </w:r>
          </w:p>
        </w:tc>
        <w:tc>
          <w:tcPr>
            <w:tcW w:w="1318" w:type="dxa"/>
            <w:vAlign w:val="center"/>
          </w:tcPr>
          <w:p>
            <w:pPr>
              <w:spacing w:beforeLines="20" w:afterLines="20"/>
              <w:jc w:val="center"/>
              <w:rPr>
                <w:rFonts w:hint="eastAsia" w:ascii="Times New Roman" w:hAnsi="宋体" w:eastAsia="宋体"/>
                <w:kern w:val="18"/>
                <w:szCs w:val="21"/>
              </w:rPr>
            </w:pPr>
            <w:r>
              <w:rPr>
                <w:rFonts w:hint="eastAsia" w:ascii="Times New Roman" w:hAnsi="宋体" w:eastAsia="宋体"/>
                <w:kern w:val="18"/>
                <w:szCs w:val="21"/>
              </w:rPr>
              <w:t>邮政编码</w:t>
            </w:r>
          </w:p>
        </w:tc>
        <w:tc>
          <w:tcPr>
            <w:tcW w:w="1956" w:type="dxa"/>
            <w:vAlign w:val="center"/>
          </w:tcPr>
          <w:p>
            <w:pPr>
              <w:spacing w:beforeLines="20" w:afterLines="20"/>
              <w:jc w:val="center"/>
              <w:rPr>
                <w:rFonts w:hint="default" w:ascii="Times New Roman" w:hAnsi="宋体" w:eastAsia="宋体"/>
                <w:kern w:val="18"/>
                <w:szCs w:val="21"/>
                <w:lang w:val="en-US" w:eastAsia="zh-CN"/>
              </w:rPr>
            </w:pPr>
            <w:r>
              <w:rPr>
                <w:rFonts w:hint="eastAsia" w:ascii="Times New Roman" w:hAnsi="宋体" w:eastAsia="宋体"/>
                <w:kern w:val="18"/>
                <w:szCs w:val="21"/>
                <w:lang w:val="en-US" w:eastAsia="zh-CN"/>
              </w:rPr>
              <w:t>412007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生产地址</w:t>
            </w:r>
          </w:p>
        </w:tc>
        <w:tc>
          <w:tcPr>
            <w:tcW w:w="4237"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val="en-US" w:eastAsia="zh-CN"/>
              </w:rPr>
              <w:t>湖南省株洲市天元区栗雨工业园46区</w:t>
            </w:r>
          </w:p>
        </w:tc>
        <w:tc>
          <w:tcPr>
            <w:tcW w:w="1318"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eastAsia="zh-CN"/>
              </w:rPr>
              <w:t>联系电话</w:t>
            </w:r>
          </w:p>
        </w:tc>
        <w:tc>
          <w:tcPr>
            <w:tcW w:w="1956"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val="en-US" w:eastAsia="zh-CN"/>
              </w:rPr>
              <w:t>15573332808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主要产品</w:t>
            </w:r>
          </w:p>
          <w:p>
            <w:pPr>
              <w:spacing w:beforeLines="20" w:afterLines="20"/>
              <w:jc w:val="center"/>
              <w:rPr>
                <w:rFonts w:ascii="Times New Roman" w:hAnsi="Times New Roman" w:eastAsia="宋体"/>
                <w:kern w:val="18"/>
                <w:szCs w:val="21"/>
              </w:rPr>
            </w:pPr>
            <w:r>
              <w:rPr>
                <w:rFonts w:ascii="Times New Roman" w:hAnsi="宋体" w:eastAsia="宋体"/>
                <w:kern w:val="18"/>
                <w:szCs w:val="21"/>
              </w:rPr>
              <w:t>及产量</w:t>
            </w:r>
          </w:p>
        </w:tc>
        <w:tc>
          <w:tcPr>
            <w:tcW w:w="7511" w:type="dxa"/>
            <w:gridSpan w:val="3"/>
            <w:vAlign w:val="center"/>
          </w:tcPr>
          <w:p>
            <w:pPr>
              <w:spacing w:beforeLines="20" w:afterLines="20"/>
              <w:jc w:val="center"/>
              <w:rPr>
                <w:rFonts w:hint="default" w:ascii="Times New Roman" w:hAnsi="宋体" w:eastAsia="宋体"/>
                <w:kern w:val="18"/>
                <w:szCs w:val="21"/>
                <w:lang w:val="en-US" w:eastAsia="zh-CN"/>
              </w:rPr>
            </w:pPr>
            <w:r>
              <w:rPr>
                <w:rFonts w:hint="eastAsia" w:ascii="Times New Roman" w:hAnsi="宋体" w:eastAsia="宋体"/>
                <w:kern w:val="18"/>
                <w:szCs w:val="21"/>
                <w:lang w:val="en-US" w:eastAsia="zh-CN"/>
              </w:rPr>
              <w:t>汽车座椅：270329辆份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color w:val="000000" w:themeColor="text1"/>
                <w:kern w:val="18"/>
                <w:szCs w:val="21"/>
              </w:rPr>
            </w:pPr>
            <w:r>
              <w:rPr>
                <w:rFonts w:ascii="Times New Roman" w:hAnsi="宋体" w:eastAsia="宋体"/>
                <w:color w:val="000000" w:themeColor="text1"/>
                <w:kern w:val="18"/>
                <w:szCs w:val="21"/>
              </w:rPr>
              <w:t>审核基准期</w:t>
            </w:r>
          </w:p>
          <w:p>
            <w:pPr>
              <w:spacing w:beforeLines="20" w:afterLines="20"/>
              <w:jc w:val="center"/>
              <w:rPr>
                <w:rFonts w:ascii="Times New Roman" w:hAnsi="Times New Roman" w:eastAsia="宋体"/>
                <w:color w:val="000000" w:themeColor="text1"/>
                <w:kern w:val="18"/>
                <w:szCs w:val="21"/>
              </w:rPr>
            </w:pPr>
            <w:r>
              <w:rPr>
                <w:rFonts w:ascii="Times New Roman" w:hAnsi="宋体" w:eastAsia="宋体"/>
                <w:color w:val="000000" w:themeColor="text1"/>
                <w:kern w:val="18"/>
                <w:szCs w:val="21"/>
              </w:rPr>
              <w:t>职工总数</w:t>
            </w:r>
          </w:p>
        </w:tc>
        <w:tc>
          <w:tcPr>
            <w:tcW w:w="4237"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val="en-US" w:eastAsia="zh-CN"/>
              </w:rPr>
              <w:t>133</w:t>
            </w:r>
            <w:r>
              <w:rPr>
                <w:rFonts w:hint="eastAsia" w:ascii="Times New Roman" w:hAnsi="宋体" w:eastAsia="宋体"/>
                <w:kern w:val="18"/>
                <w:szCs w:val="21"/>
                <w:lang w:eastAsia="zh-CN"/>
              </w:rPr>
              <w:t>人</w:t>
            </w:r>
          </w:p>
        </w:tc>
        <w:tc>
          <w:tcPr>
            <w:tcW w:w="1318"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eastAsia="zh-CN"/>
              </w:rPr>
              <w:t>审核基准期</w:t>
            </w:r>
          </w:p>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eastAsia="zh-CN"/>
              </w:rPr>
              <w:t>技术员工</w:t>
            </w:r>
          </w:p>
        </w:tc>
        <w:tc>
          <w:tcPr>
            <w:tcW w:w="1956" w:type="dxa"/>
            <w:vAlign w:val="center"/>
          </w:tcPr>
          <w:p>
            <w:pPr>
              <w:spacing w:beforeLines="20" w:afterLines="20"/>
              <w:jc w:val="center"/>
              <w:rPr>
                <w:rFonts w:hint="eastAsia" w:ascii="Times New Roman" w:hAnsi="宋体" w:eastAsia="宋体"/>
                <w:kern w:val="18"/>
                <w:szCs w:val="21"/>
                <w:lang w:eastAsia="zh-CN"/>
              </w:rPr>
            </w:pPr>
            <w:r>
              <w:rPr>
                <w:rFonts w:hint="eastAsia" w:ascii="Times New Roman" w:hAnsi="宋体" w:eastAsia="宋体"/>
                <w:kern w:val="18"/>
                <w:szCs w:val="21"/>
                <w:lang w:val="en-US" w:eastAsia="zh-CN"/>
              </w:rPr>
              <w:t>16</w:t>
            </w:r>
            <w:r>
              <w:rPr>
                <w:rFonts w:hint="eastAsia" w:ascii="Times New Roman" w:hAnsi="宋体" w:eastAsia="宋体"/>
                <w:kern w:val="18"/>
                <w:szCs w:val="21"/>
                <w:lang w:eastAsia="zh-CN"/>
              </w:rPr>
              <w:t>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注册资本</w:t>
            </w:r>
          </w:p>
        </w:tc>
        <w:tc>
          <w:tcPr>
            <w:tcW w:w="4237" w:type="dxa"/>
            <w:vAlign w:val="center"/>
          </w:tcPr>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lang w:val="en-US" w:eastAsia="zh-CN"/>
              </w:rPr>
              <w:t>5600</w:t>
            </w:r>
            <w:r>
              <w:rPr>
                <w:rFonts w:hint="eastAsia" w:ascii="Times New Roman" w:hAnsi="宋体" w:eastAsia="宋体"/>
                <w:color w:val="000000" w:themeColor="text1"/>
                <w:kern w:val="18"/>
                <w:szCs w:val="21"/>
                <w:lang w:eastAsia="zh-CN"/>
              </w:rPr>
              <w:t>万元</w:t>
            </w:r>
          </w:p>
        </w:tc>
        <w:tc>
          <w:tcPr>
            <w:tcW w:w="1318" w:type="dxa"/>
            <w:vAlign w:val="center"/>
          </w:tcPr>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rPr>
              <w:t>审核基准期</w:t>
            </w:r>
          </w:p>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rPr>
              <w:t>产值</w:t>
            </w:r>
          </w:p>
        </w:tc>
        <w:tc>
          <w:tcPr>
            <w:tcW w:w="1956" w:type="dxa"/>
            <w:vAlign w:val="center"/>
          </w:tcPr>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lang w:val="en-US" w:eastAsia="zh-CN"/>
              </w:rPr>
              <w:t>13164.27万</w:t>
            </w:r>
            <w:r>
              <w:rPr>
                <w:rFonts w:hint="eastAsia" w:ascii="Times New Roman" w:hAnsi="宋体" w:eastAsia="宋体"/>
                <w:color w:val="000000" w:themeColor="text1"/>
                <w:kern w:val="18"/>
                <w:szCs w:val="21"/>
              </w:rPr>
              <w:t>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499" w:type="dxa"/>
            <w:vAlign w:val="center"/>
          </w:tcPr>
          <w:p>
            <w:pPr>
              <w:spacing w:beforeLines="20" w:afterLines="20"/>
              <w:jc w:val="center"/>
              <w:rPr>
                <w:rFonts w:ascii="Times New Roman" w:hAnsi="Times New Roman" w:eastAsia="宋体"/>
                <w:kern w:val="18"/>
                <w:szCs w:val="21"/>
              </w:rPr>
            </w:pPr>
            <w:r>
              <w:rPr>
                <w:rFonts w:ascii="Times New Roman" w:hAnsi="宋体" w:eastAsia="宋体"/>
                <w:kern w:val="18"/>
                <w:szCs w:val="21"/>
              </w:rPr>
              <w:t>建厂时间</w:t>
            </w:r>
          </w:p>
        </w:tc>
        <w:tc>
          <w:tcPr>
            <w:tcW w:w="4237" w:type="dxa"/>
            <w:vAlign w:val="center"/>
          </w:tcPr>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lang w:val="en-US" w:eastAsia="zh-CN"/>
              </w:rPr>
              <w:t>2012</w:t>
            </w:r>
            <w:r>
              <w:rPr>
                <w:rFonts w:hint="eastAsia" w:ascii="Times New Roman" w:hAnsi="宋体" w:eastAsia="宋体"/>
                <w:color w:val="000000" w:themeColor="text1"/>
                <w:kern w:val="18"/>
                <w:szCs w:val="21"/>
                <w:lang w:eastAsia="zh-CN"/>
              </w:rPr>
              <w:t>年</w:t>
            </w:r>
          </w:p>
        </w:tc>
        <w:tc>
          <w:tcPr>
            <w:tcW w:w="1318" w:type="dxa"/>
            <w:vAlign w:val="center"/>
          </w:tcPr>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rPr>
              <w:t>投产时间</w:t>
            </w:r>
          </w:p>
        </w:tc>
        <w:tc>
          <w:tcPr>
            <w:tcW w:w="1956" w:type="dxa"/>
            <w:vAlign w:val="center"/>
          </w:tcPr>
          <w:p>
            <w:pPr>
              <w:spacing w:beforeLines="20" w:afterLines="20"/>
              <w:jc w:val="center"/>
              <w:rPr>
                <w:rFonts w:hint="eastAsia" w:ascii="Times New Roman" w:hAnsi="宋体" w:eastAsia="宋体"/>
                <w:color w:val="000000" w:themeColor="text1"/>
                <w:kern w:val="18"/>
                <w:szCs w:val="21"/>
              </w:rPr>
            </w:pPr>
            <w:r>
              <w:rPr>
                <w:rFonts w:hint="eastAsia" w:ascii="Times New Roman" w:hAnsi="宋体" w:eastAsia="宋体"/>
                <w:color w:val="000000" w:themeColor="text1"/>
                <w:kern w:val="18"/>
                <w:szCs w:val="21"/>
                <w:lang w:val="en-US" w:eastAsia="zh-CN"/>
              </w:rPr>
              <w:t>2013</w:t>
            </w:r>
            <w:r>
              <w:rPr>
                <w:rFonts w:hint="eastAsia" w:ascii="Times New Roman" w:hAnsi="宋体" w:eastAsia="宋体"/>
                <w:color w:val="000000" w:themeColor="text1"/>
                <w:kern w:val="18"/>
                <w:szCs w:val="21"/>
              </w:rPr>
              <w:t>年</w:t>
            </w:r>
          </w:p>
        </w:tc>
      </w:tr>
    </w:tbl>
    <w:p>
      <w:pPr>
        <w:pStyle w:val="6"/>
        <w:keepLines w:val="0"/>
        <w:widowControl w:val="0"/>
        <w:adjustRightInd/>
        <w:snapToGrid/>
        <w:spacing w:beforeLines="50" w:after="0" w:line="360" w:lineRule="auto"/>
        <w:rPr>
          <w:rFonts w:ascii="Times New Roman" w:hAnsi="Times New Roman"/>
          <w:bCs w:val="0"/>
          <w:sz w:val="24"/>
        </w:rPr>
      </w:pPr>
      <w:bookmarkStart w:id="69" w:name="_Toc5865"/>
      <w:r>
        <w:rPr>
          <w:rFonts w:hint="eastAsia" w:ascii="Times New Roman" w:hAnsi="Times New Roman"/>
          <w:bCs w:val="0"/>
          <w:sz w:val="24"/>
        </w:rPr>
        <w:t>3</w:t>
      </w:r>
      <w:r>
        <w:rPr>
          <w:rFonts w:ascii="Times New Roman" w:hAnsi="Times New Roman"/>
          <w:bCs w:val="0"/>
          <w:sz w:val="24"/>
        </w:rPr>
        <w:t>.1.</w:t>
      </w:r>
      <w:r>
        <w:rPr>
          <w:rFonts w:hint="eastAsia" w:ascii="Times New Roman" w:hAnsi="Times New Roman"/>
          <w:bCs w:val="0"/>
          <w:sz w:val="24"/>
        </w:rPr>
        <w:t>1.2</w:t>
      </w:r>
      <w:r>
        <w:rPr>
          <w:rFonts w:ascii="Times New Roman" w:hAnsi="Times New Roman"/>
          <w:bCs w:val="0"/>
          <w:sz w:val="24"/>
        </w:rPr>
        <w:t>组织机构</w:t>
      </w:r>
      <w:bookmarkEnd w:id="69"/>
    </w:p>
    <w:p>
      <w:pPr>
        <w:spacing w:line="360" w:lineRule="auto"/>
        <w:ind w:firstLine="482"/>
        <w:rPr>
          <w:rFonts w:ascii="Times New Roman" w:hAnsi="Times New Roman" w:eastAsia="宋体"/>
          <w:sz w:val="24"/>
          <w:szCs w:val="24"/>
        </w:rPr>
      </w:pPr>
      <w:r>
        <w:rPr>
          <w:rFonts w:ascii="Times New Roman" w:hAnsi="宋体" w:eastAsia="宋体"/>
          <w:sz w:val="24"/>
          <w:szCs w:val="24"/>
        </w:rPr>
        <w:br w:type="page"/>
      </w:r>
      <w:r>
        <w:rPr>
          <w:rFonts w:hint="eastAsia" w:ascii="Times New Roman" w:hAnsi="Times New Roman" w:eastAsia="宋体"/>
          <w:color w:val="000000" w:themeColor="text1"/>
          <w:sz w:val="24"/>
          <w:szCs w:val="24"/>
        </w:rPr>
        <w:t>公司采取</w:t>
      </w:r>
      <w:r>
        <w:rPr>
          <w:rFonts w:hint="eastAsia" w:ascii="Times New Roman" w:hAnsi="Times New Roman" w:eastAsia="宋体"/>
          <w:color w:val="000000" w:themeColor="text1"/>
          <w:sz w:val="24"/>
          <w:szCs w:val="24"/>
          <w:lang w:val="en-US" w:eastAsia="zh-CN"/>
        </w:rPr>
        <w:t>总经理</w:t>
      </w:r>
      <w:r>
        <w:rPr>
          <w:rFonts w:hint="eastAsia" w:ascii="Times New Roman" w:hAnsi="Times New Roman" w:eastAsia="宋体"/>
          <w:color w:val="000000" w:themeColor="text1"/>
          <w:sz w:val="24"/>
          <w:szCs w:val="24"/>
        </w:rPr>
        <w:t>领导下</w:t>
      </w:r>
      <w:r>
        <w:rPr>
          <w:rFonts w:hint="eastAsia" w:ascii="Times New Roman" w:hAnsi="Times New Roman" w:eastAsia="宋体"/>
          <w:color w:val="000000" w:themeColor="text1"/>
          <w:sz w:val="24"/>
          <w:szCs w:val="24"/>
          <w:lang w:val="en-US" w:eastAsia="zh-CN"/>
        </w:rPr>
        <w:t>各部门</w:t>
      </w:r>
      <w:r>
        <w:rPr>
          <w:rFonts w:hint="eastAsia" w:ascii="Times New Roman" w:hAnsi="Times New Roman" w:eastAsia="宋体"/>
          <w:color w:val="000000" w:themeColor="text1"/>
          <w:sz w:val="24"/>
          <w:szCs w:val="24"/>
        </w:rPr>
        <w:t>负责制，设有</w:t>
      </w:r>
      <w:r>
        <w:rPr>
          <w:rFonts w:hint="eastAsia" w:ascii="Times New Roman" w:hAnsi="Times New Roman" w:eastAsia="宋体"/>
          <w:color w:val="000000" w:themeColor="text1"/>
          <w:sz w:val="24"/>
          <w:szCs w:val="24"/>
          <w:lang w:val="en-US" w:eastAsia="zh-CN"/>
        </w:rPr>
        <w:t>综合</w:t>
      </w:r>
      <w:r>
        <w:rPr>
          <w:rFonts w:hint="eastAsia" w:ascii="Times New Roman" w:hAnsi="Times New Roman" w:eastAsia="宋体"/>
          <w:color w:val="000000" w:themeColor="text1"/>
          <w:sz w:val="24"/>
          <w:szCs w:val="24"/>
        </w:rPr>
        <w:t>行政部、采购</w:t>
      </w:r>
      <w:r>
        <w:rPr>
          <w:rFonts w:ascii="Times New Roman" w:hAnsi="Times New Roman" w:eastAsia="宋体"/>
          <w:color w:val="000000" w:themeColor="text1"/>
          <w:sz w:val="24"/>
          <w:szCs w:val="24"/>
        </w:rPr>
        <w:t>部、</w:t>
      </w:r>
      <w:r>
        <w:rPr>
          <w:rFonts w:hint="eastAsia" w:ascii="Times New Roman" w:hAnsi="Times New Roman" w:eastAsia="宋体"/>
          <w:color w:val="000000" w:themeColor="text1"/>
          <w:sz w:val="24"/>
          <w:szCs w:val="24"/>
        </w:rPr>
        <w:t>生产</w:t>
      </w:r>
      <w:r>
        <w:rPr>
          <w:rFonts w:ascii="Times New Roman" w:hAnsi="Times New Roman" w:eastAsia="宋体"/>
          <w:color w:val="000000" w:themeColor="text1"/>
          <w:sz w:val="24"/>
          <w:szCs w:val="24"/>
        </w:rPr>
        <w:t>部、</w:t>
      </w:r>
      <w:r>
        <w:rPr>
          <w:rFonts w:hint="eastAsia" w:ascii="Times New Roman" w:hAnsi="Times New Roman" w:eastAsia="宋体"/>
          <w:color w:val="000000" w:themeColor="text1"/>
          <w:sz w:val="24"/>
          <w:szCs w:val="24"/>
          <w:lang w:val="en-US" w:eastAsia="zh-CN"/>
        </w:rPr>
        <w:t>技术质量</w:t>
      </w:r>
      <w:r>
        <w:rPr>
          <w:rFonts w:hint="eastAsia" w:ascii="Times New Roman" w:hAnsi="Times New Roman" w:eastAsia="宋体"/>
          <w:color w:val="000000" w:themeColor="text1"/>
          <w:sz w:val="24"/>
          <w:szCs w:val="24"/>
        </w:rPr>
        <w:t>管理</w:t>
      </w:r>
      <w:r>
        <w:rPr>
          <w:rFonts w:ascii="Times New Roman" w:hAnsi="Times New Roman" w:eastAsia="宋体"/>
          <w:color w:val="000000" w:themeColor="text1"/>
          <w:sz w:val="24"/>
          <w:szCs w:val="24"/>
        </w:rPr>
        <w:t>部、</w:t>
      </w:r>
      <w:r>
        <w:rPr>
          <w:rFonts w:hint="eastAsia" w:ascii="Times New Roman" w:hAnsi="Times New Roman" w:eastAsia="宋体"/>
          <w:color w:val="000000" w:themeColor="text1"/>
          <w:sz w:val="24"/>
          <w:szCs w:val="24"/>
          <w:lang w:val="en-US" w:eastAsia="zh-CN"/>
        </w:rPr>
        <w:t>市场</w:t>
      </w:r>
      <w:r>
        <w:rPr>
          <w:rFonts w:hint="eastAsia" w:ascii="Times New Roman" w:hAnsi="Times New Roman" w:eastAsia="宋体"/>
          <w:color w:val="000000" w:themeColor="text1"/>
          <w:sz w:val="24"/>
          <w:szCs w:val="24"/>
        </w:rPr>
        <w:t>销售</w:t>
      </w:r>
      <w:r>
        <w:rPr>
          <w:rFonts w:ascii="Times New Roman" w:hAnsi="Times New Roman" w:eastAsia="宋体"/>
          <w:color w:val="000000" w:themeColor="text1"/>
          <w:sz w:val="24"/>
          <w:szCs w:val="24"/>
        </w:rPr>
        <w:t>部。</w:t>
      </w:r>
      <w:r>
        <w:rPr>
          <w:rFonts w:hint="eastAsia" w:ascii="Times New Roman" w:hAnsi="Times New Roman" w:eastAsia="宋体"/>
          <w:color w:val="000000" w:themeColor="text1"/>
          <w:sz w:val="24"/>
          <w:szCs w:val="24"/>
        </w:rPr>
        <w:t>企业</w:t>
      </w:r>
      <w:r>
        <w:rPr>
          <w:rFonts w:ascii="Times New Roman" w:hAnsi="Times New Roman" w:eastAsia="宋体"/>
          <w:color w:val="000000" w:themeColor="text1"/>
          <w:sz w:val="24"/>
          <w:szCs w:val="24"/>
        </w:rPr>
        <w:t>组织结构的设置结构简单、权责关系明确、沟通信息迅速、管理效率较高，适合企业目前规模。企业组织机构见图</w:t>
      </w:r>
      <w:r>
        <w:rPr>
          <w:rFonts w:hint="eastAsia" w:ascii="Times New Roman" w:hAnsi="Times New Roman" w:eastAsia="宋体"/>
          <w:color w:val="000000" w:themeColor="text1"/>
          <w:sz w:val="24"/>
          <w:szCs w:val="24"/>
        </w:rPr>
        <w:t>3.1</w:t>
      </w:r>
      <w:r>
        <w:rPr>
          <w:rFonts w:ascii="Times New Roman" w:hAnsi="Times New Roman" w:eastAsia="宋体"/>
          <w:color w:val="000000" w:themeColor="text1"/>
          <w:sz w:val="24"/>
          <w:szCs w:val="24"/>
        </w:rPr>
        <w:t>，各部门的职责分配如表</w:t>
      </w:r>
      <w:r>
        <w:rPr>
          <w:rFonts w:hint="eastAsia" w:ascii="Times New Roman" w:hAnsi="Times New Roman" w:eastAsia="宋体"/>
          <w:color w:val="000000" w:themeColor="text1"/>
          <w:sz w:val="24"/>
          <w:szCs w:val="24"/>
        </w:rPr>
        <w:t>3</w:t>
      </w:r>
      <w:r>
        <w:rPr>
          <w:rFonts w:ascii="Times New Roman" w:hAnsi="Times New Roman" w:eastAsia="宋体"/>
          <w:color w:val="000000" w:themeColor="text1"/>
          <w:sz w:val="24"/>
          <w:szCs w:val="24"/>
        </w:rPr>
        <w:t>-2。</w:t>
      </w:r>
    </w:p>
    <w:p>
      <w:pPr>
        <w:spacing w:line="360" w:lineRule="auto"/>
        <w:jc w:val="center"/>
        <w:rPr>
          <w:rFonts w:ascii="Times New Roman" w:hAnsi="宋体" w:eastAsia="宋体"/>
          <w:sz w:val="24"/>
          <w:szCs w:val="24"/>
        </w:rPr>
      </w:pPr>
      <w:r>
        <w:drawing>
          <wp:inline distT="0" distB="0" distL="114300" distR="114300">
            <wp:extent cx="5272405" cy="3852545"/>
            <wp:effectExtent l="0" t="0" r="4445" b="1460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3"/>
                    <a:stretch>
                      <a:fillRect/>
                    </a:stretch>
                  </pic:blipFill>
                  <pic:spPr>
                    <a:xfrm>
                      <a:off x="0" y="0"/>
                      <a:ext cx="5272405" cy="3852545"/>
                    </a:xfrm>
                    <a:prstGeom prst="rect">
                      <a:avLst/>
                    </a:prstGeom>
                    <a:noFill/>
                    <a:ln>
                      <a:noFill/>
                    </a:ln>
                  </pic:spPr>
                </pic:pic>
              </a:graphicData>
            </a:graphic>
          </wp:inline>
        </w:drawing>
      </w:r>
    </w:p>
    <w:p>
      <w:pPr>
        <w:spacing w:line="360" w:lineRule="auto"/>
        <w:jc w:val="center"/>
        <w:rPr>
          <w:rFonts w:ascii="Times New Roman" w:hAnsi="宋体" w:eastAsia="宋体"/>
          <w:b/>
          <w:sz w:val="24"/>
          <w:szCs w:val="24"/>
        </w:rPr>
      </w:pPr>
      <w:r>
        <w:rPr>
          <w:rFonts w:hint="eastAsia" w:ascii="Times New Roman" w:hAnsi="宋体" w:eastAsia="宋体"/>
          <w:b/>
          <w:sz w:val="24"/>
          <w:szCs w:val="24"/>
        </w:rPr>
        <w:t>图3.1  组织机构图</w:t>
      </w:r>
    </w:p>
    <w:p>
      <w:pPr>
        <w:pStyle w:val="42"/>
        <w:adjustRightInd w:val="0"/>
        <w:snapToGrid w:val="0"/>
        <w:rPr>
          <w:rFonts w:hAnsi="Times New Roman" w:eastAsia="宋体"/>
          <w:b/>
          <w:szCs w:val="24"/>
        </w:rPr>
      </w:pPr>
      <w:r>
        <w:rPr>
          <w:rFonts w:hint="eastAsia" w:hAnsi="Times New Roman" w:eastAsia="宋体"/>
          <w:b/>
          <w:szCs w:val="24"/>
        </w:rPr>
        <w:t>表3-2  部门职责分配表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7"/>
        <w:gridCol w:w="69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1527" w:type="dxa"/>
            <w:noWrap w:val="0"/>
            <w:vAlign w:val="center"/>
          </w:tcPr>
          <w:p>
            <w:pPr>
              <w:pStyle w:val="44"/>
              <w:snapToGrid w:val="0"/>
            </w:pPr>
            <w:r>
              <w:t>职能部门</w:t>
            </w:r>
          </w:p>
        </w:tc>
        <w:tc>
          <w:tcPr>
            <w:tcW w:w="6995" w:type="dxa"/>
            <w:noWrap w:val="0"/>
            <w:vAlign w:val="center"/>
          </w:tcPr>
          <w:p>
            <w:pPr>
              <w:pStyle w:val="44"/>
              <w:snapToGrid w:val="0"/>
              <w:ind w:firstLine="420" w:firstLineChars="200"/>
            </w:pPr>
            <w:r>
              <w:t>主要职能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1527" w:type="dxa"/>
            <w:noWrap w:val="0"/>
            <w:vAlign w:val="center"/>
          </w:tcPr>
          <w:p>
            <w:pPr>
              <w:pStyle w:val="44"/>
              <w:snapToGrid w:val="0"/>
            </w:pPr>
            <w:r>
              <w:t>总经理</w:t>
            </w:r>
          </w:p>
        </w:tc>
        <w:tc>
          <w:tcPr>
            <w:tcW w:w="6995" w:type="dxa"/>
            <w:noWrap w:val="0"/>
            <w:vAlign w:val="center"/>
          </w:tcPr>
          <w:p>
            <w:pPr>
              <w:pStyle w:val="44"/>
              <w:snapToGrid w:val="0"/>
            </w:pPr>
            <w:r>
              <w:t>战略规划、重大事件决策、企业管理等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1527" w:type="dxa"/>
            <w:noWrap w:val="0"/>
            <w:vAlign w:val="center"/>
          </w:tcPr>
          <w:p>
            <w:pPr>
              <w:pStyle w:val="44"/>
              <w:snapToGrid w:val="0"/>
              <w:rPr>
                <w:rFonts w:hint="default" w:eastAsiaTheme="minorEastAsia"/>
                <w:lang w:val="en-US" w:eastAsia="zh-CN"/>
              </w:rPr>
            </w:pPr>
            <w:r>
              <w:rPr>
                <w:rFonts w:hint="eastAsia"/>
                <w:lang w:val="en-US" w:eastAsia="zh-CN"/>
              </w:rPr>
              <w:t>副总经理</w:t>
            </w:r>
          </w:p>
        </w:tc>
        <w:tc>
          <w:tcPr>
            <w:tcW w:w="6995" w:type="dxa"/>
            <w:noWrap w:val="0"/>
            <w:vAlign w:val="center"/>
          </w:tcPr>
          <w:p>
            <w:pPr>
              <w:pStyle w:val="44"/>
              <w:snapToGrid w:val="0"/>
              <w:rPr>
                <w:color w:val="FF0000"/>
              </w:rPr>
            </w:pPr>
            <w:r>
              <w:rPr>
                <w:rFonts w:hint="eastAsia"/>
              </w:rPr>
              <w:t>处理公司内部行政以及外联事宜，配合各部门做好内勤工作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1527" w:type="dxa"/>
            <w:noWrap w:val="0"/>
            <w:vAlign w:val="center"/>
          </w:tcPr>
          <w:p>
            <w:pPr>
              <w:pStyle w:val="44"/>
              <w:snapToGrid w:val="0"/>
              <w:rPr>
                <w:rFonts w:hint="default" w:eastAsiaTheme="minorEastAsia"/>
                <w:lang w:val="en-US" w:eastAsia="zh-CN"/>
              </w:rPr>
            </w:pPr>
            <w:r>
              <w:rPr>
                <w:rFonts w:hint="eastAsia"/>
                <w:lang w:val="en-US" w:eastAsia="zh-CN"/>
              </w:rPr>
              <w:t>技术质量部</w:t>
            </w:r>
          </w:p>
        </w:tc>
        <w:tc>
          <w:tcPr>
            <w:tcW w:w="6995" w:type="dxa"/>
            <w:noWrap w:val="0"/>
            <w:vAlign w:val="center"/>
          </w:tcPr>
          <w:p>
            <w:pPr>
              <w:pStyle w:val="44"/>
              <w:snapToGrid w:val="0"/>
              <w:rPr>
                <w:color w:val="FF0000"/>
              </w:rPr>
            </w:pPr>
            <w:r>
              <w:rPr>
                <w:rFonts w:hint="eastAsia"/>
              </w:rPr>
              <w:t>负责</w:t>
            </w:r>
            <w:r>
              <w:rPr>
                <w:rFonts w:hint="eastAsia"/>
                <w:lang w:val="en-US" w:eastAsia="zh-CN"/>
              </w:rPr>
              <w:t>研发</w:t>
            </w:r>
            <w:r>
              <w:rPr>
                <w:rFonts w:hint="eastAsia"/>
              </w:rPr>
              <w:t>、质量把关等生产一切事宜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1527" w:type="dxa"/>
            <w:noWrap w:val="0"/>
            <w:vAlign w:val="center"/>
          </w:tcPr>
          <w:p>
            <w:pPr>
              <w:pStyle w:val="44"/>
              <w:snapToGrid w:val="0"/>
              <w:rPr>
                <w:rFonts w:hint="default" w:eastAsiaTheme="minorEastAsia"/>
                <w:lang w:val="en-US" w:eastAsia="zh-CN"/>
              </w:rPr>
            </w:pPr>
            <w:r>
              <w:rPr>
                <w:rFonts w:hint="eastAsia"/>
                <w:lang w:val="en-US" w:eastAsia="zh-CN"/>
              </w:rPr>
              <w:t>营销部</w:t>
            </w:r>
          </w:p>
        </w:tc>
        <w:tc>
          <w:tcPr>
            <w:tcW w:w="6995" w:type="dxa"/>
            <w:noWrap w:val="0"/>
            <w:vAlign w:val="center"/>
          </w:tcPr>
          <w:p>
            <w:pPr>
              <w:pStyle w:val="44"/>
              <w:snapToGrid w:val="0"/>
            </w:pPr>
            <w:r>
              <w:rPr>
                <w:rFonts w:hint="eastAsia"/>
              </w:rPr>
              <w:t>公司业务拓展，新老客户维护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1527" w:type="dxa"/>
            <w:noWrap w:val="0"/>
            <w:vAlign w:val="center"/>
          </w:tcPr>
          <w:p>
            <w:pPr>
              <w:pStyle w:val="44"/>
              <w:snapToGrid w:val="0"/>
              <w:rPr>
                <w:rFonts w:hint="default" w:eastAsiaTheme="minorEastAsia"/>
                <w:lang w:val="en-US" w:eastAsia="zh-CN"/>
              </w:rPr>
            </w:pPr>
            <w:r>
              <w:rPr>
                <w:rFonts w:hint="eastAsia"/>
                <w:lang w:val="en-US" w:eastAsia="zh-CN"/>
              </w:rPr>
              <w:t>生产部</w:t>
            </w:r>
          </w:p>
        </w:tc>
        <w:tc>
          <w:tcPr>
            <w:tcW w:w="6995" w:type="dxa"/>
            <w:noWrap w:val="0"/>
            <w:vAlign w:val="center"/>
          </w:tcPr>
          <w:p>
            <w:pPr>
              <w:pStyle w:val="44"/>
              <w:snapToGrid w:val="0"/>
              <w:rPr>
                <w:rFonts w:hint="default" w:eastAsiaTheme="minorEastAsia"/>
                <w:lang w:val="en-US" w:eastAsia="zh-CN"/>
              </w:rPr>
            </w:pPr>
            <w:r>
              <w:rPr>
                <w:rFonts w:hint="eastAsia"/>
              </w:rPr>
              <w:t>负责</w:t>
            </w:r>
            <w:r>
              <w:rPr>
                <w:rFonts w:hint="eastAsia"/>
                <w:lang w:val="en-US" w:eastAsia="zh-CN"/>
              </w:rPr>
              <w:t>整个公司生产运行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1" w:hRule="atLeast"/>
          <w:jc w:val="center"/>
        </w:trPr>
        <w:tc>
          <w:tcPr>
            <w:tcW w:w="1527" w:type="dxa"/>
            <w:noWrap w:val="0"/>
            <w:vAlign w:val="center"/>
          </w:tcPr>
          <w:p>
            <w:pPr>
              <w:pStyle w:val="44"/>
              <w:snapToGrid w:val="0"/>
              <w:rPr>
                <w:rFonts w:hint="default" w:eastAsiaTheme="minorEastAsia"/>
                <w:lang w:val="en-US" w:eastAsia="zh-CN"/>
              </w:rPr>
            </w:pPr>
            <w:r>
              <w:rPr>
                <w:rFonts w:hint="eastAsia"/>
                <w:lang w:val="en-US" w:eastAsia="zh-CN"/>
              </w:rPr>
              <w:t>财务部</w:t>
            </w:r>
          </w:p>
        </w:tc>
        <w:tc>
          <w:tcPr>
            <w:tcW w:w="6995" w:type="dxa"/>
            <w:noWrap w:val="0"/>
            <w:vAlign w:val="center"/>
          </w:tcPr>
          <w:p>
            <w:pPr>
              <w:pStyle w:val="44"/>
              <w:snapToGrid w:val="0"/>
            </w:pPr>
            <w:r>
              <w:rPr>
                <w:rFonts w:hint="eastAsia"/>
              </w:rPr>
              <w:t>处理公司所有</w:t>
            </w:r>
            <w:r>
              <w:rPr>
                <w:rFonts w:hint="eastAsia"/>
                <w:lang w:val="en-US" w:eastAsia="zh-CN"/>
              </w:rPr>
              <w:t>财务</w:t>
            </w:r>
            <w:r>
              <w:rPr>
                <w:rFonts w:hint="eastAsia"/>
              </w:rPr>
              <w:t>事宜，各项规章政策了解以及执行</w:t>
            </w:r>
          </w:p>
        </w:tc>
      </w:tr>
    </w:tbl>
    <w:p>
      <w:pPr>
        <w:pStyle w:val="42"/>
        <w:ind w:firstLine="480" w:firstLineChars="200"/>
        <w:jc w:val="left"/>
        <w:rPr>
          <w:rFonts w:hAnsi="Times New Roman" w:eastAsia="宋体"/>
          <w:szCs w:val="24"/>
        </w:rPr>
      </w:pPr>
      <w:r>
        <w:rPr>
          <w:rFonts w:hint="eastAsia" w:hAnsi="Times New Roman" w:eastAsia="宋体"/>
          <w:szCs w:val="24"/>
        </w:rPr>
        <w:t>企业各部门</w:t>
      </w:r>
      <w:r>
        <w:rPr>
          <w:rFonts w:hAnsi="Times New Roman" w:eastAsia="宋体"/>
          <w:szCs w:val="24"/>
        </w:rPr>
        <w:t>权责关系明确、沟通信息迅速、管理效率较高，总的来说企业组织结构设置合理。</w:t>
      </w:r>
    </w:p>
    <w:p>
      <w:pPr>
        <w:pStyle w:val="6"/>
        <w:keepLines w:val="0"/>
        <w:widowControl w:val="0"/>
        <w:adjustRightInd/>
        <w:snapToGrid/>
        <w:spacing w:beforeLines="50" w:after="0" w:line="360" w:lineRule="auto"/>
        <w:rPr>
          <w:rFonts w:ascii="Times New Roman" w:hAnsi="Times New Roman"/>
          <w:bCs w:val="0"/>
          <w:color w:val="000000" w:themeColor="text1"/>
          <w:sz w:val="24"/>
        </w:rPr>
      </w:pPr>
      <w:r>
        <w:rPr>
          <w:rFonts w:hint="eastAsia" w:ascii="Times New Roman" w:hAnsi="Times New Roman"/>
          <w:bCs w:val="0"/>
          <w:color w:val="000000" w:themeColor="text1"/>
          <w:sz w:val="24"/>
        </w:rPr>
        <w:t>3</w:t>
      </w:r>
      <w:r>
        <w:rPr>
          <w:rFonts w:ascii="Times New Roman" w:hAnsi="Times New Roman"/>
          <w:bCs w:val="0"/>
          <w:color w:val="000000" w:themeColor="text1"/>
          <w:sz w:val="24"/>
        </w:rPr>
        <w:t>.1</w:t>
      </w:r>
      <w:r>
        <w:rPr>
          <w:rFonts w:hint="eastAsia" w:ascii="Times New Roman" w:hAnsi="Times New Roman"/>
          <w:bCs w:val="0"/>
          <w:color w:val="000000" w:themeColor="text1"/>
          <w:sz w:val="24"/>
        </w:rPr>
        <w:t>.1</w:t>
      </w:r>
      <w:r>
        <w:rPr>
          <w:rFonts w:ascii="Times New Roman" w:hAnsi="Times New Roman"/>
          <w:bCs w:val="0"/>
          <w:color w:val="000000" w:themeColor="text1"/>
          <w:sz w:val="24"/>
        </w:rPr>
        <w:t>.</w:t>
      </w:r>
      <w:r>
        <w:rPr>
          <w:rFonts w:hint="eastAsia" w:ascii="Times New Roman" w:hAnsi="Times New Roman"/>
          <w:bCs w:val="0"/>
          <w:color w:val="000000" w:themeColor="text1"/>
          <w:sz w:val="24"/>
        </w:rPr>
        <w:t>3</w:t>
      </w:r>
      <w:r>
        <w:rPr>
          <w:rFonts w:ascii="Times New Roman" w:hAnsi="Times New Roman"/>
          <w:bCs w:val="0"/>
          <w:color w:val="000000" w:themeColor="text1"/>
          <w:sz w:val="24"/>
        </w:rPr>
        <w:t>地理位置及平面布置</w:t>
      </w:r>
    </w:p>
    <w:p>
      <w:pPr>
        <w:spacing w:line="360" w:lineRule="auto"/>
        <w:ind w:firstLine="480" w:firstLineChars="200"/>
        <w:rPr>
          <w:rFonts w:ascii="Times New Roman" w:hAnsi="宋体" w:eastAsia="宋体"/>
          <w:sz w:val="24"/>
          <w:szCs w:val="24"/>
        </w:rPr>
      </w:pPr>
      <w:r>
        <w:rPr>
          <w:rFonts w:ascii="Times New Roman" w:hAnsi="宋体" w:eastAsia="宋体"/>
          <w:sz w:val="24"/>
          <w:szCs w:val="24"/>
        </w:rPr>
        <w:t>（1）地理位置</w:t>
      </w:r>
    </w:p>
    <w:p>
      <w:pPr>
        <w:spacing w:line="360" w:lineRule="auto"/>
        <w:ind w:firstLine="480" w:firstLineChars="200"/>
        <w:jc w:val="left"/>
        <w:rPr>
          <w:rFonts w:ascii="Times New Roman" w:hAnsi="宋体" w:eastAsia="宋体"/>
          <w:sz w:val="24"/>
          <w:szCs w:val="24"/>
        </w:rPr>
        <w:sectPr>
          <w:footerReference r:id="rId4" w:type="default"/>
          <w:pgSz w:w="11906" w:h="16838"/>
          <w:pgMar w:top="1440" w:right="1800" w:bottom="1440" w:left="1800" w:header="851" w:footer="992" w:gutter="0"/>
          <w:pgNumType w:start="1"/>
          <w:cols w:space="425" w:num="1"/>
          <w:docGrid w:type="lines" w:linePitch="312" w:charSpace="0"/>
        </w:sectPr>
      </w:pPr>
      <w:r>
        <w:rPr>
          <w:rFonts w:hint="eastAsia" w:ascii="Times New Roman" w:hAnsi="宋体" w:eastAsia="宋体"/>
          <w:sz w:val="24"/>
          <w:szCs w:val="24"/>
          <w:lang w:eastAsia="zh-CN"/>
        </w:rPr>
        <w:t>湖南光华荣昌汽车部件有限公司</w:t>
      </w:r>
      <w:r>
        <w:rPr>
          <w:rFonts w:hint="eastAsia" w:ascii="Times New Roman" w:hAnsi="宋体" w:eastAsia="宋体"/>
          <w:sz w:val="24"/>
          <w:szCs w:val="24"/>
        </w:rPr>
        <w:t>地理位置见下图。</w:t>
      </w:r>
    </w:p>
    <w:p>
      <w:pPr>
        <w:spacing w:line="360" w:lineRule="auto"/>
        <w:jc w:val="center"/>
        <w:rPr>
          <w:rFonts w:ascii="Times New Roman" w:hAnsi="宋体" w:eastAsia="宋体"/>
          <w:sz w:val="24"/>
          <w:szCs w:val="24"/>
        </w:rPr>
      </w:pPr>
      <w:r>
        <w:drawing>
          <wp:inline distT="0" distB="0" distL="114300" distR="114300">
            <wp:extent cx="8854440" cy="4904105"/>
            <wp:effectExtent l="0" t="0" r="3810" b="1079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4"/>
                    <a:stretch>
                      <a:fillRect/>
                    </a:stretch>
                  </pic:blipFill>
                  <pic:spPr>
                    <a:xfrm>
                      <a:off x="0" y="0"/>
                      <a:ext cx="8854440" cy="4904105"/>
                    </a:xfrm>
                    <a:prstGeom prst="rect">
                      <a:avLst/>
                    </a:prstGeom>
                    <a:noFill/>
                    <a:ln>
                      <a:noFill/>
                    </a:ln>
                  </pic:spPr>
                </pic:pic>
              </a:graphicData>
            </a:graphic>
          </wp:inline>
        </w:drawing>
      </w:r>
    </w:p>
    <w:p>
      <w:pPr>
        <w:pStyle w:val="42"/>
        <w:rPr>
          <w:rFonts w:eastAsia="宋体"/>
          <w:b/>
        </w:rPr>
        <w:sectPr>
          <w:pgSz w:w="16838" w:h="11906" w:orient="landscape"/>
          <w:pgMar w:top="1800" w:right="1440" w:bottom="1800" w:left="1440" w:header="851" w:footer="992" w:gutter="0"/>
          <w:cols w:space="425" w:num="1"/>
          <w:docGrid w:type="lines" w:linePitch="312" w:charSpace="0"/>
        </w:sectPr>
      </w:pPr>
      <w:r>
        <w:rPr>
          <w:rFonts w:eastAsia="宋体"/>
          <w:b/>
        </w:rPr>
        <w:t>图</w:t>
      </w:r>
      <w:r>
        <w:rPr>
          <w:rFonts w:hint="eastAsia" w:hAnsi="Times New Roman" w:eastAsia="宋体"/>
          <w:b/>
        </w:rPr>
        <w:t>3</w:t>
      </w:r>
      <w:r>
        <w:rPr>
          <w:rFonts w:hAnsi="Times New Roman" w:eastAsia="宋体"/>
          <w:b/>
        </w:rPr>
        <w:t>.</w:t>
      </w:r>
      <w:r>
        <w:rPr>
          <w:rFonts w:hint="eastAsia" w:hAnsi="Times New Roman" w:eastAsia="宋体"/>
          <w:b/>
        </w:rPr>
        <w:t xml:space="preserve">2 </w:t>
      </w:r>
      <w:r>
        <w:rPr>
          <w:rFonts w:hAnsi="Times New Roman" w:eastAsia="宋体"/>
          <w:b/>
        </w:rPr>
        <w:t xml:space="preserve"> </w:t>
      </w:r>
      <w:r>
        <w:rPr>
          <w:rFonts w:eastAsia="宋体"/>
          <w:b/>
        </w:rPr>
        <w:t>公司地理位置图</w:t>
      </w:r>
    </w:p>
    <w:p>
      <w:pPr>
        <w:ind w:firstLine="480"/>
        <w:rPr>
          <w:rFonts w:ascii="Times New Roman" w:hAnsi="Times New Roman" w:eastAsia="宋体"/>
          <w:sz w:val="24"/>
          <w:szCs w:val="24"/>
        </w:rPr>
      </w:pPr>
      <w:r>
        <w:rPr>
          <w:rFonts w:hint="eastAsia" w:ascii="Times New Roman" w:hAnsi="Times New Roman" w:eastAsia="宋体"/>
          <w:sz w:val="24"/>
          <w:szCs w:val="24"/>
        </w:rPr>
        <w:t>（2）周围环境</w:t>
      </w:r>
    </w:p>
    <w:p>
      <w:pPr>
        <w:pStyle w:val="42"/>
        <w:ind w:firstLine="480" w:firstLineChars="200"/>
        <w:jc w:val="left"/>
        <w:rPr>
          <w:rFonts w:hint="eastAsia" w:ascii="Times New Roman" w:hAnsi="Times New Roman" w:eastAsia="宋体" w:cs="Times New Roman"/>
          <w:color w:val="000000" w:themeColor="text1"/>
          <w:szCs w:val="24"/>
        </w:rPr>
      </w:pPr>
      <w:r>
        <w:rPr>
          <w:rFonts w:hint="eastAsia" w:ascii="Times New Roman" w:hAnsi="Times New Roman" w:eastAsia="宋体" w:cs="Times New Roman"/>
          <w:color w:val="000000" w:themeColor="text1"/>
          <w:szCs w:val="24"/>
        </w:rPr>
        <w:t>公司</w:t>
      </w:r>
      <w:r>
        <w:rPr>
          <w:rFonts w:hint="eastAsia" w:hAnsi="Times New Roman" w:eastAsia="宋体" w:cs="Times New Roman"/>
          <w:color w:val="000000" w:themeColor="text1"/>
          <w:szCs w:val="24"/>
          <w:lang w:val="en-US" w:eastAsia="zh-CN"/>
        </w:rPr>
        <w:t>基地</w:t>
      </w:r>
      <w:r>
        <w:rPr>
          <w:rFonts w:hint="eastAsia" w:ascii="Times New Roman" w:hAnsi="Times New Roman" w:eastAsia="宋体" w:cs="Times New Roman"/>
          <w:color w:val="000000" w:themeColor="text1"/>
          <w:szCs w:val="24"/>
        </w:rPr>
        <w:t>位于</w:t>
      </w:r>
      <w:r>
        <w:rPr>
          <w:rFonts w:hint="eastAsia" w:hAnsi="Times New Roman" w:eastAsia="宋体" w:cs="Times New Roman"/>
          <w:color w:val="000000" w:themeColor="text1"/>
          <w:szCs w:val="24"/>
          <w:lang w:val="en-US" w:eastAsia="zh-CN"/>
        </w:rPr>
        <w:t>湖南省株洲市天元区栗雨工业园46区</w:t>
      </w:r>
      <w:r>
        <w:rPr>
          <w:rFonts w:hint="eastAsia" w:ascii="Times New Roman" w:hAnsi="Times New Roman" w:eastAsia="宋体" w:cs="Times New Roman"/>
          <w:color w:val="000000" w:themeColor="text1"/>
          <w:szCs w:val="24"/>
          <w:lang w:val="zh-CN"/>
        </w:rPr>
        <w:t xml:space="preserve"> </w:t>
      </w:r>
      <w:r>
        <w:rPr>
          <w:rFonts w:hint="eastAsia" w:ascii="Times New Roman" w:hAnsi="Times New Roman" w:eastAsia="宋体" w:cs="Times New Roman"/>
          <w:color w:val="000000" w:themeColor="text1"/>
          <w:szCs w:val="24"/>
        </w:rPr>
        <w:t>，本企业与周边企业类型相容；企业环境污染较小，对周边企业无太大影响。企业周边无森林及居民区，无环境敏感点。此外，周边企业生产亦无重大污染源产生或这排放，对企业的影响也较小，无环境制约因素。</w:t>
      </w:r>
    </w:p>
    <w:p>
      <w:pPr>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w:t>
      </w:r>
      <w:r>
        <w:rPr>
          <w:rFonts w:hint="eastAsia" w:ascii="Times New Roman" w:hAnsi="Times New Roman" w:eastAsia="宋体"/>
          <w:sz w:val="24"/>
          <w:szCs w:val="24"/>
          <w:lang w:val="en-US" w:eastAsia="zh-CN"/>
        </w:rPr>
        <w:t>3</w:t>
      </w:r>
      <w:r>
        <w:rPr>
          <w:rFonts w:hint="eastAsia" w:ascii="Times New Roman" w:hAnsi="Times New Roman" w:eastAsia="宋体"/>
          <w:sz w:val="24"/>
          <w:szCs w:val="24"/>
        </w:rPr>
        <w:t>）平面布置</w:t>
      </w:r>
    </w:p>
    <w:p>
      <w:pPr>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厂区平面布置简图见图3.3。</w:t>
      </w:r>
    </w:p>
    <w:p>
      <w:pPr>
        <w:spacing w:line="360" w:lineRule="auto"/>
        <w:jc w:val="center"/>
        <w:rPr>
          <w:rFonts w:ascii="Times New Roman" w:hAnsi="宋体" w:eastAsia="宋体"/>
          <w:sz w:val="24"/>
          <w:szCs w:val="24"/>
        </w:rPr>
      </w:pPr>
      <w:r>
        <w:drawing>
          <wp:inline distT="0" distB="0" distL="114300" distR="114300">
            <wp:extent cx="5272405" cy="6235700"/>
            <wp:effectExtent l="0" t="0" r="4445" b="1270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15"/>
                    <a:stretch>
                      <a:fillRect/>
                    </a:stretch>
                  </pic:blipFill>
                  <pic:spPr>
                    <a:xfrm>
                      <a:off x="0" y="0"/>
                      <a:ext cx="5272405" cy="6235700"/>
                    </a:xfrm>
                    <a:prstGeom prst="rect">
                      <a:avLst/>
                    </a:prstGeom>
                    <a:noFill/>
                    <a:ln>
                      <a:noFill/>
                    </a:ln>
                  </pic:spPr>
                </pic:pic>
              </a:graphicData>
            </a:graphic>
          </wp:inline>
        </w:drawing>
      </w:r>
    </w:p>
    <w:p>
      <w:pPr>
        <w:spacing w:line="360" w:lineRule="auto"/>
        <w:jc w:val="center"/>
        <w:rPr>
          <w:rFonts w:ascii="Times New Roman" w:hAnsi="Times New Roman" w:eastAsia="宋体"/>
          <w:b/>
          <w:sz w:val="24"/>
          <w:szCs w:val="24"/>
        </w:rPr>
      </w:pPr>
      <w:r>
        <w:rPr>
          <w:rFonts w:hint="eastAsia" w:ascii="Times New Roman" w:hAnsi="Times New Roman" w:eastAsia="宋体"/>
          <w:b/>
          <w:sz w:val="24"/>
          <w:szCs w:val="24"/>
        </w:rPr>
        <w:t>图3.3  公司厂区平面布置示意图</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厂区位于</w:t>
      </w:r>
      <w:r>
        <w:rPr>
          <w:rFonts w:hint="eastAsia" w:ascii="Times New Roman" w:hAnsi="宋体" w:eastAsia="宋体"/>
          <w:sz w:val="24"/>
          <w:szCs w:val="24"/>
          <w:lang w:val="en-US" w:eastAsia="zh-CN"/>
        </w:rPr>
        <w:t>湖南省株洲市天元区栗雨工业园46区</w:t>
      </w:r>
      <w:r>
        <w:rPr>
          <w:rFonts w:hint="eastAsia" w:ascii="Times New Roman" w:hAnsi="宋体" w:eastAsia="宋体"/>
          <w:sz w:val="24"/>
          <w:szCs w:val="24"/>
          <w:lang w:val="zh-CN"/>
        </w:rPr>
        <w:t xml:space="preserve">  </w:t>
      </w:r>
      <w:r>
        <w:rPr>
          <w:rFonts w:hint="eastAsia" w:ascii="Times New Roman" w:hAnsi="宋体" w:eastAsia="宋体"/>
          <w:sz w:val="24"/>
          <w:szCs w:val="24"/>
        </w:rPr>
        <w:t>。根据厂房建设消防安全要求，在满足工艺流程特点，便于物料运输及生产管理的基础上，企业将厂区分为了</w:t>
      </w:r>
      <w:r>
        <w:rPr>
          <w:rFonts w:hint="eastAsia" w:ascii="Times New Roman" w:hAnsi="宋体" w:eastAsia="宋体"/>
          <w:sz w:val="24"/>
          <w:szCs w:val="24"/>
          <w:lang w:val="en-US" w:eastAsia="zh-CN"/>
        </w:rPr>
        <w:t>生产</w:t>
      </w:r>
      <w:r>
        <w:rPr>
          <w:rFonts w:hint="eastAsia" w:ascii="Times New Roman" w:hAnsi="宋体" w:eastAsia="宋体"/>
          <w:sz w:val="24"/>
          <w:szCs w:val="24"/>
        </w:rPr>
        <w:t>区、</w:t>
      </w:r>
      <w:r>
        <w:rPr>
          <w:rFonts w:hint="eastAsia" w:ascii="Times New Roman" w:hAnsi="宋体" w:eastAsia="宋体"/>
          <w:sz w:val="24"/>
          <w:szCs w:val="24"/>
          <w:lang w:val="en-US" w:eastAsia="zh-CN"/>
        </w:rPr>
        <w:t>物料</w:t>
      </w:r>
      <w:r>
        <w:rPr>
          <w:rFonts w:hint="eastAsia" w:ascii="Times New Roman" w:hAnsi="宋体" w:eastAsia="宋体"/>
          <w:sz w:val="24"/>
          <w:szCs w:val="24"/>
        </w:rPr>
        <w:t>存放区、</w:t>
      </w:r>
      <w:r>
        <w:rPr>
          <w:rFonts w:hint="eastAsia" w:ascii="Times New Roman" w:hAnsi="宋体" w:eastAsia="宋体"/>
          <w:sz w:val="24"/>
          <w:szCs w:val="24"/>
          <w:lang w:val="en-US" w:eastAsia="zh-CN"/>
        </w:rPr>
        <w:t>成品</w:t>
      </w:r>
      <w:r>
        <w:rPr>
          <w:rFonts w:hint="eastAsia" w:ascii="Times New Roman" w:hAnsi="宋体" w:eastAsia="宋体"/>
          <w:sz w:val="24"/>
          <w:szCs w:val="24"/>
        </w:rPr>
        <w:t>区、</w:t>
      </w:r>
      <w:r>
        <w:rPr>
          <w:rFonts w:hint="eastAsia" w:ascii="Times New Roman" w:hAnsi="宋体" w:eastAsia="宋体"/>
          <w:sz w:val="24"/>
          <w:szCs w:val="24"/>
          <w:lang w:val="en-US" w:eastAsia="zh-CN"/>
        </w:rPr>
        <w:t>办公</w:t>
      </w:r>
      <w:r>
        <w:rPr>
          <w:rFonts w:hint="eastAsia" w:ascii="Times New Roman" w:hAnsi="宋体" w:eastAsia="宋体"/>
          <w:sz w:val="24"/>
          <w:szCs w:val="24"/>
        </w:rPr>
        <w:t>及</w:t>
      </w:r>
      <w:r>
        <w:rPr>
          <w:rFonts w:hint="eastAsia" w:ascii="Times New Roman" w:hAnsi="宋体" w:eastAsia="宋体"/>
          <w:sz w:val="24"/>
          <w:szCs w:val="24"/>
          <w:lang w:val="en-US" w:eastAsia="zh-CN"/>
        </w:rPr>
        <w:t>生活</w:t>
      </w:r>
      <w:r>
        <w:rPr>
          <w:rFonts w:hint="eastAsia" w:ascii="Times New Roman" w:hAnsi="宋体" w:eastAsia="宋体"/>
          <w:sz w:val="24"/>
          <w:szCs w:val="24"/>
        </w:rPr>
        <w:t>区，详见图</w:t>
      </w:r>
      <w:r>
        <w:rPr>
          <w:rFonts w:hint="eastAsia" w:ascii="Times New Roman" w:hAnsi="宋体" w:eastAsia="宋体"/>
          <w:sz w:val="24"/>
          <w:szCs w:val="24"/>
          <w:lang w:val="en-US" w:eastAsia="zh-CN"/>
        </w:rPr>
        <w:t>3.3</w:t>
      </w:r>
      <w:r>
        <w:rPr>
          <w:rFonts w:hint="eastAsia" w:ascii="Times New Roman" w:hAnsi="宋体" w:eastAsia="宋体"/>
          <w:sz w:val="24"/>
          <w:szCs w:val="24"/>
        </w:rPr>
        <w:t>。厂区平面布置即做到了分区明确，方便原料运输，有做到了生产和办公互不影响。因此，整体而言厂区总平面布置科学合理，即方便物料运输，又方便生产管理，且各分区布局清晰明了，连接紧凑。</w:t>
      </w:r>
    </w:p>
    <w:p>
      <w:pPr>
        <w:pStyle w:val="4"/>
        <w:widowControl w:val="0"/>
        <w:spacing w:before="0" w:after="0" w:line="360" w:lineRule="auto"/>
        <w:rPr>
          <w:rFonts w:hint="eastAsia" w:ascii="Times New Roman" w:hAnsi="Times New Roman" w:eastAsia="宋体" w:cs="Courier New"/>
          <w:sz w:val="28"/>
          <w:szCs w:val="30"/>
        </w:rPr>
      </w:pPr>
      <w:bookmarkStart w:id="70" w:name="_Toc176255051"/>
      <w:bookmarkStart w:id="71" w:name="_Toc525138238"/>
      <w:bookmarkStart w:id="72" w:name="_Toc19379"/>
      <w:bookmarkStart w:id="73" w:name="_Toc18702"/>
      <w:bookmarkStart w:id="74" w:name="_Toc525138382"/>
      <w:r>
        <w:rPr>
          <w:rFonts w:hint="eastAsia" w:ascii="Times New Roman" w:hAnsi="Times New Roman" w:eastAsia="宋体" w:cs="Courier New"/>
          <w:sz w:val="28"/>
          <w:szCs w:val="30"/>
        </w:rPr>
        <w:t>3</w:t>
      </w:r>
      <w:r>
        <w:rPr>
          <w:rFonts w:ascii="Times New Roman" w:hAnsi="Times New Roman" w:eastAsia="宋体" w:cs="Courier New"/>
          <w:sz w:val="28"/>
          <w:szCs w:val="30"/>
        </w:rPr>
        <w:t>.</w:t>
      </w:r>
      <w:r>
        <w:rPr>
          <w:rFonts w:hint="eastAsia" w:ascii="Times New Roman" w:hAnsi="Times New Roman" w:eastAsia="宋体" w:cs="Courier New"/>
          <w:sz w:val="28"/>
          <w:szCs w:val="30"/>
        </w:rPr>
        <w:t>1.</w:t>
      </w:r>
      <w:bookmarkEnd w:id="70"/>
      <w:r>
        <w:rPr>
          <w:rFonts w:hint="eastAsia" w:ascii="Times New Roman" w:hAnsi="Times New Roman" w:eastAsia="宋体" w:cs="Courier New"/>
          <w:sz w:val="28"/>
          <w:szCs w:val="30"/>
        </w:rPr>
        <w:t>2企业生产现状</w:t>
      </w:r>
      <w:bookmarkEnd w:id="71"/>
      <w:bookmarkEnd w:id="72"/>
      <w:bookmarkEnd w:id="73"/>
      <w:bookmarkEnd w:id="74"/>
    </w:p>
    <w:p>
      <w:pPr>
        <w:pStyle w:val="6"/>
        <w:keepLines w:val="0"/>
        <w:widowControl w:val="0"/>
        <w:adjustRightInd/>
        <w:snapToGrid/>
        <w:spacing w:beforeLines="50" w:after="0" w:line="360" w:lineRule="auto"/>
        <w:rPr>
          <w:rFonts w:hint="eastAsia" w:ascii="Times New Roman" w:hAnsi="Times New Roman" w:eastAsia="宋体" w:cs="Times New Roman"/>
          <w:bCs w:val="0"/>
          <w:sz w:val="24"/>
        </w:rPr>
      </w:pPr>
      <w:r>
        <w:rPr>
          <w:rFonts w:hint="eastAsia" w:ascii="Times New Roman" w:hAnsi="Times New Roman" w:eastAsia="宋体" w:cs="Times New Roman"/>
          <w:bCs w:val="0"/>
          <w:sz w:val="24"/>
        </w:rPr>
        <w:t>3.1.2.1主要产品及产量</w:t>
      </w:r>
    </w:p>
    <w:p>
      <w:pPr>
        <w:spacing w:before="120"/>
        <w:ind w:firstLine="480"/>
        <w:rPr>
          <w:rFonts w:ascii="Times New Roman" w:hAnsi="宋体" w:eastAsia="宋体" w:cs="Times New Roman"/>
          <w:sz w:val="24"/>
          <w:szCs w:val="24"/>
        </w:rPr>
      </w:pPr>
      <w:r>
        <w:rPr>
          <w:rFonts w:ascii="Times New Roman" w:hAnsi="宋体" w:eastAsia="宋体" w:cs="Times New Roman"/>
          <w:sz w:val="24"/>
          <w:szCs w:val="24"/>
        </w:rPr>
        <w:t>企业基准期</w:t>
      </w:r>
      <w:r>
        <w:rPr>
          <w:rFonts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23</w:t>
      </w:r>
      <w:r>
        <w:rPr>
          <w:rFonts w:ascii="Times New Roman" w:hAnsi="宋体" w:eastAsia="宋体" w:cs="Times New Roman"/>
          <w:sz w:val="24"/>
          <w:szCs w:val="24"/>
        </w:rPr>
        <w:t>年</w:t>
      </w:r>
      <w:r>
        <w:rPr>
          <w:rFonts w:hint="eastAsia" w:ascii="Times New Roman" w:hAnsi="宋体" w:eastAsia="宋体" w:cs="Times New Roman"/>
          <w:sz w:val="24"/>
          <w:szCs w:val="24"/>
        </w:rPr>
        <w:t>，公司</w:t>
      </w:r>
      <w:r>
        <w:rPr>
          <w:rFonts w:ascii="Times New Roman" w:hAnsi="宋体" w:eastAsia="宋体" w:cs="Times New Roman"/>
          <w:sz w:val="24"/>
          <w:szCs w:val="24"/>
        </w:rPr>
        <w:t>主要生产</w:t>
      </w:r>
      <w:r>
        <w:rPr>
          <w:rFonts w:hint="eastAsia" w:ascii="Times New Roman" w:hAnsi="宋体" w:eastAsia="宋体" w:cs="Times New Roman"/>
          <w:sz w:val="24"/>
          <w:szCs w:val="24"/>
          <w:lang w:val="en-US" w:eastAsia="zh-CN"/>
        </w:rPr>
        <w:t>汽车座椅</w:t>
      </w:r>
      <w:r>
        <w:rPr>
          <w:rFonts w:hint="eastAsia" w:ascii="Times New Roman" w:hAnsi="宋体" w:eastAsia="宋体" w:cs="Times New Roman"/>
          <w:sz w:val="24"/>
          <w:szCs w:val="24"/>
        </w:rPr>
        <w:t>。</w:t>
      </w:r>
    </w:p>
    <w:p>
      <w:pPr>
        <w:spacing w:line="360" w:lineRule="auto"/>
        <w:ind w:firstLine="465"/>
        <w:rPr>
          <w:rFonts w:ascii="Times New Roman" w:hAnsi="宋体" w:eastAsia="宋体"/>
          <w:sz w:val="24"/>
          <w:szCs w:val="24"/>
        </w:rPr>
      </w:pPr>
      <w:r>
        <w:rPr>
          <w:rFonts w:hint="eastAsia" w:ascii="Times New Roman" w:hAnsi="宋体" w:eastAsia="宋体"/>
          <w:sz w:val="24"/>
          <w:szCs w:val="24"/>
        </w:rPr>
        <w:t>企业近三年主要产品产量如下：</w:t>
      </w:r>
    </w:p>
    <w:p>
      <w:pPr>
        <w:pStyle w:val="42"/>
        <w:rPr>
          <w:rFonts w:eastAsia="宋体"/>
          <w:b/>
        </w:rPr>
      </w:pPr>
      <w:r>
        <w:rPr>
          <w:rFonts w:eastAsia="宋体"/>
          <w:b/>
        </w:rPr>
        <w:t>表</w:t>
      </w:r>
      <w:r>
        <w:rPr>
          <w:rFonts w:hint="eastAsia" w:eastAsia="宋体"/>
          <w:b/>
        </w:rPr>
        <w:t>3-</w:t>
      </w:r>
      <w:r>
        <w:rPr>
          <w:rFonts w:hint="eastAsia" w:eastAsia="宋体"/>
          <w:b/>
          <w:lang w:val="en-US" w:eastAsia="zh-CN"/>
        </w:rPr>
        <w:t>3</w:t>
      </w:r>
      <w:r>
        <w:rPr>
          <w:rFonts w:hint="eastAsia" w:eastAsia="宋体"/>
          <w:b/>
        </w:rPr>
        <w:t xml:space="preserve"> </w:t>
      </w:r>
      <w:r>
        <w:rPr>
          <w:rFonts w:eastAsia="宋体"/>
          <w:b/>
        </w:rPr>
        <w:t xml:space="preserve"> </w:t>
      </w:r>
      <w:r>
        <w:rPr>
          <w:rFonts w:hint="eastAsia" w:eastAsia="宋体"/>
          <w:b/>
        </w:rPr>
        <w:t>企业近年产品产量表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9"/>
        <w:gridCol w:w="1584"/>
        <w:gridCol w:w="1584"/>
        <w:gridCol w:w="1434"/>
        <w:gridCol w:w="1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2"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产品名称</w:t>
            </w:r>
          </w:p>
        </w:tc>
        <w:tc>
          <w:tcPr>
            <w:tcW w:w="929"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产品单位</w:t>
            </w:r>
          </w:p>
        </w:tc>
        <w:tc>
          <w:tcPr>
            <w:tcW w:w="929"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2021年</w:t>
            </w:r>
          </w:p>
        </w:tc>
        <w:tc>
          <w:tcPr>
            <w:tcW w:w="841"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2022年</w:t>
            </w:r>
          </w:p>
        </w:tc>
        <w:tc>
          <w:tcPr>
            <w:tcW w:w="896"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2"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汽车座椅</w:t>
            </w:r>
          </w:p>
        </w:tc>
        <w:tc>
          <w:tcPr>
            <w:tcW w:w="929" w:type="pct"/>
            <w:noWrap w:val="0"/>
            <w:vAlign w:val="top"/>
          </w:tcPr>
          <w:p>
            <w:pPr>
              <w:spacing w:line="360" w:lineRule="auto"/>
              <w:jc w:val="center"/>
              <w:rPr>
                <w:rFonts w:hint="default" w:ascii="Times New Roman" w:hAnsi="Times New Roman"/>
                <w:sz w:val="22"/>
                <w:szCs w:val="22"/>
                <w:lang w:val="en-US" w:eastAsia="zh-CN"/>
              </w:rPr>
            </w:pPr>
            <w:r>
              <w:rPr>
                <w:rFonts w:hint="eastAsia" w:ascii="Times New Roman" w:hAnsi="Times New Roman"/>
                <w:sz w:val="22"/>
                <w:szCs w:val="22"/>
                <w:lang w:val="en-US" w:eastAsia="zh-CN"/>
              </w:rPr>
              <w:t>辆份</w:t>
            </w:r>
          </w:p>
        </w:tc>
        <w:tc>
          <w:tcPr>
            <w:tcW w:w="1584" w:type="dxa"/>
            <w:noWrap w:val="0"/>
            <w:vAlign w:val="center"/>
          </w:tcPr>
          <w:p>
            <w:pPr>
              <w:keepNext w:val="0"/>
              <w:keepLines w:val="0"/>
              <w:widowControl/>
              <w:suppressLineNumbers w:val="0"/>
              <w:jc w:val="center"/>
              <w:textAlignment w:val="center"/>
              <w:rPr>
                <w:rFonts w:hint="default" w:ascii="Times New Roman" w:hAnsi="Times New Roman"/>
                <w:sz w:val="22"/>
                <w:szCs w:val="22"/>
                <w:lang w:val="en-US" w:eastAsia="zh-CN"/>
              </w:rPr>
            </w:pPr>
            <w:r>
              <w:rPr>
                <w:rFonts w:hint="eastAsia" w:ascii="宋体" w:hAnsi="宋体" w:eastAsia="宋体" w:cs="宋体"/>
                <w:i w:val="0"/>
                <w:iCs w:val="0"/>
                <w:color w:val="000000"/>
                <w:kern w:val="0"/>
                <w:sz w:val="24"/>
                <w:szCs w:val="24"/>
                <w:u w:val="none"/>
                <w:lang w:val="en-US" w:eastAsia="zh-CN" w:bidi="ar"/>
              </w:rPr>
              <w:t>53685</w:t>
            </w:r>
          </w:p>
        </w:tc>
        <w:tc>
          <w:tcPr>
            <w:tcW w:w="1434" w:type="dxa"/>
            <w:noWrap w:val="0"/>
            <w:vAlign w:val="center"/>
          </w:tcPr>
          <w:p>
            <w:pPr>
              <w:keepNext w:val="0"/>
              <w:keepLines w:val="0"/>
              <w:widowControl/>
              <w:suppressLineNumbers w:val="0"/>
              <w:jc w:val="center"/>
              <w:textAlignment w:val="center"/>
              <w:rPr>
                <w:rFonts w:hint="default" w:ascii="Times New Roman" w:hAnsi="Times New Roman"/>
                <w:sz w:val="22"/>
                <w:szCs w:val="22"/>
                <w:lang w:val="en-US" w:eastAsia="zh-CN"/>
              </w:rPr>
            </w:pPr>
            <w:r>
              <w:rPr>
                <w:rFonts w:hint="eastAsia" w:ascii="宋体" w:hAnsi="宋体" w:eastAsia="宋体" w:cs="宋体"/>
                <w:i w:val="0"/>
                <w:iCs w:val="0"/>
                <w:color w:val="000000"/>
                <w:kern w:val="0"/>
                <w:sz w:val="24"/>
                <w:szCs w:val="24"/>
                <w:u w:val="none"/>
                <w:lang w:val="en-US" w:eastAsia="zh-CN" w:bidi="ar"/>
              </w:rPr>
              <w:t>58541</w:t>
            </w:r>
          </w:p>
        </w:tc>
        <w:tc>
          <w:tcPr>
            <w:tcW w:w="1528" w:type="dxa"/>
            <w:noWrap w:val="0"/>
            <w:vAlign w:val="center"/>
          </w:tcPr>
          <w:p>
            <w:pPr>
              <w:keepNext w:val="0"/>
              <w:keepLines w:val="0"/>
              <w:widowControl/>
              <w:suppressLineNumbers w:val="0"/>
              <w:jc w:val="center"/>
              <w:textAlignment w:val="center"/>
              <w:rPr>
                <w:rFonts w:hint="default" w:ascii="Times New Roman" w:hAnsi="Times New Roman"/>
                <w:sz w:val="22"/>
                <w:szCs w:val="22"/>
                <w:lang w:val="en-US" w:eastAsia="zh-CN"/>
              </w:rPr>
            </w:pPr>
            <w:r>
              <w:rPr>
                <w:rFonts w:hint="eastAsia" w:ascii="宋体" w:hAnsi="宋体" w:eastAsia="宋体" w:cs="宋体"/>
                <w:i w:val="0"/>
                <w:iCs w:val="0"/>
                <w:color w:val="000000"/>
                <w:kern w:val="0"/>
                <w:sz w:val="24"/>
                <w:szCs w:val="24"/>
                <w:u w:val="none"/>
                <w:lang w:val="en-US" w:eastAsia="zh-CN" w:bidi="ar"/>
              </w:rPr>
              <w:t>99288</w:t>
            </w:r>
          </w:p>
        </w:tc>
      </w:tr>
    </w:tbl>
    <w:p>
      <w:pPr>
        <w:spacing w:line="360" w:lineRule="auto"/>
        <w:ind w:firstLine="482"/>
        <w:rPr>
          <w:rFonts w:hint="default" w:ascii="Times New Roman" w:hAnsi="Times New Roman" w:eastAsia="宋体"/>
          <w:sz w:val="24"/>
          <w:szCs w:val="24"/>
          <w:lang w:val="en-US" w:eastAsia="zh-CN"/>
        </w:rPr>
      </w:pPr>
      <w:r>
        <w:rPr>
          <w:rFonts w:hint="eastAsia" w:ascii="Times New Roman" w:hAnsi="Times New Roman" w:eastAsia="宋体"/>
          <w:sz w:val="24"/>
          <w:szCs w:val="24"/>
        </w:rPr>
        <w:t>由上表可知，企业</w:t>
      </w:r>
      <w:r>
        <w:rPr>
          <w:rFonts w:hint="eastAsia" w:ascii="Times New Roman" w:hAnsi="Times New Roman" w:eastAsia="宋体"/>
          <w:sz w:val="24"/>
          <w:szCs w:val="24"/>
          <w:lang w:val="en-US" w:eastAsia="zh-CN"/>
        </w:rPr>
        <w:t>产量逐步上升，说明企业生产经营比较平稳。</w:t>
      </w:r>
    </w:p>
    <w:p>
      <w:pPr>
        <w:spacing w:line="360" w:lineRule="auto"/>
        <w:ind w:firstLine="482"/>
        <w:rPr>
          <w:rFonts w:hint="eastAsia" w:ascii="Times New Roman" w:hAnsi="Times New Roman" w:eastAsia="宋体"/>
          <w:sz w:val="24"/>
          <w:szCs w:val="24"/>
        </w:rPr>
      </w:pPr>
      <w:r>
        <w:rPr>
          <w:rFonts w:hint="eastAsia" w:ascii="Times New Roman" w:hAnsi="Times New Roman" w:eastAsia="宋体"/>
          <w:sz w:val="24"/>
          <w:szCs w:val="24"/>
        </w:rPr>
        <w:t>企业近三年产值和财务数据如下：</w:t>
      </w:r>
    </w:p>
    <w:p>
      <w:pPr>
        <w:pStyle w:val="42"/>
        <w:rPr>
          <w:rFonts w:eastAsia="宋体"/>
          <w:b/>
        </w:rPr>
      </w:pPr>
      <w:r>
        <w:rPr>
          <w:rFonts w:eastAsia="宋体"/>
          <w:b/>
        </w:rPr>
        <w:t>表</w:t>
      </w:r>
      <w:r>
        <w:rPr>
          <w:rFonts w:hint="eastAsia" w:eastAsia="宋体"/>
          <w:b/>
        </w:rPr>
        <w:t>3-</w:t>
      </w:r>
      <w:r>
        <w:rPr>
          <w:rFonts w:hint="eastAsia" w:eastAsia="宋体"/>
          <w:b/>
          <w:lang w:val="en-US" w:eastAsia="zh-CN"/>
        </w:rPr>
        <w:t>4</w:t>
      </w:r>
      <w:r>
        <w:rPr>
          <w:rFonts w:hint="eastAsia" w:eastAsia="宋体"/>
          <w:b/>
        </w:rPr>
        <w:t xml:space="preserve"> </w:t>
      </w:r>
      <w:r>
        <w:rPr>
          <w:rFonts w:eastAsia="宋体"/>
          <w:b/>
        </w:rPr>
        <w:t xml:space="preserve"> 各项经济指标统计表</w:t>
      </w:r>
    </w:p>
    <w:tbl>
      <w:tblPr>
        <w:tblStyle w:val="27"/>
        <w:tblW w:w="7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44"/>
        <w:gridCol w:w="1134"/>
        <w:gridCol w:w="1417"/>
        <w:gridCol w:w="1376"/>
        <w:gridCol w:w="15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5" w:hRule="atLeast"/>
          <w:jc w:val="center"/>
        </w:trPr>
        <w:tc>
          <w:tcPr>
            <w:tcW w:w="1844" w:type="dxa"/>
            <w:tcMar>
              <w:top w:w="85" w:type="dxa"/>
            </w:tcMar>
            <w:vAlign w:val="center"/>
          </w:tcPr>
          <w:p>
            <w:pPr>
              <w:pStyle w:val="48"/>
              <w:adjustRightInd w:val="0"/>
              <w:textAlignment w:val="baseline"/>
              <w:rPr>
                <w:color w:val="auto"/>
              </w:rPr>
            </w:pPr>
            <w:r>
              <w:rPr>
                <w:color w:val="auto"/>
              </w:rPr>
              <mc:AlternateContent>
                <mc:Choice Requires="wps">
                  <w:drawing>
                    <wp:anchor distT="0" distB="0" distL="114300" distR="114300" simplePos="0" relativeHeight="251661312" behindDoc="0" locked="0" layoutInCell="1" allowOverlap="1">
                      <wp:simplePos x="0" y="0"/>
                      <wp:positionH relativeFrom="column">
                        <wp:posOffset>-76200</wp:posOffset>
                      </wp:positionH>
                      <wp:positionV relativeFrom="paragraph">
                        <wp:posOffset>-50165</wp:posOffset>
                      </wp:positionV>
                      <wp:extent cx="1160145" cy="476885"/>
                      <wp:effectExtent l="1905" t="4445" r="19050" b="13970"/>
                      <wp:wrapNone/>
                      <wp:docPr id="45" name="自选图形 662"/>
                      <wp:cNvGraphicFramePr/>
                      <a:graphic xmlns:a="http://schemas.openxmlformats.org/drawingml/2006/main">
                        <a:graphicData uri="http://schemas.microsoft.com/office/word/2010/wordprocessingShape">
                          <wps:wsp>
                            <wps:cNvCnPr/>
                            <wps:spPr>
                              <a:xfrm>
                                <a:off x="0" y="0"/>
                                <a:ext cx="1160145" cy="47688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62" o:spid="_x0000_s1026" o:spt="32" type="#_x0000_t32" style="position:absolute;left:0pt;margin-left:-6pt;margin-top:-3.95pt;height:37.55pt;width:91.35pt;z-index:251661312;mso-width-relative:page;mso-height-relative:page;" filled="f" stroked="t" coordsize="21600,21600" o:gfxdata="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D2rnPYAAAACQEAAA8AAAAAAAAAAQAgAAAAIgAAAGRycy9kb3ducmV2Lnht&#10;bFBLAQIUABQAAAAIAIdO4kB1bsCv+QEAAOsDAAAOAAAAAAAAAAEAIAAAACcBAABkcnMvZTJvRG9j&#10;LnhtbFBLBQYAAAAABgAGAFkBAACSBQAAAAA=&#10;">
                      <v:fill on="f" focussize="0,0"/>
                      <v:stroke color="#000000" joinstyle="round"/>
                      <v:imagedata o:title=""/>
                      <o:lock v:ext="edit" aspectratio="f"/>
                    </v:shape>
                  </w:pict>
                </mc:Fallback>
              </mc:AlternateContent>
            </w:r>
            <w:r>
              <w:rPr>
                <w:rFonts w:hint="eastAsia"/>
                <w:color w:val="auto"/>
              </w:rPr>
              <w:t xml:space="preserve">          年度</w:t>
            </w:r>
          </w:p>
          <w:p>
            <w:pPr>
              <w:pStyle w:val="48"/>
              <w:adjustRightInd w:val="0"/>
              <w:jc w:val="left"/>
              <w:textAlignment w:val="baseline"/>
              <w:rPr>
                <w:color w:val="auto"/>
              </w:rPr>
            </w:pPr>
            <w:r>
              <w:rPr>
                <w:rFonts w:hint="eastAsia"/>
                <w:color w:val="auto"/>
              </w:rPr>
              <w:t xml:space="preserve">项目                     </w:t>
            </w:r>
          </w:p>
        </w:tc>
        <w:tc>
          <w:tcPr>
            <w:tcW w:w="1134" w:type="dxa"/>
            <w:tcMar>
              <w:top w:w="85" w:type="dxa"/>
            </w:tcMar>
            <w:vAlign w:val="center"/>
          </w:tcPr>
          <w:p>
            <w:pPr>
              <w:pStyle w:val="48"/>
              <w:adjustRightInd w:val="0"/>
              <w:textAlignment w:val="baseline"/>
              <w:rPr>
                <w:color w:val="auto"/>
              </w:rPr>
            </w:pPr>
            <w:r>
              <w:rPr>
                <w:color w:val="auto"/>
              </w:rPr>
              <w:t>单位</w:t>
            </w:r>
          </w:p>
        </w:tc>
        <w:tc>
          <w:tcPr>
            <w:tcW w:w="1417" w:type="dxa"/>
            <w:tcMar>
              <w:top w:w="85" w:type="dxa"/>
            </w:tcMar>
            <w:vAlign w:val="center"/>
          </w:tcPr>
          <w:p>
            <w:pPr>
              <w:pStyle w:val="48"/>
              <w:adjustRightInd w:val="0"/>
              <w:textAlignment w:val="baseline"/>
              <w:rPr>
                <w:rFonts w:hint="default" w:eastAsia="宋体"/>
                <w:color w:val="auto"/>
                <w:lang w:val="en-US" w:eastAsia="zh-CN"/>
              </w:rPr>
            </w:pPr>
            <w:r>
              <w:rPr>
                <w:rFonts w:hint="eastAsia"/>
                <w:color w:val="auto"/>
              </w:rPr>
              <w:t>20</w:t>
            </w:r>
            <w:r>
              <w:rPr>
                <w:rFonts w:hint="eastAsia"/>
                <w:color w:val="auto"/>
                <w:lang w:val="en-US" w:eastAsia="zh-CN"/>
              </w:rPr>
              <w:t>21</w:t>
            </w:r>
          </w:p>
        </w:tc>
        <w:tc>
          <w:tcPr>
            <w:tcW w:w="1376" w:type="dxa"/>
            <w:vAlign w:val="center"/>
          </w:tcPr>
          <w:p>
            <w:pPr>
              <w:pStyle w:val="48"/>
              <w:adjustRightInd w:val="0"/>
              <w:textAlignment w:val="baseline"/>
              <w:rPr>
                <w:rFonts w:hint="default" w:eastAsia="宋体"/>
                <w:color w:val="auto"/>
                <w:lang w:val="en-US" w:eastAsia="zh-CN"/>
              </w:rPr>
            </w:pPr>
            <w:r>
              <w:rPr>
                <w:rFonts w:hint="eastAsia"/>
                <w:color w:val="auto"/>
              </w:rPr>
              <w:t>20</w:t>
            </w:r>
            <w:r>
              <w:rPr>
                <w:rFonts w:hint="eastAsia"/>
                <w:color w:val="auto"/>
                <w:lang w:val="en-US" w:eastAsia="zh-CN"/>
              </w:rPr>
              <w:t>22</w:t>
            </w:r>
          </w:p>
        </w:tc>
        <w:tc>
          <w:tcPr>
            <w:tcW w:w="1505" w:type="dxa"/>
            <w:vAlign w:val="center"/>
          </w:tcPr>
          <w:p>
            <w:pPr>
              <w:pStyle w:val="48"/>
              <w:adjustRightInd w:val="0"/>
              <w:textAlignment w:val="baseline"/>
              <w:rPr>
                <w:rFonts w:hint="default" w:eastAsia="宋体"/>
                <w:color w:val="auto"/>
                <w:lang w:val="en-US" w:eastAsia="zh-CN"/>
              </w:rPr>
            </w:pPr>
            <w:r>
              <w:rPr>
                <w:rFonts w:hint="eastAsia"/>
                <w:color w:val="auto"/>
              </w:rPr>
              <w:t>20</w:t>
            </w:r>
            <w:r>
              <w:rPr>
                <w:rFonts w:hint="eastAsia"/>
                <w:color w:val="auto"/>
                <w:lang w:val="en-US" w:eastAsia="zh-CN"/>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44" w:type="dxa"/>
            <w:tcMar>
              <w:top w:w="85" w:type="dxa"/>
            </w:tcMar>
            <w:vAlign w:val="center"/>
          </w:tcPr>
          <w:p>
            <w:pPr>
              <w:pStyle w:val="48"/>
              <w:adjustRightInd w:val="0"/>
              <w:textAlignment w:val="baseline"/>
              <w:rPr>
                <w:rFonts w:hint="eastAsia"/>
                <w:color w:val="auto"/>
              </w:rPr>
            </w:pPr>
            <w:r>
              <w:rPr>
                <w:rFonts w:hint="eastAsia"/>
                <w:color w:val="auto"/>
              </w:rPr>
              <w:t>总产值</w:t>
            </w:r>
          </w:p>
        </w:tc>
        <w:tc>
          <w:tcPr>
            <w:tcW w:w="1134" w:type="dxa"/>
            <w:tcMar>
              <w:top w:w="85" w:type="dxa"/>
            </w:tcMar>
            <w:vAlign w:val="center"/>
          </w:tcPr>
          <w:p>
            <w:pPr>
              <w:pStyle w:val="48"/>
              <w:adjustRightInd w:val="0"/>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万元</w:t>
            </w:r>
          </w:p>
        </w:tc>
        <w:tc>
          <w:tcPr>
            <w:tcW w:w="1417" w:type="dxa"/>
            <w:tcMar>
              <w:top w:w="85" w:type="dxa"/>
            </w:tcMar>
            <w:vAlign w:val="center"/>
          </w:tcPr>
          <w:p>
            <w:pPr>
              <w:pStyle w:val="48"/>
              <w:adjustRightInd w:val="0"/>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10538.59</w:t>
            </w:r>
          </w:p>
        </w:tc>
        <w:tc>
          <w:tcPr>
            <w:tcW w:w="1376" w:type="dxa"/>
            <w:vAlign w:val="center"/>
          </w:tcPr>
          <w:p>
            <w:pPr>
              <w:pStyle w:val="48"/>
              <w:adjustRightInd w:val="0"/>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8694.5</w:t>
            </w:r>
          </w:p>
        </w:tc>
        <w:tc>
          <w:tcPr>
            <w:tcW w:w="1505" w:type="dxa"/>
            <w:vAlign w:val="center"/>
          </w:tcPr>
          <w:p>
            <w:pPr>
              <w:pStyle w:val="48"/>
              <w:adjustRightInd w:val="0"/>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13164.27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1844" w:type="dxa"/>
            <w:tcMar>
              <w:top w:w="85" w:type="dxa"/>
            </w:tcMar>
            <w:vAlign w:val="center"/>
          </w:tcPr>
          <w:p>
            <w:pPr>
              <w:pStyle w:val="48"/>
              <w:adjustRightInd w:val="0"/>
              <w:textAlignment w:val="baseline"/>
              <w:rPr>
                <w:color w:val="auto"/>
              </w:rPr>
            </w:pPr>
            <w:r>
              <w:rPr>
                <w:rFonts w:hint="eastAsia"/>
                <w:color w:val="auto"/>
              </w:rPr>
              <w:t>利税总额</w:t>
            </w:r>
          </w:p>
        </w:tc>
        <w:tc>
          <w:tcPr>
            <w:tcW w:w="1134" w:type="dxa"/>
            <w:tcMar>
              <w:top w:w="85" w:type="dxa"/>
            </w:tcMar>
            <w:vAlign w:val="center"/>
          </w:tcPr>
          <w:p>
            <w:pPr>
              <w:pStyle w:val="48"/>
              <w:adjustRightInd w:val="0"/>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万元</w:t>
            </w:r>
          </w:p>
        </w:tc>
        <w:tc>
          <w:tcPr>
            <w:tcW w:w="1417" w:type="dxa"/>
            <w:tcMar>
              <w:top w:w="85" w:type="dxa"/>
            </w:tcMar>
            <w:vAlign w:val="center"/>
          </w:tcPr>
          <w:p>
            <w:pPr>
              <w:pStyle w:val="48"/>
              <w:adjustRightInd w:val="0"/>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11.65</w:t>
            </w:r>
          </w:p>
        </w:tc>
        <w:tc>
          <w:tcPr>
            <w:tcW w:w="1376" w:type="dxa"/>
            <w:vAlign w:val="center"/>
          </w:tcPr>
          <w:p>
            <w:pPr>
              <w:pStyle w:val="48"/>
              <w:adjustRightInd w:val="0"/>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22.23</w:t>
            </w:r>
          </w:p>
        </w:tc>
        <w:tc>
          <w:tcPr>
            <w:tcW w:w="1505" w:type="dxa"/>
            <w:vAlign w:val="center"/>
          </w:tcPr>
          <w:p>
            <w:pPr>
              <w:pStyle w:val="48"/>
              <w:adjustRightInd w:val="0"/>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73.08</w:t>
            </w:r>
          </w:p>
        </w:tc>
      </w:tr>
    </w:tbl>
    <w:p>
      <w:pPr>
        <w:pStyle w:val="6"/>
        <w:keepLines w:val="0"/>
        <w:widowControl w:val="0"/>
        <w:adjustRightInd/>
        <w:snapToGrid/>
        <w:spacing w:beforeLines="50" w:after="0" w:line="360" w:lineRule="auto"/>
        <w:rPr>
          <w:rFonts w:ascii="Times New Roman" w:hAnsi="Times New Roman"/>
          <w:bCs w:val="0"/>
          <w:color w:val="000000" w:themeColor="text1"/>
          <w:sz w:val="24"/>
        </w:rPr>
      </w:pPr>
      <w:r>
        <w:rPr>
          <w:rFonts w:hint="eastAsia" w:ascii="Times New Roman" w:hAnsi="Times New Roman"/>
          <w:bCs w:val="0"/>
          <w:color w:val="000000" w:themeColor="text1"/>
          <w:sz w:val="24"/>
        </w:rPr>
        <w:t>3</w:t>
      </w:r>
      <w:r>
        <w:rPr>
          <w:rFonts w:ascii="Times New Roman" w:hAnsi="Times New Roman"/>
          <w:bCs w:val="0"/>
          <w:color w:val="000000" w:themeColor="text1"/>
          <w:sz w:val="24"/>
        </w:rPr>
        <w:t>.1</w:t>
      </w:r>
      <w:r>
        <w:rPr>
          <w:rFonts w:hint="eastAsia" w:ascii="Times New Roman" w:hAnsi="Times New Roman"/>
          <w:bCs w:val="0"/>
          <w:color w:val="000000" w:themeColor="text1"/>
          <w:sz w:val="24"/>
        </w:rPr>
        <w:t>.2</w:t>
      </w:r>
      <w:r>
        <w:rPr>
          <w:rFonts w:ascii="Times New Roman" w:hAnsi="Times New Roman"/>
          <w:bCs w:val="0"/>
          <w:color w:val="000000" w:themeColor="text1"/>
          <w:sz w:val="24"/>
        </w:rPr>
        <w:t>.</w:t>
      </w:r>
      <w:r>
        <w:rPr>
          <w:rFonts w:hint="eastAsia" w:ascii="Times New Roman" w:hAnsi="Times New Roman"/>
          <w:bCs w:val="0"/>
          <w:color w:val="000000" w:themeColor="text1"/>
          <w:sz w:val="24"/>
        </w:rPr>
        <w:t>2主要生产工艺</w:t>
      </w:r>
    </w:p>
    <w:p>
      <w:pPr>
        <w:keepNext w:val="0"/>
        <w:keepLines w:val="0"/>
        <w:widowControl/>
        <w:suppressLineNumbers w:val="0"/>
        <w:jc w:val="left"/>
        <w:rPr>
          <w:rFonts w:ascii="Times New Roman" w:hAnsi="宋体" w:eastAsia="宋体"/>
          <w:color w:val="000000" w:themeColor="text1"/>
          <w:sz w:val="24"/>
          <w:szCs w:val="24"/>
        </w:rPr>
      </w:pPr>
      <w:r>
        <w:rPr>
          <w:rFonts w:hint="eastAsia" w:ascii="Times New Roman" w:hAnsi="宋体" w:eastAsia="宋体"/>
          <w:color w:val="000000" w:themeColor="text1"/>
          <w:sz w:val="24"/>
          <w:szCs w:val="24"/>
        </w:rPr>
        <w:t>1、</w:t>
      </w:r>
      <w:r>
        <w:rPr>
          <w:rFonts w:hint="eastAsia" w:ascii="宋体" w:hAnsi="宋体" w:eastAsia="宋体" w:cs="宋体"/>
          <w:color w:val="000000" w:themeColor="text1"/>
          <w:kern w:val="0"/>
          <w:sz w:val="24"/>
          <w:szCs w:val="24"/>
          <w:lang w:val="en-US" w:eastAsia="zh-CN" w:bidi="ar"/>
        </w:rPr>
        <w:t>现有项目主要</w:t>
      </w:r>
      <w:r>
        <w:rPr>
          <w:rFonts w:hint="eastAsia" w:ascii="Times New Roman" w:hAnsi="宋体" w:eastAsia="宋体"/>
          <w:color w:val="000000" w:themeColor="text1"/>
          <w:sz w:val="24"/>
          <w:szCs w:val="24"/>
        </w:rPr>
        <w:t>生产工艺及产污流程见图3.4。</w:t>
      </w:r>
    </w:p>
    <w:p>
      <w:pPr>
        <w:widowControl/>
        <w:jc w:val="left"/>
        <w:rPr>
          <w:rFonts w:ascii="Times New Roman" w:hAnsi="宋体" w:eastAsia="宋体"/>
          <w:sz w:val="24"/>
          <w:szCs w:val="24"/>
        </w:rPr>
      </w:pPr>
      <w:r>
        <w:drawing>
          <wp:inline distT="0" distB="0" distL="114300" distR="114300">
            <wp:extent cx="5270500" cy="4950460"/>
            <wp:effectExtent l="0" t="0" r="6350" b="2540"/>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16"/>
                    <a:stretch>
                      <a:fillRect/>
                    </a:stretch>
                  </pic:blipFill>
                  <pic:spPr>
                    <a:xfrm>
                      <a:off x="0" y="0"/>
                      <a:ext cx="5270500" cy="4950460"/>
                    </a:xfrm>
                    <a:prstGeom prst="rect">
                      <a:avLst/>
                    </a:prstGeom>
                    <a:noFill/>
                    <a:ln>
                      <a:noFill/>
                    </a:ln>
                  </pic:spPr>
                </pic:pic>
              </a:graphicData>
            </a:graphic>
          </wp:inline>
        </w:drawing>
      </w:r>
    </w:p>
    <w:p>
      <w:pPr>
        <w:keepNext w:val="0"/>
        <w:keepLines w:val="0"/>
        <w:widowControl/>
        <w:suppressLineNumbers w:val="0"/>
        <w:jc w:val="center"/>
        <w:rPr>
          <w:rFonts w:hint="default" w:ascii="宋体" w:hAnsi="宋体" w:eastAsia="宋体" w:cs="宋体"/>
          <w:b/>
          <w:color w:val="000000" w:themeColor="text1"/>
          <w:kern w:val="0"/>
          <w:sz w:val="24"/>
          <w:szCs w:val="24"/>
          <w:lang w:val="en-US" w:eastAsia="zh-CN" w:bidi="ar"/>
        </w:rPr>
      </w:pPr>
      <w:r>
        <w:rPr>
          <w:rFonts w:hint="eastAsia" w:ascii="Times New Roman" w:hAnsi="宋体" w:eastAsia="宋体"/>
          <w:b/>
          <w:color w:val="000000" w:themeColor="text1"/>
          <w:sz w:val="24"/>
          <w:szCs w:val="24"/>
        </w:rPr>
        <w:t xml:space="preserve">图3.4  </w:t>
      </w:r>
      <w:r>
        <w:rPr>
          <w:rFonts w:hint="eastAsia" w:ascii="Times New Roman" w:hAnsi="Times New Roman" w:eastAsia="宋体"/>
          <w:b/>
          <w:color w:val="000000" w:themeColor="text1"/>
          <w:sz w:val="24"/>
          <w:szCs w:val="24"/>
        </w:rPr>
        <w:t>生产工艺流程及产污节点图</w:t>
      </w:r>
      <w:r>
        <w:rPr>
          <w:rFonts w:hint="eastAsia" w:ascii="Times New Roman" w:hAnsi="Times New Roman" w:eastAsia="宋体"/>
          <w:b/>
          <w:color w:val="000000" w:themeColor="text1"/>
          <w:sz w:val="24"/>
          <w:szCs w:val="24"/>
          <w:lang w:val="en-US" w:eastAsia="zh-CN"/>
        </w:rPr>
        <w:t xml:space="preserve">  </w:t>
      </w:r>
    </w:p>
    <w:p>
      <w:pPr>
        <w:pStyle w:val="4"/>
        <w:widowControl w:val="0"/>
        <w:spacing w:before="0" w:after="0" w:line="360" w:lineRule="auto"/>
        <w:rPr>
          <w:rFonts w:ascii="Times New Roman" w:hAnsi="Times New Roman" w:eastAsia="宋体" w:cs="Courier New"/>
          <w:color w:val="000000" w:themeColor="text1"/>
          <w:sz w:val="28"/>
          <w:szCs w:val="30"/>
        </w:rPr>
      </w:pPr>
      <w:bookmarkStart w:id="75" w:name="_Toc17681"/>
      <w:bookmarkStart w:id="76" w:name="_Toc525138383"/>
      <w:bookmarkStart w:id="77" w:name="_Toc525138239"/>
      <w:r>
        <w:rPr>
          <w:rFonts w:hint="eastAsia" w:ascii="Times New Roman" w:hAnsi="Times New Roman" w:eastAsia="宋体" w:cs="Courier New"/>
          <w:color w:val="000000" w:themeColor="text1"/>
          <w:sz w:val="28"/>
          <w:szCs w:val="30"/>
        </w:rPr>
        <w:t>3</w:t>
      </w:r>
      <w:r>
        <w:rPr>
          <w:rFonts w:ascii="Times New Roman" w:hAnsi="Times New Roman" w:eastAsia="宋体" w:cs="Courier New"/>
          <w:color w:val="000000" w:themeColor="text1"/>
          <w:sz w:val="28"/>
          <w:szCs w:val="30"/>
        </w:rPr>
        <w:t>.</w:t>
      </w:r>
      <w:r>
        <w:rPr>
          <w:rFonts w:hint="eastAsia" w:ascii="Times New Roman" w:hAnsi="Times New Roman" w:eastAsia="宋体" w:cs="Courier New"/>
          <w:color w:val="000000" w:themeColor="text1"/>
          <w:sz w:val="28"/>
          <w:szCs w:val="30"/>
        </w:rPr>
        <w:t>1.3原辅材料、水、能源消耗</w:t>
      </w:r>
      <w:bookmarkEnd w:id="75"/>
      <w:bookmarkEnd w:id="76"/>
      <w:bookmarkEnd w:id="77"/>
    </w:p>
    <w:p>
      <w:pPr>
        <w:pStyle w:val="6"/>
        <w:keepLines w:val="0"/>
        <w:widowControl w:val="0"/>
        <w:adjustRightInd/>
        <w:snapToGrid/>
        <w:spacing w:beforeLines="50" w:after="0" w:line="360" w:lineRule="auto"/>
        <w:rPr>
          <w:rFonts w:ascii="Times New Roman" w:hAnsi="Times New Roman"/>
          <w:bCs w:val="0"/>
          <w:color w:val="000000" w:themeColor="text1"/>
          <w:sz w:val="24"/>
        </w:rPr>
      </w:pPr>
      <w:r>
        <w:rPr>
          <w:rFonts w:hint="eastAsia" w:ascii="Times New Roman" w:hAnsi="Times New Roman"/>
          <w:bCs w:val="0"/>
          <w:color w:val="000000" w:themeColor="text1"/>
          <w:sz w:val="24"/>
        </w:rPr>
        <w:t>3.3.3.1 原辅材料消耗</w:t>
      </w:r>
    </w:p>
    <w:p>
      <w:pPr>
        <w:spacing w:beforeLines="50" w:line="360" w:lineRule="auto"/>
        <w:ind w:firstLine="480" w:firstLineChars="200"/>
        <w:rPr>
          <w:rFonts w:hint="eastAsia" w:ascii="Times New Roman" w:hAnsi="Times New Roman" w:eastAsia="宋体"/>
          <w:b/>
          <w:sz w:val="24"/>
          <w:szCs w:val="24"/>
        </w:rPr>
      </w:pPr>
      <w:r>
        <w:rPr>
          <w:rFonts w:hint="eastAsia" w:ascii="Times New Roman" w:hAnsi="Times New Roman" w:eastAsia="宋体"/>
          <w:color w:val="000000" w:themeColor="text1"/>
          <w:sz w:val="24"/>
          <w:szCs w:val="24"/>
        </w:rPr>
        <w:t>企业近三年的原辅料消耗见下表：</w:t>
      </w:r>
    </w:p>
    <w:p>
      <w:pPr>
        <w:spacing w:beforeLines="50" w:line="360" w:lineRule="auto"/>
        <w:jc w:val="center"/>
        <w:rPr>
          <w:rFonts w:ascii="Times New Roman" w:hAnsi="Times New Roman" w:eastAsia="宋体"/>
          <w:b/>
          <w:sz w:val="24"/>
          <w:szCs w:val="24"/>
        </w:rPr>
      </w:pPr>
      <w:r>
        <w:rPr>
          <w:rFonts w:hint="eastAsia" w:ascii="Times New Roman" w:hAnsi="Times New Roman" w:eastAsia="宋体"/>
          <w:b/>
          <w:sz w:val="24"/>
          <w:szCs w:val="24"/>
        </w:rPr>
        <w:t>表3-</w:t>
      </w:r>
      <w:r>
        <w:rPr>
          <w:rFonts w:hint="eastAsia" w:ascii="Times New Roman" w:hAnsi="Times New Roman" w:eastAsia="宋体"/>
          <w:b/>
          <w:sz w:val="24"/>
          <w:szCs w:val="24"/>
          <w:lang w:val="en-US" w:eastAsia="zh-CN"/>
        </w:rPr>
        <w:t>5</w:t>
      </w:r>
      <w:r>
        <w:rPr>
          <w:rFonts w:hint="eastAsia" w:ascii="Times New Roman" w:hAnsi="Times New Roman" w:eastAsia="宋体"/>
          <w:b/>
          <w:sz w:val="24"/>
          <w:szCs w:val="24"/>
        </w:rPr>
        <w:t xml:space="preserve"> 企业近三年主要原辅材料消耗表</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4"/>
        <w:gridCol w:w="1288"/>
        <w:gridCol w:w="1341"/>
        <w:gridCol w:w="1341"/>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blHeader/>
        </w:trPr>
        <w:tc>
          <w:tcPr>
            <w:tcW w:w="1880" w:type="pct"/>
            <w:vMerge w:val="restar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sz w:val="22"/>
                <w:szCs w:val="22"/>
                <w:u w:val="none"/>
              </w:rPr>
            </w:pPr>
            <w:r>
              <w:rPr>
                <w:rFonts w:hint="default" w:ascii="Times New Roman" w:hAnsi="Times New Roman" w:eastAsia="宋体" w:cs="Times New Roman"/>
                <w:b w:val="0"/>
                <w:bCs w:val="0"/>
                <w:i w:val="0"/>
                <w:iCs w:val="0"/>
                <w:color w:val="000000"/>
                <w:kern w:val="0"/>
                <w:sz w:val="22"/>
                <w:szCs w:val="22"/>
                <w:u w:val="none"/>
                <w:lang w:val="en-US" w:eastAsia="zh-CN" w:bidi="ar"/>
              </w:rPr>
              <w:t>产品名称</w:t>
            </w:r>
          </w:p>
        </w:tc>
        <w:tc>
          <w:tcPr>
            <w:tcW w:w="756" w:type="pct"/>
            <w:vMerge w:val="restar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sz w:val="22"/>
                <w:szCs w:val="22"/>
                <w:u w:val="none"/>
              </w:rPr>
            </w:pPr>
            <w:r>
              <w:rPr>
                <w:rFonts w:hint="default" w:ascii="Times New Roman" w:hAnsi="Times New Roman" w:eastAsia="宋体" w:cs="Times New Roman"/>
                <w:b w:val="0"/>
                <w:bCs w:val="0"/>
                <w:i w:val="0"/>
                <w:iCs w:val="0"/>
                <w:color w:val="000000"/>
                <w:kern w:val="0"/>
                <w:sz w:val="22"/>
                <w:szCs w:val="22"/>
                <w:u w:val="none"/>
                <w:lang w:val="en-US" w:eastAsia="zh-CN" w:bidi="ar"/>
              </w:rPr>
              <w:t>产品单位</w:t>
            </w:r>
          </w:p>
        </w:tc>
        <w:tc>
          <w:tcPr>
            <w:tcW w:w="2362" w:type="pct"/>
            <w:gridSpan w:val="3"/>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sz w:val="22"/>
                <w:szCs w:val="22"/>
                <w:u w:val="none"/>
                <w:lang w:val="en-US" w:eastAsia="zh-CN"/>
              </w:rPr>
            </w:pPr>
            <w:r>
              <w:rPr>
                <w:rFonts w:hint="default" w:ascii="Times New Roman" w:hAnsi="Times New Roman" w:eastAsia="宋体" w:cs="Times New Roman"/>
                <w:b w:val="0"/>
                <w:bCs w:val="0"/>
                <w:i w:val="0"/>
                <w:iCs w:val="0"/>
                <w:color w:val="000000"/>
                <w:sz w:val="22"/>
                <w:szCs w:val="22"/>
                <w:u w:val="none"/>
                <w:lang w:val="en-US" w:eastAsia="zh-CN"/>
              </w:rPr>
              <w:t>产品用量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blHeader/>
        </w:trPr>
        <w:tc>
          <w:tcPr>
            <w:tcW w:w="1880" w:type="pct"/>
            <w:vMerge w:val="continue"/>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p>
        </w:tc>
        <w:tc>
          <w:tcPr>
            <w:tcW w:w="756" w:type="pct"/>
            <w:vMerge w:val="continue"/>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p>
        </w:tc>
        <w:tc>
          <w:tcPr>
            <w:tcW w:w="787"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r>
              <w:rPr>
                <w:rFonts w:hint="default" w:ascii="Times New Roman" w:hAnsi="Times New Roman" w:eastAsia="宋体" w:cs="Times New Roman"/>
                <w:b w:val="0"/>
                <w:bCs w:val="0"/>
                <w:i w:val="0"/>
                <w:iCs w:val="0"/>
                <w:color w:val="000000"/>
                <w:kern w:val="0"/>
                <w:sz w:val="22"/>
                <w:szCs w:val="22"/>
                <w:u w:val="none"/>
                <w:lang w:val="en-US" w:eastAsia="zh-CN" w:bidi="ar"/>
              </w:rPr>
              <w:t>2021年</w:t>
            </w:r>
          </w:p>
        </w:tc>
        <w:tc>
          <w:tcPr>
            <w:tcW w:w="787"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r>
              <w:rPr>
                <w:rFonts w:hint="default" w:ascii="Times New Roman" w:hAnsi="Times New Roman" w:eastAsia="宋体" w:cs="Times New Roman"/>
                <w:b w:val="0"/>
                <w:bCs w:val="0"/>
                <w:i w:val="0"/>
                <w:iCs w:val="0"/>
                <w:color w:val="000000"/>
                <w:kern w:val="0"/>
                <w:sz w:val="22"/>
                <w:szCs w:val="22"/>
                <w:u w:val="none"/>
                <w:lang w:val="en-US" w:eastAsia="zh-CN" w:bidi="ar"/>
              </w:rPr>
              <w:t>2022年</w:t>
            </w:r>
          </w:p>
        </w:tc>
        <w:tc>
          <w:tcPr>
            <w:tcW w:w="788"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r>
              <w:rPr>
                <w:rFonts w:hint="default" w:ascii="Times New Roman" w:hAnsi="Times New Roman" w:eastAsia="宋体" w:cs="Times New Roman"/>
                <w:b w:val="0"/>
                <w:bCs w:val="0"/>
                <w:i w:val="0"/>
                <w:iCs w:val="0"/>
                <w:color w:val="000000"/>
                <w:kern w:val="0"/>
                <w:sz w:val="22"/>
                <w:szCs w:val="22"/>
                <w:u w:val="none"/>
                <w:lang w:val="en-US" w:eastAsia="zh-CN" w:bidi="ar"/>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80" w:type="pct"/>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钢管</w:t>
            </w:r>
          </w:p>
        </w:tc>
        <w:tc>
          <w:tcPr>
            <w:tcW w:w="756"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sz w:val="22"/>
                <w:szCs w:val="22"/>
                <w:u w:val="none"/>
                <w:lang w:val="en-US"/>
              </w:rPr>
            </w:pPr>
            <w:r>
              <w:rPr>
                <w:rFonts w:hint="eastAsia" w:ascii="Times New Roman" w:hAnsi="Times New Roman" w:cs="Times New Roman"/>
                <w:b w:val="0"/>
                <w:bCs w:val="0"/>
                <w:i w:val="0"/>
                <w:iCs w:val="0"/>
                <w:color w:val="auto"/>
                <w:kern w:val="0"/>
                <w:sz w:val="22"/>
                <w:szCs w:val="22"/>
                <w:u w:val="none"/>
                <w:lang w:val="en-US" w:eastAsia="zh-CN" w:bidi="ar"/>
              </w:rPr>
              <w:t>吨</w:t>
            </w:r>
          </w:p>
        </w:tc>
        <w:tc>
          <w:tcPr>
            <w:tcW w:w="1341"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81.229</w:t>
            </w:r>
          </w:p>
        </w:tc>
        <w:tc>
          <w:tcPr>
            <w:tcW w:w="1341"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86.598</w:t>
            </w:r>
          </w:p>
        </w:tc>
        <w:tc>
          <w:tcPr>
            <w:tcW w:w="1343"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120.374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80"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化料</w:t>
            </w:r>
          </w:p>
        </w:tc>
        <w:tc>
          <w:tcPr>
            <w:tcW w:w="756" w:type="pct"/>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sz w:val="22"/>
                <w:szCs w:val="22"/>
                <w:u w:val="none"/>
                <w:lang w:val="en-US" w:eastAsia="zh-CN"/>
              </w:rPr>
            </w:pPr>
            <w:r>
              <w:rPr>
                <w:rFonts w:hint="eastAsia" w:ascii="Times New Roman" w:hAnsi="Times New Roman" w:eastAsia="宋体" w:cs="Times New Roman"/>
                <w:b w:val="0"/>
                <w:bCs w:val="0"/>
                <w:i w:val="0"/>
                <w:iCs w:val="0"/>
                <w:color w:val="auto"/>
                <w:sz w:val="22"/>
                <w:szCs w:val="22"/>
                <w:u w:val="none"/>
                <w:lang w:val="en-US" w:eastAsia="zh-CN"/>
              </w:rPr>
              <w:t>吨</w:t>
            </w:r>
          </w:p>
        </w:tc>
        <w:tc>
          <w:tcPr>
            <w:tcW w:w="1341"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118.75</w:t>
            </w:r>
          </w:p>
        </w:tc>
        <w:tc>
          <w:tcPr>
            <w:tcW w:w="1341"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504.18</w:t>
            </w:r>
          </w:p>
        </w:tc>
        <w:tc>
          <w:tcPr>
            <w:tcW w:w="1343"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784.96</w:t>
            </w:r>
          </w:p>
        </w:tc>
      </w:tr>
    </w:tbl>
    <w:p>
      <w:pPr>
        <w:pStyle w:val="6"/>
        <w:keepLines w:val="0"/>
        <w:widowControl w:val="0"/>
        <w:adjustRightInd/>
        <w:snapToGrid/>
        <w:spacing w:beforeLines="50" w:after="0" w:line="360" w:lineRule="auto"/>
        <w:rPr>
          <w:rFonts w:ascii="Times New Roman" w:hAnsi="Times New Roman"/>
          <w:bCs w:val="0"/>
          <w:sz w:val="24"/>
        </w:rPr>
      </w:pPr>
      <w:r>
        <w:rPr>
          <w:rFonts w:hint="eastAsia" w:ascii="Times New Roman" w:hAnsi="Times New Roman"/>
          <w:bCs w:val="0"/>
          <w:sz w:val="24"/>
        </w:rPr>
        <w:t>3.1.3.2 能源供给与消耗</w:t>
      </w:r>
    </w:p>
    <w:p>
      <w:pPr>
        <w:spacing w:before="120"/>
        <w:ind w:firstLine="480"/>
      </w:pPr>
      <w:r>
        <w:rPr>
          <w:rFonts w:hint="eastAsia" w:ascii="宋体" w:hAnsi="宋体" w:eastAsia="宋体"/>
          <w:bCs/>
          <w:sz w:val="24"/>
          <w:szCs w:val="24"/>
        </w:rPr>
        <w:t xml:space="preserve"> </w:t>
      </w:r>
      <w:r>
        <w:rPr>
          <w:rFonts w:hint="eastAsia" w:ascii="Times New Roman" w:hAnsi="Times New Roman" w:eastAsia="宋体"/>
          <w:sz w:val="24"/>
          <w:szCs w:val="24"/>
        </w:rPr>
        <w:t>企业主要能源消耗为电力，</w:t>
      </w:r>
      <w:r>
        <w:rPr>
          <w:rFonts w:ascii="Times New Roman" w:hAnsi="Times New Roman" w:eastAsia="宋体"/>
          <w:sz w:val="24"/>
          <w:szCs w:val="24"/>
        </w:rPr>
        <w:t>根据企业提供的资料，近年来企业主要用能情况见下表：</w:t>
      </w:r>
    </w:p>
    <w:p>
      <w:pPr>
        <w:spacing w:line="360" w:lineRule="auto"/>
        <w:ind w:firstLine="482" w:firstLineChars="200"/>
        <w:jc w:val="center"/>
        <w:rPr>
          <w:rFonts w:ascii="Times New Roman" w:hAnsi="Times New Roman" w:eastAsia="宋体"/>
          <w:b/>
          <w:sz w:val="24"/>
          <w:szCs w:val="24"/>
        </w:rPr>
      </w:pPr>
      <w:r>
        <w:rPr>
          <w:rFonts w:ascii="Times New Roman" w:hAnsi="Times New Roman" w:eastAsia="宋体"/>
          <w:b/>
          <w:sz w:val="24"/>
          <w:szCs w:val="24"/>
        </w:rPr>
        <w:t>表</w:t>
      </w:r>
      <w:r>
        <w:rPr>
          <w:rFonts w:hint="eastAsia" w:ascii="Times New Roman" w:hAnsi="Times New Roman" w:eastAsia="宋体"/>
          <w:b/>
          <w:sz w:val="24"/>
          <w:szCs w:val="24"/>
        </w:rPr>
        <w:t>3-</w:t>
      </w:r>
      <w:r>
        <w:rPr>
          <w:rFonts w:hint="eastAsia" w:ascii="Times New Roman" w:hAnsi="Times New Roman" w:eastAsia="宋体"/>
          <w:b/>
          <w:sz w:val="24"/>
          <w:szCs w:val="24"/>
          <w:lang w:val="en-US" w:eastAsia="zh-CN"/>
        </w:rPr>
        <w:t>6</w:t>
      </w:r>
      <w:r>
        <w:rPr>
          <w:rFonts w:hint="eastAsia" w:ascii="Times New Roman" w:hAnsi="Times New Roman" w:eastAsia="宋体"/>
          <w:b/>
          <w:sz w:val="24"/>
          <w:szCs w:val="24"/>
        </w:rPr>
        <w:t xml:space="preserve">  </w:t>
      </w:r>
      <w:r>
        <w:rPr>
          <w:rFonts w:ascii="Times New Roman" w:hAnsi="Times New Roman" w:eastAsia="宋体"/>
          <w:b/>
          <w:sz w:val="24"/>
          <w:szCs w:val="24"/>
        </w:rPr>
        <w:t>企业能源消耗统计表</w:t>
      </w:r>
    </w:p>
    <w:tbl>
      <w:tblPr>
        <w:tblStyle w:val="62"/>
        <w:tblW w:w="8268"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80"/>
        <w:gridCol w:w="1153"/>
        <w:gridCol w:w="1275"/>
        <w:gridCol w:w="1657"/>
        <w:gridCol w:w="1614"/>
        <w:gridCol w:w="148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2233" w:type="dxa"/>
            <w:gridSpan w:val="2"/>
            <w:vMerge w:val="restart"/>
            <w:tcBorders>
              <w:bottom w:val="single" w:color="000000" w:sz="6" w:space="0"/>
              <w:right w:val="single" w:color="000000" w:sz="6" w:space="0"/>
            </w:tcBorders>
            <w:vAlign w:val="center"/>
          </w:tcPr>
          <w:p>
            <w:pPr>
              <w:pStyle w:val="64"/>
              <w:jc w:val="center"/>
              <w:rPr>
                <w:rFonts w:ascii="楷体"/>
                <w:b/>
                <w:color w:val="000000" w:themeColor="text1"/>
                <w:sz w:val="21"/>
                <w:lang w:eastAsia="en-US"/>
              </w:rPr>
            </w:pPr>
          </w:p>
          <w:p>
            <w:pPr>
              <w:pStyle w:val="64"/>
              <w:ind w:left="882" w:right="867"/>
              <w:jc w:val="center"/>
              <w:rPr>
                <w:color w:val="000000" w:themeColor="text1"/>
                <w:sz w:val="21"/>
                <w:lang w:eastAsia="en-US"/>
              </w:rPr>
            </w:pPr>
            <w:r>
              <w:rPr>
                <w:color w:val="000000" w:themeColor="text1"/>
                <w:sz w:val="21"/>
                <w:lang w:eastAsia="en-US"/>
              </w:rPr>
              <w:t>名称</w:t>
            </w:r>
          </w:p>
        </w:tc>
        <w:tc>
          <w:tcPr>
            <w:tcW w:w="1275" w:type="dxa"/>
            <w:vMerge w:val="restart"/>
            <w:tcBorders>
              <w:left w:val="single" w:color="000000" w:sz="6" w:space="0"/>
              <w:bottom w:val="single" w:color="000000" w:sz="6" w:space="0"/>
              <w:right w:val="single" w:color="000000" w:sz="6" w:space="0"/>
            </w:tcBorders>
            <w:vAlign w:val="center"/>
          </w:tcPr>
          <w:p>
            <w:pPr>
              <w:pStyle w:val="64"/>
              <w:jc w:val="center"/>
              <w:rPr>
                <w:rFonts w:ascii="楷体"/>
                <w:b/>
                <w:color w:val="000000" w:themeColor="text1"/>
                <w:sz w:val="21"/>
                <w:lang w:eastAsia="en-US"/>
              </w:rPr>
            </w:pPr>
          </w:p>
          <w:p>
            <w:pPr>
              <w:pStyle w:val="64"/>
              <w:ind w:left="433"/>
              <w:jc w:val="center"/>
              <w:rPr>
                <w:color w:val="000000" w:themeColor="text1"/>
                <w:sz w:val="21"/>
                <w:lang w:eastAsia="en-US"/>
              </w:rPr>
            </w:pPr>
            <w:r>
              <w:rPr>
                <w:color w:val="000000" w:themeColor="text1"/>
                <w:sz w:val="21"/>
                <w:lang w:eastAsia="en-US"/>
              </w:rPr>
              <w:t>单位</w:t>
            </w:r>
          </w:p>
        </w:tc>
        <w:tc>
          <w:tcPr>
            <w:tcW w:w="4760" w:type="dxa"/>
            <w:gridSpan w:val="3"/>
            <w:tcBorders>
              <w:left w:val="single" w:color="000000" w:sz="6" w:space="0"/>
              <w:bottom w:val="single" w:color="000000" w:sz="6" w:space="0"/>
            </w:tcBorders>
            <w:vAlign w:val="center"/>
          </w:tcPr>
          <w:p>
            <w:pPr>
              <w:pStyle w:val="64"/>
              <w:spacing w:before="65"/>
              <w:ind w:right="2225"/>
              <w:jc w:val="right"/>
              <w:rPr>
                <w:color w:val="000000" w:themeColor="text1"/>
                <w:sz w:val="21"/>
                <w:lang w:eastAsia="en-US"/>
              </w:rPr>
            </w:pPr>
            <w:r>
              <w:rPr>
                <w:color w:val="000000" w:themeColor="text1"/>
                <w:sz w:val="21"/>
                <w:lang w:eastAsia="en-US"/>
              </w:rPr>
              <w:t>消耗量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2233" w:type="dxa"/>
            <w:gridSpan w:val="2"/>
            <w:vMerge w:val="continue"/>
            <w:tcBorders>
              <w:top w:val="nil"/>
              <w:bottom w:val="single" w:color="000000" w:sz="6" w:space="0"/>
              <w:right w:val="single" w:color="000000" w:sz="6" w:space="0"/>
            </w:tcBorders>
            <w:vAlign w:val="center"/>
          </w:tcPr>
          <w:p>
            <w:pPr>
              <w:autoSpaceDE w:val="0"/>
              <w:autoSpaceDN w:val="0"/>
              <w:jc w:val="center"/>
              <w:rPr>
                <w:color w:val="000000" w:themeColor="text1"/>
                <w:kern w:val="0"/>
                <w:sz w:val="2"/>
                <w:szCs w:val="2"/>
                <w:lang w:eastAsia="en-US"/>
              </w:rPr>
            </w:pPr>
          </w:p>
        </w:tc>
        <w:tc>
          <w:tcPr>
            <w:tcW w:w="1275" w:type="dxa"/>
            <w:vMerge w:val="continue"/>
            <w:tcBorders>
              <w:top w:val="nil"/>
              <w:left w:val="single" w:color="000000" w:sz="6" w:space="0"/>
              <w:bottom w:val="single" w:color="000000" w:sz="6" w:space="0"/>
              <w:right w:val="single" w:color="000000" w:sz="6" w:space="0"/>
            </w:tcBorders>
            <w:vAlign w:val="center"/>
          </w:tcPr>
          <w:p>
            <w:pPr>
              <w:autoSpaceDE w:val="0"/>
              <w:autoSpaceDN w:val="0"/>
              <w:jc w:val="center"/>
              <w:rPr>
                <w:color w:val="000000" w:themeColor="text1"/>
                <w:kern w:val="0"/>
                <w:sz w:val="2"/>
                <w:szCs w:val="2"/>
                <w:lang w:eastAsia="en-US"/>
              </w:rPr>
            </w:pPr>
          </w:p>
        </w:tc>
        <w:tc>
          <w:tcPr>
            <w:tcW w:w="1657" w:type="dxa"/>
            <w:tcBorders>
              <w:top w:val="single" w:color="000000" w:sz="6" w:space="0"/>
              <w:left w:val="single" w:color="000000" w:sz="6" w:space="0"/>
              <w:bottom w:val="single" w:color="000000" w:sz="6" w:space="0"/>
              <w:right w:val="single" w:color="000000" w:sz="6" w:space="0"/>
            </w:tcBorders>
            <w:vAlign w:val="center"/>
          </w:tcPr>
          <w:p>
            <w:pPr>
              <w:pStyle w:val="64"/>
              <w:spacing w:before="63"/>
              <w:ind w:right="462"/>
              <w:jc w:val="right"/>
              <w:rPr>
                <w:color w:val="000000" w:themeColor="text1"/>
                <w:sz w:val="21"/>
                <w:lang w:eastAsia="en-US"/>
              </w:rPr>
            </w:pPr>
            <w:r>
              <w:rPr>
                <w:rFonts w:ascii="Times New Roman" w:eastAsia="Times New Roman"/>
                <w:color w:val="000000" w:themeColor="text1"/>
                <w:sz w:val="21"/>
                <w:lang w:eastAsia="en-US"/>
              </w:rPr>
              <w:t>20</w:t>
            </w:r>
            <w:r>
              <w:rPr>
                <w:rFonts w:hint="eastAsia" w:ascii="Times New Roman" w:eastAsia="宋体"/>
                <w:color w:val="000000" w:themeColor="text1"/>
                <w:sz w:val="21"/>
                <w:lang w:val="en-US" w:eastAsia="zh-CN"/>
              </w:rPr>
              <w:t>2</w:t>
            </w:r>
            <w:r>
              <w:rPr>
                <w:rFonts w:hint="eastAsia" w:ascii="Times New Roman"/>
                <w:color w:val="000000" w:themeColor="text1"/>
                <w:sz w:val="21"/>
                <w:lang w:val="en-US" w:eastAsia="zh-CN"/>
              </w:rPr>
              <w:t>1</w:t>
            </w:r>
            <w:r>
              <w:rPr>
                <w:color w:val="000000" w:themeColor="text1"/>
                <w:sz w:val="21"/>
                <w:lang w:eastAsia="en-US"/>
              </w:rPr>
              <w:t>年</w:t>
            </w:r>
          </w:p>
        </w:tc>
        <w:tc>
          <w:tcPr>
            <w:tcW w:w="1614"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530" w:right="505"/>
              <w:jc w:val="center"/>
              <w:rPr>
                <w:color w:val="000000" w:themeColor="text1"/>
                <w:sz w:val="21"/>
                <w:lang w:eastAsia="en-US"/>
              </w:rPr>
            </w:pPr>
            <w:r>
              <w:rPr>
                <w:rFonts w:ascii="Times New Roman" w:eastAsia="Times New Roman"/>
                <w:color w:val="000000" w:themeColor="text1"/>
                <w:sz w:val="21"/>
                <w:lang w:eastAsia="en-US"/>
              </w:rPr>
              <w:t>20</w:t>
            </w:r>
            <w:r>
              <w:rPr>
                <w:rFonts w:hint="eastAsia" w:ascii="Times New Roman" w:eastAsia="宋体"/>
                <w:color w:val="000000" w:themeColor="text1"/>
                <w:sz w:val="21"/>
                <w:lang w:val="en-US" w:eastAsia="zh-CN"/>
              </w:rPr>
              <w:t>2</w:t>
            </w:r>
            <w:r>
              <w:rPr>
                <w:rFonts w:hint="eastAsia" w:ascii="Times New Roman"/>
                <w:color w:val="000000" w:themeColor="text1"/>
                <w:sz w:val="21"/>
                <w:lang w:val="en-US" w:eastAsia="zh-CN"/>
              </w:rPr>
              <w:t>2</w:t>
            </w:r>
            <w:r>
              <w:rPr>
                <w:color w:val="000000" w:themeColor="text1"/>
                <w:sz w:val="21"/>
                <w:lang w:eastAsia="en-US"/>
              </w:rPr>
              <w:t>年</w:t>
            </w:r>
          </w:p>
        </w:tc>
        <w:tc>
          <w:tcPr>
            <w:tcW w:w="1489" w:type="dxa"/>
            <w:tcBorders>
              <w:top w:val="single" w:color="000000" w:sz="6" w:space="0"/>
              <w:left w:val="single" w:color="000000" w:sz="6" w:space="0"/>
              <w:bottom w:val="single" w:color="000000" w:sz="6" w:space="0"/>
            </w:tcBorders>
            <w:vAlign w:val="center"/>
          </w:tcPr>
          <w:p>
            <w:pPr>
              <w:pStyle w:val="64"/>
              <w:spacing w:before="63"/>
              <w:ind w:right="484"/>
              <w:jc w:val="center"/>
              <w:rPr>
                <w:color w:val="000000" w:themeColor="text1"/>
                <w:sz w:val="21"/>
                <w:lang w:eastAsia="en-US"/>
              </w:rPr>
            </w:pPr>
            <w:r>
              <w:rPr>
                <w:rFonts w:ascii="Times New Roman" w:eastAsia="Times New Roman"/>
                <w:color w:val="000000" w:themeColor="text1"/>
                <w:sz w:val="21"/>
                <w:lang w:eastAsia="en-US"/>
              </w:rPr>
              <w:t>20</w:t>
            </w:r>
            <w:r>
              <w:rPr>
                <w:rFonts w:hint="eastAsia" w:ascii="Times New Roman" w:eastAsia="宋体"/>
                <w:color w:val="000000" w:themeColor="text1"/>
                <w:sz w:val="21"/>
                <w:lang w:val="en-US" w:eastAsia="zh-CN"/>
              </w:rPr>
              <w:t>2</w:t>
            </w:r>
            <w:r>
              <w:rPr>
                <w:rFonts w:hint="eastAsia" w:ascii="Times New Roman"/>
                <w:color w:val="000000" w:themeColor="text1"/>
                <w:sz w:val="21"/>
                <w:lang w:val="en-US" w:eastAsia="zh-CN"/>
              </w:rPr>
              <w:t>3</w:t>
            </w:r>
            <w:r>
              <w:rPr>
                <w:color w:val="000000" w:themeColor="text1"/>
                <w:sz w:val="21"/>
                <w:lang w:eastAsia="en-US"/>
              </w:rPr>
              <w:t>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jc w:val="center"/>
        </w:trPr>
        <w:tc>
          <w:tcPr>
            <w:tcW w:w="1080" w:type="dxa"/>
            <w:vMerge w:val="restart"/>
            <w:tcBorders>
              <w:top w:val="single" w:color="000000" w:sz="6" w:space="0"/>
              <w:right w:val="single" w:color="000000" w:sz="6" w:space="0"/>
            </w:tcBorders>
            <w:vAlign w:val="center"/>
          </w:tcPr>
          <w:p>
            <w:pPr>
              <w:pStyle w:val="64"/>
              <w:jc w:val="center"/>
              <w:rPr>
                <w:rFonts w:hint="eastAsia" w:eastAsia="宋体"/>
                <w:color w:val="000000" w:themeColor="text1"/>
                <w:sz w:val="21"/>
                <w:lang w:val="en-US" w:eastAsia="zh-CN"/>
              </w:rPr>
            </w:pPr>
            <w:r>
              <w:rPr>
                <w:rFonts w:hint="eastAsia"/>
                <w:color w:val="000000" w:themeColor="text1"/>
                <w:sz w:val="21"/>
                <w:lang w:val="en-US" w:eastAsia="zh-CN"/>
              </w:rPr>
              <w:t>发泡车间</w:t>
            </w:r>
            <w:r>
              <w:rPr>
                <w:color w:val="000000" w:themeColor="text1"/>
                <w:sz w:val="21"/>
                <w:lang w:eastAsia="en-US"/>
              </w:rPr>
              <w:t>用电</w:t>
            </w:r>
            <w:r>
              <w:rPr>
                <w:rFonts w:hint="eastAsia"/>
                <w:color w:val="000000" w:themeColor="text1"/>
                <w:sz w:val="21"/>
                <w:lang w:val="en-US" w:eastAsia="zh-CN"/>
              </w:rPr>
              <w:t>量</w:t>
            </w:r>
          </w:p>
        </w:tc>
        <w:tc>
          <w:tcPr>
            <w:tcW w:w="1153" w:type="dxa"/>
            <w:tcBorders>
              <w:top w:val="single" w:color="000000" w:sz="6" w:space="0"/>
              <w:left w:val="single" w:color="000000" w:sz="6" w:space="0"/>
              <w:bottom w:val="single" w:color="000000" w:sz="6" w:space="0"/>
              <w:right w:val="single" w:color="000000" w:sz="6" w:space="0"/>
            </w:tcBorders>
            <w:vAlign w:val="center"/>
          </w:tcPr>
          <w:p>
            <w:pPr>
              <w:pStyle w:val="64"/>
              <w:spacing w:before="56"/>
              <w:ind w:left="247" w:right="220"/>
              <w:jc w:val="center"/>
              <w:rPr>
                <w:color w:val="000000" w:themeColor="text1"/>
                <w:sz w:val="21"/>
                <w:lang w:eastAsia="en-US"/>
              </w:rPr>
            </w:pPr>
            <w:r>
              <w:rPr>
                <w:color w:val="000000" w:themeColor="text1"/>
                <w:sz w:val="21"/>
                <w:lang w:eastAsia="en-US"/>
              </w:rPr>
              <w:t>实物量</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187" w:right="158"/>
              <w:jc w:val="center"/>
              <w:rPr>
                <w:rFonts w:ascii="Times New Roman" w:eastAsia="Times New Roman"/>
                <w:color w:val="000000" w:themeColor="text1"/>
                <w:sz w:val="21"/>
                <w:lang w:eastAsia="en-US"/>
              </w:rPr>
            </w:pPr>
            <w:r>
              <w:rPr>
                <w:rFonts w:ascii="Times New Roman" w:eastAsia="Times New Roman"/>
                <w:color w:val="000000" w:themeColor="text1"/>
                <w:sz w:val="21"/>
                <w:lang w:eastAsia="en-US"/>
              </w:rPr>
              <w:t xml:space="preserve"> kWh</w:t>
            </w:r>
          </w:p>
        </w:tc>
        <w:tc>
          <w:tcPr>
            <w:tcW w:w="165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Times New Roman"/>
                <w:color w:val="000000" w:themeColor="text1"/>
                <w:sz w:val="21"/>
                <w:lang w:val="en-US" w:eastAsia="zh-CN"/>
              </w:rPr>
            </w:pPr>
            <w:r>
              <w:rPr>
                <w:rFonts w:hint="eastAsia" w:ascii="宋体" w:hAnsi="宋体" w:eastAsia="宋体" w:cs="宋体"/>
                <w:i w:val="0"/>
                <w:iCs w:val="0"/>
                <w:color w:val="000000"/>
                <w:kern w:val="0"/>
                <w:sz w:val="22"/>
                <w:szCs w:val="22"/>
                <w:u w:val="none"/>
                <w:lang w:val="en-US" w:eastAsia="zh-CN" w:bidi="ar"/>
              </w:rPr>
              <w:t>723988</w:t>
            </w:r>
          </w:p>
        </w:tc>
        <w:tc>
          <w:tcPr>
            <w:tcW w:w="1614"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Times New Roman" w:eastAsia="Times New Roman"/>
                <w:color w:val="000000" w:themeColor="text1"/>
                <w:sz w:val="21"/>
                <w:lang w:val="en-US" w:eastAsia="zh-CN"/>
              </w:rPr>
            </w:pPr>
            <w:r>
              <w:rPr>
                <w:rFonts w:hint="eastAsia" w:ascii="宋体" w:hAnsi="宋体" w:eastAsia="宋体" w:cs="宋体"/>
                <w:i w:val="0"/>
                <w:iCs w:val="0"/>
                <w:color w:val="000000"/>
                <w:kern w:val="0"/>
                <w:sz w:val="22"/>
                <w:szCs w:val="22"/>
                <w:u w:val="none"/>
                <w:lang w:val="en-US" w:eastAsia="zh-CN" w:bidi="ar"/>
              </w:rPr>
              <w:t>1873123</w:t>
            </w:r>
          </w:p>
        </w:tc>
        <w:tc>
          <w:tcPr>
            <w:tcW w:w="1489" w:type="dxa"/>
            <w:tcBorders>
              <w:top w:val="single" w:color="000000" w:sz="6" w:space="0"/>
              <w:left w:val="single" w:color="000000" w:sz="6" w:space="0"/>
              <w:bottom w:val="single" w:color="000000" w:sz="6" w:space="0"/>
            </w:tcBorders>
            <w:vAlign w:val="center"/>
          </w:tcPr>
          <w:p>
            <w:pPr>
              <w:keepNext w:val="0"/>
              <w:keepLines w:val="0"/>
              <w:widowControl/>
              <w:suppressLineNumbers w:val="0"/>
              <w:autoSpaceDE w:val="0"/>
              <w:autoSpaceDN w:val="0"/>
              <w:jc w:val="center"/>
              <w:textAlignment w:val="center"/>
              <w:rPr>
                <w:rFonts w:hint="default" w:ascii="Times New Roman" w:eastAsia="Times New Roman"/>
                <w:color w:val="000000" w:themeColor="text1"/>
                <w:sz w:val="21"/>
                <w:lang w:val="en-US" w:eastAsia="zh-CN"/>
              </w:rPr>
            </w:pPr>
            <w:r>
              <w:rPr>
                <w:rFonts w:hint="eastAsia" w:ascii="宋体" w:hAnsi="宋体" w:eastAsia="宋体" w:cs="宋体"/>
                <w:i w:val="0"/>
                <w:iCs w:val="0"/>
                <w:color w:val="000000"/>
                <w:kern w:val="0"/>
                <w:sz w:val="22"/>
                <w:szCs w:val="22"/>
                <w:u w:val="none"/>
                <w:lang w:val="en-US" w:eastAsia="zh-CN" w:bidi="ar"/>
              </w:rPr>
              <w:t>2523159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jc w:val="center"/>
        </w:trPr>
        <w:tc>
          <w:tcPr>
            <w:tcW w:w="1080" w:type="dxa"/>
            <w:vMerge w:val="continue"/>
            <w:tcBorders>
              <w:right w:val="single" w:color="000000" w:sz="6" w:space="0"/>
            </w:tcBorders>
            <w:vAlign w:val="center"/>
          </w:tcPr>
          <w:p>
            <w:pPr>
              <w:pStyle w:val="64"/>
              <w:ind w:left="117"/>
              <w:jc w:val="center"/>
              <w:rPr>
                <w:color w:val="000000" w:themeColor="text1"/>
                <w:sz w:val="21"/>
                <w:lang w:eastAsia="en-US"/>
              </w:rPr>
            </w:pPr>
          </w:p>
        </w:tc>
        <w:tc>
          <w:tcPr>
            <w:tcW w:w="1153" w:type="dxa"/>
            <w:tcBorders>
              <w:top w:val="single" w:color="000000" w:sz="6" w:space="0"/>
              <w:left w:val="single" w:color="000000" w:sz="6" w:space="0"/>
              <w:bottom w:val="single" w:color="000000" w:sz="6" w:space="0"/>
              <w:right w:val="single" w:color="000000" w:sz="6" w:space="0"/>
            </w:tcBorders>
            <w:vAlign w:val="center"/>
          </w:tcPr>
          <w:p>
            <w:pPr>
              <w:pStyle w:val="64"/>
              <w:spacing w:before="56"/>
              <w:ind w:left="247" w:right="220"/>
              <w:jc w:val="center"/>
              <w:rPr>
                <w:color w:val="000000" w:themeColor="text1"/>
                <w:sz w:val="21"/>
                <w:lang w:eastAsia="en-US"/>
              </w:rPr>
            </w:pPr>
            <w:r>
              <w:rPr>
                <w:color w:val="000000" w:themeColor="text1"/>
                <w:sz w:val="21"/>
                <w:lang w:eastAsia="en-US"/>
              </w:rPr>
              <w:t>折标煤</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187" w:right="158"/>
              <w:jc w:val="center"/>
              <w:rPr>
                <w:rFonts w:ascii="Times New Roman" w:eastAsia="Times New Roman"/>
                <w:color w:val="000000" w:themeColor="text1"/>
                <w:sz w:val="21"/>
                <w:lang w:eastAsia="en-US"/>
              </w:rPr>
            </w:pPr>
            <w:r>
              <w:rPr>
                <w:rFonts w:ascii="Times New Roman"/>
                <w:color w:val="000000" w:themeColor="text1"/>
                <w:sz w:val="21"/>
                <w:lang w:eastAsia="en-US"/>
              </w:rPr>
              <w:t>tce</w:t>
            </w:r>
          </w:p>
        </w:tc>
        <w:tc>
          <w:tcPr>
            <w:tcW w:w="165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88.98</w:t>
            </w:r>
          </w:p>
        </w:tc>
        <w:tc>
          <w:tcPr>
            <w:tcW w:w="1614"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230.21</w:t>
            </w:r>
          </w:p>
        </w:tc>
        <w:tc>
          <w:tcPr>
            <w:tcW w:w="1489" w:type="dxa"/>
            <w:tcBorders>
              <w:top w:val="single" w:color="000000" w:sz="6" w:space="0"/>
              <w:left w:val="single" w:color="000000" w:sz="6" w:space="0"/>
              <w:bottom w:val="single" w:color="000000" w:sz="6" w:space="0"/>
            </w:tcBorders>
            <w:vAlign w:val="center"/>
          </w:tcPr>
          <w:p>
            <w:pPr>
              <w:keepNext w:val="0"/>
              <w:keepLines w:val="0"/>
              <w:widowControl/>
              <w:suppressLineNumbers w:val="0"/>
              <w:autoSpaceDE w:val="0"/>
              <w:autoSpaceDN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310.10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jc w:val="center"/>
        </w:trPr>
        <w:tc>
          <w:tcPr>
            <w:tcW w:w="1080" w:type="dxa"/>
            <w:vMerge w:val="restart"/>
            <w:tcBorders>
              <w:right w:val="single" w:color="000000" w:sz="6" w:space="0"/>
            </w:tcBorders>
            <w:vAlign w:val="center"/>
          </w:tcPr>
          <w:p>
            <w:pPr>
              <w:pStyle w:val="64"/>
              <w:ind w:left="117"/>
              <w:jc w:val="center"/>
              <w:rPr>
                <w:rFonts w:hint="default" w:eastAsia="宋体"/>
                <w:color w:val="000000" w:themeColor="text1"/>
                <w:sz w:val="21"/>
                <w:lang w:val="en-US" w:eastAsia="zh-CN"/>
              </w:rPr>
            </w:pPr>
            <w:r>
              <w:rPr>
                <w:rFonts w:hint="eastAsia"/>
                <w:color w:val="000000" w:themeColor="text1"/>
                <w:sz w:val="21"/>
                <w:lang w:val="en-US" w:eastAsia="zh-CN"/>
              </w:rPr>
              <w:t>焊装车间用电量</w:t>
            </w:r>
          </w:p>
        </w:tc>
        <w:tc>
          <w:tcPr>
            <w:tcW w:w="1153" w:type="dxa"/>
            <w:tcBorders>
              <w:top w:val="single" w:color="000000" w:sz="6" w:space="0"/>
              <w:left w:val="single" w:color="000000" w:sz="6" w:space="0"/>
              <w:bottom w:val="single" w:color="000000" w:sz="6" w:space="0"/>
              <w:right w:val="single" w:color="000000" w:sz="6" w:space="0"/>
            </w:tcBorders>
            <w:vAlign w:val="center"/>
          </w:tcPr>
          <w:p>
            <w:pPr>
              <w:pStyle w:val="64"/>
              <w:spacing w:before="56"/>
              <w:ind w:left="247" w:right="220"/>
              <w:jc w:val="center"/>
              <w:rPr>
                <w:color w:val="000000" w:themeColor="text1"/>
                <w:sz w:val="21"/>
                <w:lang w:eastAsia="en-US"/>
              </w:rPr>
            </w:pPr>
            <w:r>
              <w:rPr>
                <w:color w:val="000000" w:themeColor="text1"/>
                <w:sz w:val="21"/>
                <w:lang w:eastAsia="en-US"/>
              </w:rPr>
              <w:t>实物量</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187" w:leftChars="0" w:right="158" w:rightChars="0"/>
              <w:jc w:val="center"/>
              <w:rPr>
                <w:rFonts w:ascii="Times New Roman" w:eastAsia="Times New Roman"/>
                <w:color w:val="000000" w:themeColor="text1"/>
                <w:sz w:val="21"/>
                <w:lang w:eastAsia="en-US"/>
              </w:rPr>
            </w:pPr>
            <w:r>
              <w:rPr>
                <w:rFonts w:ascii="Times New Roman" w:eastAsia="Times New Roman"/>
                <w:color w:val="000000" w:themeColor="text1"/>
                <w:sz w:val="21"/>
                <w:lang w:eastAsia="en-US"/>
              </w:rPr>
              <w:t xml:space="preserve"> kWh</w:t>
            </w:r>
          </w:p>
        </w:tc>
        <w:tc>
          <w:tcPr>
            <w:tcW w:w="165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95134</w:t>
            </w:r>
          </w:p>
        </w:tc>
        <w:tc>
          <w:tcPr>
            <w:tcW w:w="1614"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109023</w:t>
            </w:r>
          </w:p>
        </w:tc>
        <w:tc>
          <w:tcPr>
            <w:tcW w:w="1489" w:type="dxa"/>
            <w:tcBorders>
              <w:top w:val="single" w:color="000000" w:sz="6" w:space="0"/>
              <w:left w:val="single" w:color="000000" w:sz="6" w:space="0"/>
              <w:bottom w:val="single" w:color="000000" w:sz="6" w:space="0"/>
            </w:tcBorders>
            <w:vAlign w:val="center"/>
          </w:tcPr>
          <w:p>
            <w:pPr>
              <w:keepNext w:val="0"/>
              <w:keepLines w:val="0"/>
              <w:widowControl/>
              <w:suppressLineNumbers w:val="0"/>
              <w:autoSpaceDE w:val="0"/>
              <w:autoSpaceDN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366480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1080" w:type="dxa"/>
            <w:vMerge w:val="continue"/>
            <w:tcBorders>
              <w:bottom w:val="single" w:color="000000" w:sz="6" w:space="0"/>
              <w:right w:val="single" w:color="000000" w:sz="6" w:space="0"/>
            </w:tcBorders>
            <w:vAlign w:val="center"/>
          </w:tcPr>
          <w:p>
            <w:pPr>
              <w:autoSpaceDE w:val="0"/>
              <w:autoSpaceDN w:val="0"/>
              <w:jc w:val="center"/>
              <w:rPr>
                <w:color w:val="000000" w:themeColor="text1"/>
                <w:kern w:val="0"/>
                <w:sz w:val="2"/>
                <w:szCs w:val="2"/>
                <w:lang w:eastAsia="en-US"/>
              </w:rPr>
            </w:pPr>
          </w:p>
        </w:tc>
        <w:tc>
          <w:tcPr>
            <w:tcW w:w="1153"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247" w:right="220"/>
              <w:jc w:val="center"/>
              <w:rPr>
                <w:color w:val="000000" w:themeColor="text1"/>
                <w:sz w:val="21"/>
                <w:lang w:eastAsia="en-US"/>
              </w:rPr>
            </w:pPr>
            <w:r>
              <w:rPr>
                <w:color w:val="000000" w:themeColor="text1"/>
                <w:sz w:val="21"/>
                <w:lang w:eastAsia="en-US"/>
              </w:rPr>
              <w:t>折标煤</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187" w:leftChars="0" w:right="158" w:rightChars="0"/>
              <w:jc w:val="center"/>
              <w:rPr>
                <w:rFonts w:ascii="Times New Roman"/>
                <w:color w:val="000000" w:themeColor="text1"/>
                <w:sz w:val="21"/>
                <w:lang w:eastAsia="en-US"/>
              </w:rPr>
            </w:pPr>
            <w:r>
              <w:rPr>
                <w:rFonts w:ascii="Times New Roman"/>
                <w:color w:val="000000" w:themeColor="text1"/>
                <w:sz w:val="21"/>
                <w:lang w:eastAsia="en-US"/>
              </w:rPr>
              <w:t>tce</w:t>
            </w:r>
          </w:p>
        </w:tc>
        <w:tc>
          <w:tcPr>
            <w:tcW w:w="1657" w:type="dxa"/>
            <w:tcBorders>
              <w:top w:val="single" w:color="000000" w:sz="6" w:space="0"/>
              <w:left w:val="single" w:color="000000" w:sz="6" w:space="0"/>
              <w:bottom w:val="single" w:color="000000" w:sz="6" w:space="0"/>
              <w:right w:val="single" w:color="000000" w:sz="6" w:space="0"/>
            </w:tcBorders>
            <w:vAlign w:val="center"/>
          </w:tcPr>
          <w:p>
            <w:pPr>
              <w:pStyle w:val="64"/>
              <w:spacing w:before="130"/>
              <w:ind w:left="527" w:right="505"/>
              <w:jc w:val="center"/>
              <w:rPr>
                <w:rFonts w:hint="default" w:ascii="Times New Roman"/>
                <w:color w:val="000000" w:themeColor="text1"/>
                <w:sz w:val="21"/>
                <w:lang w:val="en-US" w:eastAsia="zh-CN"/>
              </w:rPr>
            </w:pPr>
            <w:r>
              <w:rPr>
                <w:rFonts w:hint="eastAsia" w:ascii="Times New Roman"/>
                <w:color w:val="000000" w:themeColor="text1"/>
                <w:sz w:val="21"/>
                <w:lang w:val="en-US" w:eastAsia="zh-CN"/>
              </w:rPr>
              <w:t>11.69</w:t>
            </w:r>
          </w:p>
        </w:tc>
        <w:tc>
          <w:tcPr>
            <w:tcW w:w="1614" w:type="dxa"/>
            <w:tcBorders>
              <w:top w:val="single" w:color="000000" w:sz="6" w:space="0"/>
              <w:left w:val="single" w:color="000000" w:sz="6" w:space="0"/>
              <w:bottom w:val="single" w:color="000000" w:sz="6" w:space="0"/>
              <w:right w:val="single" w:color="000000" w:sz="6" w:space="0"/>
            </w:tcBorders>
            <w:vAlign w:val="center"/>
          </w:tcPr>
          <w:p>
            <w:pPr>
              <w:pStyle w:val="64"/>
              <w:spacing w:before="130"/>
              <w:ind w:right="505"/>
              <w:jc w:val="center"/>
              <w:rPr>
                <w:rFonts w:hint="default" w:ascii="Times New Roman"/>
                <w:color w:val="000000" w:themeColor="text1"/>
                <w:sz w:val="21"/>
                <w:lang w:val="en-US" w:eastAsia="zh-CN"/>
              </w:rPr>
            </w:pPr>
            <w:r>
              <w:rPr>
                <w:rFonts w:hint="eastAsia" w:ascii="Times New Roman"/>
                <w:color w:val="000000" w:themeColor="text1"/>
                <w:sz w:val="21"/>
                <w:lang w:val="en-US" w:eastAsia="zh-CN"/>
              </w:rPr>
              <w:t>13.39</w:t>
            </w:r>
          </w:p>
        </w:tc>
        <w:tc>
          <w:tcPr>
            <w:tcW w:w="1489" w:type="dxa"/>
            <w:tcBorders>
              <w:top w:val="single" w:color="000000" w:sz="6" w:space="0"/>
              <w:left w:val="single" w:color="000000" w:sz="6" w:space="0"/>
              <w:bottom w:val="single" w:color="000000" w:sz="6" w:space="0"/>
            </w:tcBorders>
            <w:vAlign w:val="center"/>
          </w:tcPr>
          <w:p>
            <w:pPr>
              <w:pStyle w:val="64"/>
              <w:spacing w:before="130"/>
              <w:ind w:right="484"/>
              <w:jc w:val="right"/>
              <w:rPr>
                <w:rFonts w:hint="default" w:ascii="Times New Roman"/>
                <w:color w:val="000000" w:themeColor="text1"/>
                <w:sz w:val="21"/>
                <w:lang w:val="en-US" w:eastAsia="zh-CN"/>
              </w:rPr>
            </w:pPr>
            <w:r>
              <w:rPr>
                <w:rFonts w:hint="eastAsia" w:ascii="Times New Roman"/>
                <w:color w:val="000000" w:themeColor="text1"/>
                <w:sz w:val="21"/>
                <w:lang w:val="en-US" w:eastAsia="zh-CN"/>
              </w:rPr>
              <w:t>45.04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2233" w:type="dxa"/>
            <w:gridSpan w:val="2"/>
            <w:tcBorders>
              <w:top w:val="nil"/>
              <w:bottom w:val="single" w:color="000000" w:sz="6" w:space="0"/>
              <w:right w:val="single" w:color="000000" w:sz="6" w:space="0"/>
            </w:tcBorders>
            <w:vAlign w:val="center"/>
          </w:tcPr>
          <w:p>
            <w:pPr>
              <w:autoSpaceDE w:val="0"/>
              <w:autoSpaceDN w:val="0"/>
              <w:jc w:val="center"/>
              <w:rPr>
                <w:rFonts w:hint="eastAsia" w:ascii="宋体" w:hAnsi="宋体" w:eastAsia="宋体" w:cs="宋体"/>
                <w:color w:val="000000" w:themeColor="text1"/>
                <w:kern w:val="0"/>
                <w:sz w:val="21"/>
                <w:szCs w:val="22"/>
                <w:lang w:val="en-US" w:eastAsia="en-US" w:bidi="zh-CN"/>
              </w:rPr>
            </w:pPr>
            <w:r>
              <w:rPr>
                <w:rFonts w:hint="eastAsia" w:ascii="宋体" w:hAnsi="宋体" w:eastAsia="宋体" w:cs="宋体"/>
                <w:color w:val="000000" w:themeColor="text1"/>
                <w:kern w:val="0"/>
                <w:sz w:val="21"/>
                <w:szCs w:val="22"/>
                <w:lang w:val="en-US" w:eastAsia="zh-CN" w:bidi="zh-CN"/>
              </w:rPr>
              <w:t>合计</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63"/>
              <w:ind w:left="187" w:leftChars="0" w:right="158" w:rightChars="0"/>
              <w:jc w:val="center"/>
              <w:rPr>
                <w:rFonts w:ascii="Times New Roman"/>
                <w:color w:val="000000" w:themeColor="text1"/>
                <w:sz w:val="21"/>
                <w:lang w:eastAsia="en-US"/>
              </w:rPr>
            </w:pPr>
            <w:r>
              <w:rPr>
                <w:rFonts w:ascii="Times New Roman" w:eastAsia="Times New Roman"/>
                <w:color w:val="000000" w:themeColor="text1"/>
                <w:sz w:val="21"/>
                <w:lang w:eastAsia="en-US"/>
              </w:rPr>
              <w:t xml:space="preserve"> kWh</w:t>
            </w:r>
          </w:p>
        </w:tc>
        <w:tc>
          <w:tcPr>
            <w:tcW w:w="165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Times New Roman"/>
                <w:color w:val="000000" w:themeColor="text1"/>
                <w:sz w:val="21"/>
                <w:lang w:val="en-US" w:eastAsia="zh-CN"/>
              </w:rPr>
            </w:pPr>
            <w:r>
              <w:rPr>
                <w:rFonts w:hint="eastAsia" w:ascii="宋体" w:hAnsi="宋体" w:eastAsia="宋体" w:cs="宋体"/>
                <w:i w:val="0"/>
                <w:iCs w:val="0"/>
                <w:color w:val="000000"/>
                <w:kern w:val="0"/>
                <w:sz w:val="22"/>
                <w:szCs w:val="22"/>
                <w:u w:val="none"/>
                <w:lang w:val="en-US" w:eastAsia="zh-CN" w:bidi="ar"/>
              </w:rPr>
              <w:t>819122</w:t>
            </w:r>
          </w:p>
        </w:tc>
        <w:tc>
          <w:tcPr>
            <w:tcW w:w="1614"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autoSpaceDE w:val="0"/>
              <w:autoSpaceDN w:val="0"/>
              <w:jc w:val="center"/>
              <w:textAlignment w:val="center"/>
              <w:rPr>
                <w:rFonts w:hint="default" w:ascii="Times New Roman"/>
                <w:color w:val="000000" w:themeColor="text1"/>
                <w:sz w:val="21"/>
                <w:lang w:val="en-US" w:eastAsia="zh-CN"/>
              </w:rPr>
            </w:pPr>
            <w:r>
              <w:rPr>
                <w:rFonts w:hint="eastAsia" w:ascii="宋体" w:hAnsi="宋体" w:eastAsia="宋体" w:cs="宋体"/>
                <w:i w:val="0"/>
                <w:iCs w:val="0"/>
                <w:color w:val="000000"/>
                <w:kern w:val="0"/>
                <w:sz w:val="22"/>
                <w:szCs w:val="22"/>
                <w:u w:val="none"/>
                <w:lang w:val="en-US" w:eastAsia="zh-CN" w:bidi="ar"/>
              </w:rPr>
              <w:t>1982146</w:t>
            </w:r>
          </w:p>
        </w:tc>
        <w:tc>
          <w:tcPr>
            <w:tcW w:w="1489" w:type="dxa"/>
            <w:tcBorders>
              <w:top w:val="single" w:color="000000" w:sz="6" w:space="0"/>
              <w:left w:val="single" w:color="000000" w:sz="6" w:space="0"/>
              <w:bottom w:val="single" w:color="000000" w:sz="6" w:space="0"/>
            </w:tcBorders>
            <w:vAlign w:val="center"/>
          </w:tcPr>
          <w:p>
            <w:pPr>
              <w:keepNext w:val="0"/>
              <w:keepLines w:val="0"/>
              <w:widowControl/>
              <w:suppressLineNumbers w:val="0"/>
              <w:autoSpaceDE w:val="0"/>
              <w:autoSpaceDN w:val="0"/>
              <w:jc w:val="center"/>
              <w:textAlignment w:val="center"/>
              <w:rPr>
                <w:rFonts w:hint="default" w:ascii="Times New Roman"/>
                <w:color w:val="000000" w:themeColor="text1"/>
                <w:sz w:val="21"/>
                <w:lang w:val="en-US" w:eastAsia="zh-CN"/>
              </w:rPr>
            </w:pPr>
            <w:r>
              <w:rPr>
                <w:rFonts w:hint="eastAsia" w:ascii="宋体" w:hAnsi="宋体" w:eastAsia="宋体" w:cs="宋体"/>
                <w:i w:val="0"/>
                <w:iCs w:val="0"/>
                <w:color w:val="000000"/>
                <w:kern w:val="0"/>
                <w:sz w:val="22"/>
                <w:szCs w:val="22"/>
                <w:u w:val="none"/>
                <w:lang w:val="en-US" w:eastAsia="zh-CN" w:bidi="ar"/>
              </w:rPr>
              <w:t>2889639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2233" w:type="dxa"/>
            <w:gridSpan w:val="2"/>
            <w:tcBorders>
              <w:top w:val="nil"/>
              <w:bottom w:val="single" w:color="000000" w:sz="6" w:space="0"/>
              <w:right w:val="single" w:color="000000" w:sz="6" w:space="0"/>
            </w:tcBorders>
            <w:vAlign w:val="center"/>
          </w:tcPr>
          <w:p>
            <w:pPr>
              <w:autoSpaceDE w:val="0"/>
              <w:autoSpaceDN w:val="0"/>
              <w:jc w:val="center"/>
              <w:rPr>
                <w:rFonts w:hint="eastAsia" w:ascii="宋体" w:hAnsi="宋体" w:eastAsia="宋体" w:cs="宋体"/>
                <w:color w:val="000000" w:themeColor="text1"/>
                <w:kern w:val="0"/>
                <w:sz w:val="21"/>
                <w:szCs w:val="22"/>
                <w:lang w:val="en-US" w:eastAsia="zh-CN" w:bidi="zh-CN"/>
              </w:rPr>
            </w:pPr>
            <w:r>
              <w:rPr>
                <w:rFonts w:hint="eastAsia" w:ascii="宋体" w:hAnsi="宋体" w:eastAsia="宋体" w:cs="宋体"/>
                <w:color w:val="000000" w:themeColor="text1"/>
                <w:kern w:val="0"/>
                <w:sz w:val="21"/>
                <w:szCs w:val="22"/>
                <w:lang w:val="en-US" w:eastAsia="zh-CN" w:bidi="zh-CN"/>
              </w:rPr>
              <w:t>综合能耗</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72"/>
              <w:ind w:left="183" w:leftChars="0" w:right="158" w:rightChars="0"/>
              <w:jc w:val="center"/>
              <w:rPr>
                <w:rFonts w:ascii="Times New Roman"/>
                <w:color w:val="000000" w:themeColor="text1"/>
                <w:sz w:val="21"/>
                <w:lang w:eastAsia="en-US"/>
              </w:rPr>
            </w:pPr>
            <w:r>
              <w:rPr>
                <w:rFonts w:ascii="Times New Roman"/>
                <w:color w:val="000000" w:themeColor="text1"/>
                <w:sz w:val="21"/>
                <w:lang w:eastAsia="en-US"/>
              </w:rPr>
              <w:t>tce</w:t>
            </w:r>
          </w:p>
        </w:tc>
        <w:tc>
          <w:tcPr>
            <w:tcW w:w="1657" w:type="dxa"/>
            <w:tcBorders>
              <w:top w:val="single" w:color="000000" w:sz="6" w:space="0"/>
              <w:left w:val="single" w:color="000000" w:sz="6" w:space="0"/>
              <w:bottom w:val="single" w:color="000000" w:sz="6" w:space="0"/>
              <w:right w:val="single" w:color="000000" w:sz="6" w:space="0"/>
            </w:tcBorders>
            <w:vAlign w:val="center"/>
          </w:tcPr>
          <w:p>
            <w:pPr>
              <w:pStyle w:val="64"/>
              <w:spacing w:before="130"/>
              <w:ind w:left="527" w:leftChars="0" w:right="505" w:rightChars="0"/>
              <w:jc w:val="center"/>
              <w:rPr>
                <w:rFonts w:hint="eastAsia" w:ascii="Times New Roman"/>
                <w:color w:val="000000" w:themeColor="text1"/>
                <w:sz w:val="21"/>
                <w:lang w:val="en-US" w:eastAsia="zh-CN"/>
              </w:rPr>
            </w:pPr>
            <w:r>
              <w:rPr>
                <w:rFonts w:hint="eastAsia" w:ascii="Times New Roman"/>
                <w:color w:val="000000" w:themeColor="text1"/>
                <w:sz w:val="21"/>
                <w:lang w:val="en-US" w:eastAsia="zh-CN"/>
              </w:rPr>
              <w:t>100.67</w:t>
            </w:r>
          </w:p>
        </w:tc>
        <w:tc>
          <w:tcPr>
            <w:tcW w:w="1614" w:type="dxa"/>
            <w:tcBorders>
              <w:top w:val="single" w:color="000000" w:sz="6" w:space="0"/>
              <w:left w:val="single" w:color="000000" w:sz="6" w:space="0"/>
              <w:bottom w:val="single" w:color="000000" w:sz="6" w:space="0"/>
              <w:right w:val="single" w:color="000000" w:sz="6" w:space="0"/>
            </w:tcBorders>
            <w:vAlign w:val="center"/>
          </w:tcPr>
          <w:p>
            <w:pPr>
              <w:pStyle w:val="64"/>
              <w:spacing w:before="130"/>
              <w:ind w:right="505" w:rightChars="0"/>
              <w:jc w:val="center"/>
              <w:rPr>
                <w:rFonts w:hint="eastAsia" w:ascii="Times New Roman"/>
                <w:color w:val="000000" w:themeColor="text1"/>
                <w:sz w:val="21"/>
                <w:lang w:val="en-US" w:eastAsia="zh-CN"/>
              </w:rPr>
            </w:pPr>
            <w:r>
              <w:rPr>
                <w:rFonts w:hint="eastAsia" w:ascii="Times New Roman"/>
                <w:color w:val="000000" w:themeColor="text1"/>
                <w:sz w:val="21"/>
                <w:lang w:val="en-US" w:eastAsia="zh-CN"/>
              </w:rPr>
              <w:t>243.61</w:t>
            </w:r>
          </w:p>
        </w:tc>
        <w:tc>
          <w:tcPr>
            <w:tcW w:w="1489" w:type="dxa"/>
            <w:tcBorders>
              <w:top w:val="single" w:color="000000" w:sz="6" w:space="0"/>
              <w:left w:val="single" w:color="000000" w:sz="6" w:space="0"/>
              <w:bottom w:val="single" w:color="000000" w:sz="6" w:space="0"/>
            </w:tcBorders>
            <w:vAlign w:val="center"/>
          </w:tcPr>
          <w:p>
            <w:pPr>
              <w:pStyle w:val="64"/>
              <w:spacing w:before="130"/>
              <w:ind w:right="484" w:rightChars="0"/>
              <w:jc w:val="right"/>
              <w:rPr>
                <w:rFonts w:hint="eastAsia" w:ascii="Times New Roman"/>
                <w:color w:val="000000" w:themeColor="text1"/>
                <w:sz w:val="21"/>
                <w:lang w:val="en-US" w:eastAsia="zh-CN"/>
              </w:rPr>
            </w:pPr>
            <w:r>
              <w:rPr>
                <w:rFonts w:hint="eastAsia" w:ascii="Times New Roman"/>
                <w:color w:val="000000" w:themeColor="text1"/>
                <w:sz w:val="21"/>
                <w:lang w:val="en-US" w:eastAsia="zh-CN"/>
              </w:rPr>
              <w:t>355.14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2233" w:type="dxa"/>
            <w:gridSpan w:val="2"/>
            <w:tcBorders>
              <w:bottom w:val="single" w:color="000000" w:sz="6" w:space="0"/>
              <w:right w:val="single" w:color="000000" w:sz="6" w:space="0"/>
            </w:tcBorders>
            <w:vAlign w:val="center"/>
          </w:tcPr>
          <w:p>
            <w:pPr>
              <w:autoSpaceDE w:val="0"/>
              <w:autoSpaceDN w:val="0"/>
              <w:jc w:val="center"/>
              <w:rPr>
                <w:rFonts w:hint="default" w:ascii="宋体" w:hAnsi="宋体" w:eastAsia="宋体" w:cs="宋体"/>
                <w:color w:val="000000" w:themeColor="text1"/>
                <w:kern w:val="0"/>
                <w:sz w:val="21"/>
                <w:szCs w:val="22"/>
                <w:lang w:val="en-US" w:eastAsia="zh-CN" w:bidi="zh-CN"/>
              </w:rPr>
            </w:pPr>
            <w:r>
              <w:rPr>
                <w:rFonts w:hint="eastAsia" w:ascii="宋体" w:hAnsi="宋体" w:eastAsia="宋体" w:cs="宋体"/>
                <w:color w:val="000000" w:themeColor="text1"/>
                <w:kern w:val="0"/>
                <w:sz w:val="21"/>
                <w:szCs w:val="22"/>
                <w:lang w:val="en-US" w:eastAsia="zh-CN" w:bidi="zh-CN"/>
              </w:rPr>
              <w:t>单位产品综合能耗</w:t>
            </w:r>
          </w:p>
        </w:tc>
        <w:tc>
          <w:tcPr>
            <w:tcW w:w="1275" w:type="dxa"/>
            <w:tcBorders>
              <w:top w:val="single" w:color="000000" w:sz="6" w:space="0"/>
              <w:left w:val="single" w:color="000000" w:sz="6" w:space="0"/>
              <w:bottom w:val="single" w:color="000000" w:sz="6" w:space="0"/>
              <w:right w:val="single" w:color="000000" w:sz="6" w:space="0"/>
            </w:tcBorders>
            <w:vAlign w:val="center"/>
          </w:tcPr>
          <w:p>
            <w:pPr>
              <w:pStyle w:val="64"/>
              <w:spacing w:before="72"/>
              <w:ind w:left="183" w:right="158"/>
              <w:jc w:val="center"/>
              <w:rPr>
                <w:rFonts w:ascii="Times New Roman"/>
                <w:color w:val="000000" w:themeColor="text1"/>
                <w:sz w:val="21"/>
                <w:lang w:eastAsia="en-US"/>
              </w:rPr>
            </w:pPr>
            <w:r>
              <w:rPr>
                <w:szCs w:val="21"/>
              </w:rPr>
              <w:t>（</w:t>
            </w:r>
            <w:r>
              <w:rPr>
                <w:rFonts w:hint="eastAsia" w:ascii="Times New Roman"/>
                <w:color w:val="000000" w:themeColor="text1"/>
                <w:sz w:val="21"/>
                <w:lang w:val="en-US" w:eastAsia="zh-CN"/>
              </w:rPr>
              <w:t>kgce</w:t>
            </w:r>
            <w:r>
              <w:rPr>
                <w:rFonts w:hint="eastAsia"/>
                <w:szCs w:val="21"/>
              </w:rPr>
              <w:t>/</w:t>
            </w:r>
            <w:r>
              <w:rPr>
                <w:rFonts w:hint="eastAsia"/>
                <w:szCs w:val="21"/>
                <w:lang w:val="en-US" w:eastAsia="zh-CN"/>
              </w:rPr>
              <w:t>辆份</w:t>
            </w:r>
            <w:r>
              <w:rPr>
                <w:szCs w:val="21"/>
              </w:rPr>
              <w:t>）</w:t>
            </w:r>
          </w:p>
        </w:tc>
        <w:tc>
          <w:tcPr>
            <w:tcW w:w="1657" w:type="dxa"/>
            <w:tcBorders>
              <w:top w:val="single" w:color="000000" w:sz="6" w:space="0"/>
              <w:left w:val="single" w:color="000000" w:sz="6" w:space="0"/>
              <w:bottom w:val="single" w:color="000000" w:sz="6" w:space="0"/>
              <w:right w:val="single" w:color="000000" w:sz="6" w:space="0"/>
            </w:tcBorders>
            <w:vAlign w:val="center"/>
          </w:tcPr>
          <w:p>
            <w:pPr>
              <w:pStyle w:val="64"/>
              <w:spacing w:before="130"/>
              <w:ind w:left="527" w:leftChars="0" w:right="505" w:rightChars="0"/>
              <w:jc w:val="center"/>
              <w:rPr>
                <w:rFonts w:hint="default" w:ascii="Times New Roman"/>
                <w:color w:val="000000" w:themeColor="text1"/>
                <w:sz w:val="21"/>
                <w:lang w:val="en-US" w:eastAsia="zh-CN"/>
              </w:rPr>
            </w:pPr>
            <w:r>
              <w:rPr>
                <w:rFonts w:hint="eastAsia" w:ascii="Times New Roman"/>
                <w:color w:val="000000" w:themeColor="text1"/>
                <w:sz w:val="21"/>
                <w:lang w:val="en-US" w:eastAsia="zh-CN"/>
              </w:rPr>
              <w:t>1.88</w:t>
            </w:r>
          </w:p>
        </w:tc>
        <w:tc>
          <w:tcPr>
            <w:tcW w:w="1614" w:type="dxa"/>
            <w:tcBorders>
              <w:top w:val="single" w:color="000000" w:sz="6" w:space="0"/>
              <w:left w:val="single" w:color="000000" w:sz="6" w:space="0"/>
              <w:bottom w:val="single" w:color="000000" w:sz="6" w:space="0"/>
              <w:right w:val="single" w:color="000000" w:sz="6" w:space="0"/>
            </w:tcBorders>
            <w:vAlign w:val="center"/>
          </w:tcPr>
          <w:p>
            <w:pPr>
              <w:pStyle w:val="64"/>
              <w:spacing w:before="130"/>
              <w:ind w:left="527" w:leftChars="0" w:right="505" w:rightChars="0"/>
              <w:jc w:val="center"/>
              <w:rPr>
                <w:rFonts w:hint="default" w:ascii="Times New Roman"/>
                <w:color w:val="000000" w:themeColor="text1"/>
                <w:sz w:val="21"/>
                <w:lang w:val="en-US" w:eastAsia="zh-CN"/>
              </w:rPr>
            </w:pPr>
            <w:r>
              <w:rPr>
                <w:rFonts w:hint="eastAsia" w:ascii="Times New Roman"/>
                <w:color w:val="000000" w:themeColor="text1"/>
                <w:sz w:val="21"/>
                <w:lang w:val="en-US" w:eastAsia="zh-CN"/>
              </w:rPr>
              <w:t>1.44</w:t>
            </w:r>
          </w:p>
        </w:tc>
        <w:tc>
          <w:tcPr>
            <w:tcW w:w="1489" w:type="dxa"/>
            <w:tcBorders>
              <w:top w:val="single" w:color="000000" w:sz="6" w:space="0"/>
              <w:left w:val="single" w:color="000000" w:sz="6" w:space="0"/>
              <w:bottom w:val="single" w:color="000000" w:sz="6" w:space="0"/>
            </w:tcBorders>
            <w:vAlign w:val="center"/>
          </w:tcPr>
          <w:p>
            <w:pPr>
              <w:pStyle w:val="64"/>
              <w:spacing w:before="130"/>
              <w:ind w:right="484" w:rightChars="0"/>
              <w:jc w:val="right"/>
              <w:rPr>
                <w:rFonts w:hint="default" w:ascii="Times New Roman"/>
                <w:color w:val="000000" w:themeColor="text1"/>
                <w:sz w:val="21"/>
                <w:lang w:val="en-US" w:eastAsia="zh-CN"/>
              </w:rPr>
            </w:pPr>
            <w:r>
              <w:rPr>
                <w:rFonts w:hint="eastAsia" w:ascii="Times New Roman"/>
                <w:color w:val="000000" w:themeColor="text1"/>
                <w:sz w:val="21"/>
                <w:lang w:val="en-US" w:eastAsia="zh-CN"/>
              </w:rPr>
              <w:t>1.31</w:t>
            </w:r>
          </w:p>
        </w:tc>
      </w:tr>
    </w:tbl>
    <w:p>
      <w:pPr>
        <w:keepNext w:val="0"/>
        <w:keepLines w:val="0"/>
        <w:widowControl/>
        <w:suppressLineNumbers w:val="0"/>
        <w:jc w:val="left"/>
        <w:rPr>
          <w:rFonts w:hint="eastAsia" w:ascii="宋体" w:hAnsi="宋体" w:eastAsia="宋体"/>
          <w:bCs/>
          <w:szCs w:val="21"/>
        </w:rPr>
      </w:pPr>
      <w:r>
        <w:rPr>
          <w:rFonts w:hint="eastAsia" w:ascii="宋体" w:hAnsi="宋体" w:eastAsia="宋体"/>
          <w:bCs/>
          <w:szCs w:val="21"/>
        </w:rPr>
        <w:t>注：折标系数分别取：</w:t>
      </w:r>
      <w:r>
        <w:rPr>
          <w:rFonts w:hint="eastAsia" w:ascii="宋体" w:hAnsi="宋体" w:eastAsia="宋体"/>
          <w:bCs/>
          <w:szCs w:val="21"/>
          <w:lang w:val="en-US" w:eastAsia="zh-CN"/>
        </w:rPr>
        <w:t>电力</w:t>
      </w:r>
      <w:r>
        <w:rPr>
          <w:rFonts w:hint="eastAsia" w:ascii="宋体" w:hAnsi="宋体" w:eastAsia="宋体"/>
          <w:bCs/>
          <w:szCs w:val="21"/>
        </w:rPr>
        <w:t>1 万 kWh=1.229tce。</w:t>
      </w:r>
    </w:p>
    <w:p>
      <w:pPr>
        <w:spacing w:beforeLines="50" w:line="360" w:lineRule="auto"/>
        <w:ind w:firstLine="480" w:firstLineChars="200"/>
        <w:rPr>
          <w:rFonts w:ascii="宋体" w:hAnsi="宋体" w:eastAsia="宋体"/>
          <w:bCs/>
          <w:sz w:val="24"/>
          <w:szCs w:val="24"/>
        </w:rPr>
      </w:pPr>
      <w:r>
        <w:rPr>
          <w:rFonts w:ascii="宋体" w:hAnsi="宋体" w:eastAsia="宋体"/>
          <w:bCs/>
          <w:sz w:val="24"/>
          <w:szCs w:val="24"/>
        </w:rPr>
        <w:t>目前，生活区和生产区安装了一块</w:t>
      </w:r>
      <w:r>
        <w:rPr>
          <w:rFonts w:hint="eastAsia" w:ascii="宋体" w:hAnsi="宋体" w:eastAsia="宋体"/>
          <w:bCs/>
          <w:sz w:val="24"/>
          <w:szCs w:val="24"/>
          <w:lang w:val="en-US" w:eastAsia="zh-CN"/>
        </w:rPr>
        <w:t>总</w:t>
      </w:r>
      <w:r>
        <w:rPr>
          <w:rFonts w:ascii="宋体" w:hAnsi="宋体" w:eastAsia="宋体"/>
          <w:bCs/>
          <w:sz w:val="24"/>
          <w:szCs w:val="24"/>
        </w:rPr>
        <w:t>电表，</w:t>
      </w:r>
      <w:r>
        <w:rPr>
          <w:rFonts w:hint="eastAsia" w:ascii="宋体" w:hAnsi="宋体" w:eastAsia="宋体"/>
          <w:bCs/>
          <w:sz w:val="24"/>
          <w:szCs w:val="24"/>
        </w:rPr>
        <w:t>企业</w:t>
      </w:r>
      <w:r>
        <w:rPr>
          <w:rFonts w:ascii="宋体" w:hAnsi="宋体" w:eastAsia="宋体"/>
          <w:bCs/>
          <w:sz w:val="24"/>
          <w:szCs w:val="24"/>
        </w:rPr>
        <w:t>不是高能耗企业，因此审核小组认为，现有能源计量系统基本可满足要求</w:t>
      </w:r>
      <w:r>
        <w:rPr>
          <w:rFonts w:hint="eastAsia" w:ascii="宋体" w:hAnsi="宋体" w:eastAsia="宋体"/>
          <w:bCs/>
          <w:sz w:val="24"/>
          <w:szCs w:val="24"/>
        </w:rPr>
        <w:t>，同时</w:t>
      </w:r>
      <w:r>
        <w:rPr>
          <w:rFonts w:ascii="Times New Roman" w:hAnsi="Times New Roman" w:eastAsia="宋体"/>
          <w:sz w:val="24"/>
          <w:szCs w:val="24"/>
        </w:rPr>
        <w:t>审核建议企业应增加水电计量设备，完善二级计量系统。企业还应加强对计量设备的保养维护，确保其精度；同时建议企业将单位产品能耗水平纳入考核指标。</w:t>
      </w:r>
    </w:p>
    <w:p>
      <w:pPr>
        <w:spacing w:beforeLines="50"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按照《重点用能单位管理办法》（GB17167-2006）要求，审核小组调查了公司能源器具配备率、准确性、计量管理三个方面。公司的能源计量器具配备情况如表3-</w:t>
      </w:r>
      <w:r>
        <w:rPr>
          <w:rFonts w:hint="eastAsia" w:ascii="Times New Roman" w:hAnsi="Times New Roman" w:eastAsia="宋体"/>
          <w:sz w:val="24"/>
          <w:szCs w:val="24"/>
          <w:lang w:val="en-US" w:eastAsia="zh-CN"/>
        </w:rPr>
        <w:t>8</w:t>
      </w:r>
      <w:r>
        <w:rPr>
          <w:rFonts w:hint="eastAsia" w:ascii="Times New Roman" w:hAnsi="Times New Roman" w:eastAsia="宋体"/>
          <w:sz w:val="24"/>
          <w:szCs w:val="24"/>
        </w:rPr>
        <w:t>所示。</w:t>
      </w:r>
    </w:p>
    <w:p>
      <w:pPr>
        <w:spacing w:beforeLines="50" w:line="360" w:lineRule="auto"/>
        <w:ind w:firstLine="482" w:firstLineChars="200"/>
        <w:jc w:val="center"/>
        <w:rPr>
          <w:rFonts w:ascii="Times New Roman" w:hAnsi="Times New Roman" w:eastAsia="宋体"/>
          <w:b/>
          <w:sz w:val="24"/>
          <w:szCs w:val="24"/>
        </w:rPr>
      </w:pPr>
      <w:r>
        <w:rPr>
          <w:rFonts w:hint="eastAsia" w:ascii="Times New Roman" w:hAnsi="Times New Roman" w:eastAsia="宋体"/>
          <w:b/>
          <w:sz w:val="24"/>
          <w:szCs w:val="24"/>
        </w:rPr>
        <w:t>表3-</w:t>
      </w:r>
      <w:r>
        <w:rPr>
          <w:rFonts w:hint="eastAsia" w:ascii="Times New Roman" w:hAnsi="Times New Roman" w:eastAsia="宋体"/>
          <w:b/>
          <w:sz w:val="24"/>
          <w:szCs w:val="24"/>
          <w:lang w:val="en-US" w:eastAsia="zh-CN"/>
        </w:rPr>
        <w:t>8</w:t>
      </w:r>
      <w:r>
        <w:rPr>
          <w:rFonts w:hint="eastAsia" w:ascii="Times New Roman" w:hAnsi="Times New Roman" w:eastAsia="宋体"/>
          <w:b/>
          <w:sz w:val="24"/>
          <w:szCs w:val="24"/>
        </w:rPr>
        <w:t xml:space="preserve">  企业电力</w:t>
      </w:r>
      <w:r>
        <w:rPr>
          <w:rFonts w:ascii="Times New Roman" w:hAnsi="Times New Roman" w:eastAsia="宋体"/>
          <w:b/>
          <w:sz w:val="24"/>
          <w:szCs w:val="24"/>
        </w:rPr>
        <w:t>计量配备</w:t>
      </w:r>
      <w:r>
        <w:rPr>
          <w:rFonts w:hint="eastAsia" w:ascii="Times New Roman" w:hAnsi="Times New Roman" w:eastAsia="宋体"/>
          <w:b/>
          <w:sz w:val="24"/>
          <w:szCs w:val="24"/>
        </w:rPr>
        <w:t>情况表</w:t>
      </w:r>
    </w:p>
    <w:tbl>
      <w:tblPr>
        <w:tblStyle w:val="27"/>
        <w:tblW w:w="87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2398"/>
        <w:gridCol w:w="2180"/>
        <w:gridCol w:w="2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tblHeader/>
          <w:jc w:val="center"/>
        </w:trPr>
        <w:tc>
          <w:tcPr>
            <w:tcW w:w="1962" w:type="dxa"/>
            <w:vAlign w:val="center"/>
          </w:tcPr>
          <w:p>
            <w:pPr>
              <w:pStyle w:val="54"/>
            </w:pPr>
            <w:r>
              <w:t>级别</w:t>
            </w:r>
          </w:p>
        </w:tc>
        <w:tc>
          <w:tcPr>
            <w:tcW w:w="2398" w:type="dxa"/>
            <w:vAlign w:val="center"/>
          </w:tcPr>
          <w:p>
            <w:pPr>
              <w:pStyle w:val="54"/>
            </w:pPr>
            <w:r>
              <w:t>项目</w:t>
            </w:r>
          </w:p>
        </w:tc>
        <w:tc>
          <w:tcPr>
            <w:tcW w:w="2180" w:type="dxa"/>
            <w:vAlign w:val="center"/>
          </w:tcPr>
          <w:p>
            <w:pPr>
              <w:pStyle w:val="54"/>
            </w:pPr>
            <w:r>
              <w:t>单位</w:t>
            </w:r>
          </w:p>
        </w:tc>
        <w:tc>
          <w:tcPr>
            <w:tcW w:w="2180" w:type="dxa"/>
          </w:tcPr>
          <w:p>
            <w:pPr>
              <w:pStyle w:val="54"/>
            </w:pPr>
            <w:r>
              <w:rPr>
                <w:rFonts w:hint="eastAsia"/>
              </w:rPr>
              <w:t>电</w:t>
            </w:r>
            <w:r>
              <w:t>计量器具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962" w:type="dxa"/>
            <w:vMerge w:val="restart"/>
            <w:vAlign w:val="center"/>
          </w:tcPr>
          <w:p>
            <w:pPr>
              <w:pStyle w:val="54"/>
            </w:pPr>
            <w:r>
              <w:t>Ⅰ级</w:t>
            </w:r>
          </w:p>
        </w:tc>
        <w:tc>
          <w:tcPr>
            <w:tcW w:w="2398" w:type="dxa"/>
            <w:vAlign w:val="center"/>
          </w:tcPr>
          <w:p>
            <w:pPr>
              <w:pStyle w:val="54"/>
            </w:pPr>
            <w:r>
              <w:t>应装数</w:t>
            </w:r>
          </w:p>
        </w:tc>
        <w:tc>
          <w:tcPr>
            <w:tcW w:w="2180" w:type="dxa"/>
            <w:vAlign w:val="center"/>
          </w:tcPr>
          <w:p>
            <w:pPr>
              <w:pStyle w:val="54"/>
            </w:pPr>
            <w:r>
              <w:t>台</w:t>
            </w:r>
          </w:p>
        </w:tc>
        <w:tc>
          <w:tcPr>
            <w:tcW w:w="2180" w:type="dxa"/>
          </w:tcPr>
          <w:p>
            <w:pPr>
              <w:pStyle w:val="54"/>
              <w:rPr>
                <w:rFonts w:hint="eastAsia" w:eastAsia="宋体"/>
                <w:lang w:eastAsia="zh-CN"/>
              </w:rPr>
            </w:pPr>
            <w:r>
              <w:rPr>
                <w:rFonts w:hint="eastAsia"/>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62" w:type="dxa"/>
            <w:vMerge w:val="continue"/>
            <w:vAlign w:val="center"/>
          </w:tcPr>
          <w:p>
            <w:pPr>
              <w:pStyle w:val="54"/>
            </w:pPr>
          </w:p>
        </w:tc>
        <w:tc>
          <w:tcPr>
            <w:tcW w:w="2398" w:type="dxa"/>
            <w:vAlign w:val="center"/>
          </w:tcPr>
          <w:p>
            <w:pPr>
              <w:pStyle w:val="54"/>
            </w:pPr>
            <w:r>
              <w:t>安装数</w:t>
            </w:r>
          </w:p>
        </w:tc>
        <w:tc>
          <w:tcPr>
            <w:tcW w:w="2180" w:type="dxa"/>
            <w:vAlign w:val="center"/>
          </w:tcPr>
          <w:p>
            <w:pPr>
              <w:pStyle w:val="54"/>
            </w:pPr>
            <w:r>
              <w:t>台</w:t>
            </w:r>
          </w:p>
        </w:tc>
        <w:tc>
          <w:tcPr>
            <w:tcW w:w="2180" w:type="dxa"/>
          </w:tcPr>
          <w:p>
            <w:pPr>
              <w:pStyle w:val="54"/>
              <w:rPr>
                <w:rFonts w:hint="eastAsia" w:eastAsia="宋体"/>
                <w:lang w:eastAsia="zh-CN"/>
              </w:rPr>
            </w:pPr>
            <w:r>
              <w:rPr>
                <w:rFonts w:hint="eastAsia"/>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62" w:type="dxa"/>
            <w:vMerge w:val="continue"/>
            <w:vAlign w:val="center"/>
          </w:tcPr>
          <w:p>
            <w:pPr>
              <w:pStyle w:val="54"/>
            </w:pPr>
          </w:p>
        </w:tc>
        <w:tc>
          <w:tcPr>
            <w:tcW w:w="2398" w:type="dxa"/>
            <w:vAlign w:val="center"/>
          </w:tcPr>
          <w:p>
            <w:pPr>
              <w:pStyle w:val="54"/>
            </w:pPr>
            <w:r>
              <w:t>配备率</w:t>
            </w:r>
          </w:p>
        </w:tc>
        <w:tc>
          <w:tcPr>
            <w:tcW w:w="2180" w:type="dxa"/>
            <w:vAlign w:val="center"/>
          </w:tcPr>
          <w:p>
            <w:pPr>
              <w:pStyle w:val="54"/>
            </w:pPr>
            <w:r>
              <w:t>%</w:t>
            </w:r>
          </w:p>
        </w:tc>
        <w:tc>
          <w:tcPr>
            <w:tcW w:w="2180" w:type="dxa"/>
          </w:tcPr>
          <w:p>
            <w:pPr>
              <w:pStyle w:val="54"/>
            </w:pPr>
            <w:r>
              <w:rPr>
                <w:rFonts w:hint="eastAsia"/>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62" w:type="dxa"/>
            <w:vMerge w:val="continue"/>
            <w:vAlign w:val="center"/>
          </w:tcPr>
          <w:p>
            <w:pPr>
              <w:pStyle w:val="54"/>
            </w:pPr>
          </w:p>
        </w:tc>
        <w:tc>
          <w:tcPr>
            <w:tcW w:w="2398" w:type="dxa"/>
            <w:vAlign w:val="center"/>
          </w:tcPr>
          <w:p>
            <w:pPr>
              <w:pStyle w:val="54"/>
            </w:pPr>
            <w:r>
              <w:t>完好率</w:t>
            </w:r>
          </w:p>
        </w:tc>
        <w:tc>
          <w:tcPr>
            <w:tcW w:w="2180" w:type="dxa"/>
            <w:vAlign w:val="center"/>
          </w:tcPr>
          <w:p>
            <w:pPr>
              <w:pStyle w:val="54"/>
            </w:pPr>
            <w:r>
              <w:t>%</w:t>
            </w:r>
          </w:p>
        </w:tc>
        <w:tc>
          <w:tcPr>
            <w:tcW w:w="2180" w:type="dxa"/>
          </w:tcPr>
          <w:p>
            <w:pPr>
              <w:pStyle w:val="54"/>
            </w:pPr>
            <w:r>
              <w:rPr>
                <w:rFonts w:hint="eastAsia"/>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962" w:type="dxa"/>
            <w:vMerge w:val="restart"/>
            <w:vAlign w:val="center"/>
          </w:tcPr>
          <w:p>
            <w:pPr>
              <w:pStyle w:val="54"/>
            </w:pPr>
            <w:r>
              <w:t>综合</w:t>
            </w:r>
          </w:p>
        </w:tc>
        <w:tc>
          <w:tcPr>
            <w:tcW w:w="2398" w:type="dxa"/>
            <w:vAlign w:val="center"/>
          </w:tcPr>
          <w:p>
            <w:pPr>
              <w:pStyle w:val="54"/>
            </w:pPr>
            <w:r>
              <w:t>配备率</w:t>
            </w:r>
          </w:p>
        </w:tc>
        <w:tc>
          <w:tcPr>
            <w:tcW w:w="2180" w:type="dxa"/>
            <w:vAlign w:val="center"/>
          </w:tcPr>
          <w:p>
            <w:pPr>
              <w:pStyle w:val="54"/>
            </w:pPr>
            <w:r>
              <w:t>%</w:t>
            </w:r>
          </w:p>
        </w:tc>
        <w:tc>
          <w:tcPr>
            <w:tcW w:w="2180" w:type="dxa"/>
          </w:tcPr>
          <w:p>
            <w:pPr>
              <w:pStyle w:val="54"/>
              <w:rPr>
                <w:rFonts w:hint="default" w:eastAsiaTheme="minorEastAsia"/>
                <w:lang w:val="en-US" w:eastAsia="zh-CN"/>
              </w:rPr>
            </w:pPr>
            <w:r>
              <w:rPr>
                <w:rFonts w:hint="eastAsia"/>
                <w:lang w:val="en-US" w:eastAsia="zh-CN"/>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62" w:type="dxa"/>
            <w:vMerge w:val="continue"/>
            <w:vAlign w:val="center"/>
          </w:tcPr>
          <w:p>
            <w:pPr>
              <w:pStyle w:val="54"/>
            </w:pPr>
          </w:p>
        </w:tc>
        <w:tc>
          <w:tcPr>
            <w:tcW w:w="2398" w:type="dxa"/>
            <w:vAlign w:val="center"/>
          </w:tcPr>
          <w:p>
            <w:pPr>
              <w:pStyle w:val="54"/>
            </w:pPr>
            <w:r>
              <w:t>完好率</w:t>
            </w:r>
          </w:p>
        </w:tc>
        <w:tc>
          <w:tcPr>
            <w:tcW w:w="2180" w:type="dxa"/>
            <w:vAlign w:val="center"/>
          </w:tcPr>
          <w:p>
            <w:pPr>
              <w:pStyle w:val="54"/>
            </w:pPr>
            <w:r>
              <w:t>%</w:t>
            </w:r>
          </w:p>
        </w:tc>
        <w:tc>
          <w:tcPr>
            <w:tcW w:w="2180" w:type="dxa"/>
          </w:tcPr>
          <w:p>
            <w:pPr>
              <w:pStyle w:val="54"/>
            </w:pPr>
            <w:r>
              <w:rPr>
                <w:rFonts w:hint="eastAsia"/>
              </w:rPr>
              <w:t>100</w:t>
            </w:r>
          </w:p>
        </w:tc>
      </w:tr>
    </w:tbl>
    <w:p>
      <w:pPr>
        <w:spacing w:beforeLines="50" w:line="360" w:lineRule="auto"/>
        <w:ind w:firstLine="420" w:firstLineChars="200"/>
        <w:rPr>
          <w:rFonts w:ascii="Times New Roman" w:hAnsi="Times New Roman" w:eastAsia="宋体"/>
          <w:szCs w:val="21"/>
        </w:rPr>
      </w:pPr>
      <w:r>
        <w:rPr>
          <w:rFonts w:ascii="Times New Roman" w:hAnsi="Times New Roman" w:eastAsia="宋体"/>
          <w:szCs w:val="21"/>
        </w:rPr>
        <w:t>注：一级代表进出口用能单位；二级代表进出口主要次级用能单位；三级代表主要用能设备；</w:t>
      </w:r>
    </w:p>
    <w:p>
      <w:pPr>
        <w:spacing w:beforeLines="50" w:line="360" w:lineRule="auto"/>
        <w:ind w:firstLine="480" w:firstLineChars="200"/>
        <w:rPr>
          <w:rFonts w:ascii="Times New Roman" w:hAnsi="Times New Roman" w:eastAsia="宋体"/>
          <w:sz w:val="24"/>
          <w:szCs w:val="24"/>
        </w:rPr>
      </w:pPr>
      <w:r>
        <w:rPr>
          <w:rFonts w:ascii="Times New Roman" w:hAnsi="Times New Roman" w:eastAsia="宋体"/>
          <w:sz w:val="24"/>
          <w:szCs w:val="24"/>
        </w:rPr>
        <w:t>通过上表统计数据可以看出，企业一级</w:t>
      </w:r>
      <w:r>
        <w:rPr>
          <w:rFonts w:hint="eastAsia" w:ascii="Times New Roman" w:hAnsi="Times New Roman" w:eastAsia="宋体"/>
          <w:sz w:val="24"/>
          <w:szCs w:val="24"/>
          <w:lang w:val="en-US" w:eastAsia="zh-CN"/>
        </w:rPr>
        <w:t>完整</w:t>
      </w:r>
      <w:r>
        <w:rPr>
          <w:rFonts w:ascii="Times New Roman" w:hAnsi="Times New Roman" w:eastAsia="宋体"/>
          <w:sz w:val="24"/>
          <w:szCs w:val="24"/>
        </w:rPr>
        <w:t>，</w:t>
      </w:r>
      <w:r>
        <w:rPr>
          <w:rFonts w:hint="eastAsia" w:ascii="Times New Roman" w:hAnsi="Times New Roman" w:eastAsia="宋体"/>
          <w:sz w:val="24"/>
          <w:szCs w:val="24"/>
        </w:rPr>
        <w:t>各主要生产车间和生活区以及办公区</w:t>
      </w:r>
      <w:r>
        <w:rPr>
          <w:rFonts w:hint="eastAsia" w:ascii="Times New Roman" w:hAnsi="Times New Roman" w:eastAsia="宋体"/>
          <w:sz w:val="24"/>
          <w:szCs w:val="24"/>
          <w:lang w:val="en-US" w:eastAsia="zh-CN"/>
        </w:rPr>
        <w:t>没有</w:t>
      </w:r>
      <w:r>
        <w:rPr>
          <w:rFonts w:hint="eastAsia" w:ascii="Times New Roman" w:hAnsi="Times New Roman" w:eastAsia="宋体"/>
          <w:sz w:val="24"/>
          <w:szCs w:val="24"/>
        </w:rPr>
        <w:t>电力计量仪表。</w:t>
      </w:r>
      <w:r>
        <w:rPr>
          <w:rFonts w:ascii="Times New Roman" w:hAnsi="Times New Roman" w:eastAsia="宋体"/>
          <w:sz w:val="24"/>
          <w:szCs w:val="24"/>
        </w:rPr>
        <w:t>企业还应加强对计量设备的保养维护，确保其精度</w:t>
      </w:r>
      <w:r>
        <w:rPr>
          <w:rFonts w:hint="eastAsia" w:ascii="Times New Roman" w:hAnsi="Times New Roman" w:eastAsia="宋体"/>
          <w:sz w:val="24"/>
          <w:szCs w:val="24"/>
        </w:rPr>
        <w:t>。现有能源计量系统基本可满足要求。</w:t>
      </w:r>
    </w:p>
    <w:p>
      <w:pPr>
        <w:spacing w:beforeLines="50" w:line="360" w:lineRule="auto"/>
        <w:ind w:firstLine="480" w:firstLineChars="200"/>
        <w:rPr>
          <w:rFonts w:ascii="Times New Roman" w:hAnsi="Times New Roman" w:eastAsia="宋体"/>
          <w:sz w:val="24"/>
          <w:szCs w:val="24"/>
        </w:rPr>
      </w:pPr>
      <w:r>
        <w:rPr>
          <w:rFonts w:ascii="Times New Roman" w:hAnsi="Times New Roman" w:eastAsia="宋体"/>
          <w:sz w:val="24"/>
          <w:szCs w:val="24"/>
        </w:rPr>
        <w:t>根据企业提供的 20</w:t>
      </w:r>
      <w:r>
        <w:rPr>
          <w:rFonts w:hint="eastAsia" w:ascii="Times New Roman" w:hAnsi="Times New Roman" w:eastAsia="宋体"/>
          <w:sz w:val="24"/>
          <w:szCs w:val="24"/>
          <w:lang w:val="en-US" w:eastAsia="zh-CN"/>
        </w:rPr>
        <w:t>23</w:t>
      </w:r>
      <w:r>
        <w:rPr>
          <w:rFonts w:ascii="Times New Roman" w:hAnsi="Times New Roman" w:eastAsia="宋体"/>
          <w:sz w:val="24"/>
          <w:szCs w:val="24"/>
        </w:rPr>
        <w:t>年能耗数据，可绘制如下能源流向图</w:t>
      </w:r>
      <w:r>
        <w:rPr>
          <w:rFonts w:hint="eastAsia" w:ascii="Times New Roman" w:hAnsi="Times New Roman" w:eastAsia="宋体"/>
          <w:sz w:val="24"/>
          <w:szCs w:val="24"/>
        </w:rPr>
        <w:t>：</w:t>
      </w:r>
    </w:p>
    <w:p>
      <w:pPr>
        <w:spacing w:beforeLines="50" w:line="360" w:lineRule="auto"/>
        <w:jc w:val="center"/>
      </w:pPr>
      <w:r>
        <w:drawing>
          <wp:inline distT="0" distB="0" distL="114300" distR="114300">
            <wp:extent cx="5271135" cy="3124200"/>
            <wp:effectExtent l="0" t="0" r="5715"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7"/>
                    <a:stretch>
                      <a:fillRect/>
                    </a:stretch>
                  </pic:blipFill>
                  <pic:spPr>
                    <a:xfrm>
                      <a:off x="0" y="0"/>
                      <a:ext cx="5271135" cy="3124200"/>
                    </a:xfrm>
                    <a:prstGeom prst="rect">
                      <a:avLst/>
                    </a:prstGeom>
                    <a:noFill/>
                    <a:ln>
                      <a:noFill/>
                    </a:ln>
                  </pic:spPr>
                </pic:pic>
              </a:graphicData>
            </a:graphic>
          </wp:inline>
        </w:drawing>
      </w:r>
    </w:p>
    <w:p>
      <w:pPr>
        <w:pStyle w:val="11"/>
        <w:jc w:val="center"/>
        <w:rPr>
          <w:rFonts w:hint="default" w:eastAsiaTheme="minorEastAsia"/>
          <w:b/>
          <w:bCs/>
          <w:lang w:val="en-US" w:eastAsia="zh-CN"/>
        </w:rPr>
      </w:pPr>
      <w:r>
        <w:rPr>
          <w:rFonts w:hint="eastAsia"/>
          <w:b/>
          <w:bCs/>
          <w:lang w:val="en-US" w:eastAsia="zh-CN"/>
        </w:rPr>
        <w:t>图3.6 企业能源流向图（年）</w:t>
      </w:r>
    </w:p>
    <w:p>
      <w:pPr>
        <w:pStyle w:val="6"/>
        <w:keepLines w:val="0"/>
        <w:widowControl w:val="0"/>
        <w:adjustRightInd/>
        <w:snapToGrid/>
        <w:spacing w:beforeLines="50" w:after="0" w:line="360" w:lineRule="auto"/>
        <w:rPr>
          <w:rFonts w:ascii="Times New Roman" w:hAnsi="宋体"/>
          <w:bCs w:val="0"/>
          <w:color w:val="000000" w:themeColor="text1"/>
          <w:sz w:val="24"/>
        </w:rPr>
      </w:pPr>
      <w:r>
        <w:rPr>
          <w:rFonts w:hint="eastAsia" w:ascii="Times New Roman" w:hAnsi="宋体"/>
          <w:bCs w:val="0"/>
          <w:color w:val="000000" w:themeColor="text1"/>
          <w:sz w:val="24"/>
        </w:rPr>
        <w:t>3.1.3.3水的供给与消耗</w:t>
      </w:r>
    </w:p>
    <w:p>
      <w:pPr>
        <w:spacing w:beforeLines="50" w:line="360" w:lineRule="auto"/>
        <w:ind w:firstLine="480" w:firstLineChars="200"/>
        <w:rPr>
          <w:rFonts w:ascii="Times New Roman" w:hAnsi="Times New Roman" w:eastAsia="宋体"/>
          <w:color w:val="000000" w:themeColor="text1"/>
          <w:sz w:val="24"/>
          <w:szCs w:val="24"/>
        </w:rPr>
      </w:pPr>
      <w:r>
        <w:rPr>
          <w:rFonts w:ascii="Times New Roman" w:hAnsi="Times New Roman" w:eastAsia="宋体"/>
          <w:color w:val="000000" w:themeColor="text1"/>
          <w:sz w:val="24"/>
          <w:szCs w:val="24"/>
        </w:rPr>
        <w:t>公司用水主要</w:t>
      </w:r>
      <w:r>
        <w:rPr>
          <w:rFonts w:hint="eastAsia" w:ascii="Times New Roman" w:hAnsi="Times New Roman" w:eastAsia="宋体"/>
          <w:color w:val="000000" w:themeColor="text1"/>
          <w:sz w:val="24"/>
          <w:szCs w:val="24"/>
          <w:lang w:val="en-US" w:eastAsia="zh-CN"/>
        </w:rPr>
        <w:t>是</w:t>
      </w:r>
      <w:r>
        <w:rPr>
          <w:rFonts w:ascii="Times New Roman" w:hAnsi="Times New Roman" w:eastAsia="宋体"/>
          <w:color w:val="000000" w:themeColor="text1"/>
          <w:sz w:val="24"/>
          <w:szCs w:val="24"/>
        </w:rPr>
        <w:t>生活用水</w:t>
      </w:r>
      <w:r>
        <w:rPr>
          <w:rFonts w:hint="eastAsia" w:ascii="Times New Roman" w:hAnsi="Times New Roman" w:eastAsia="宋体"/>
          <w:color w:val="000000" w:themeColor="text1"/>
          <w:sz w:val="24"/>
          <w:szCs w:val="24"/>
          <w:lang w:eastAsia="zh-CN"/>
        </w:rPr>
        <w:t>，</w:t>
      </w:r>
      <w:r>
        <w:rPr>
          <w:rFonts w:hint="eastAsia" w:ascii="Times New Roman" w:hAnsi="Times New Roman" w:eastAsia="宋体"/>
          <w:color w:val="000000" w:themeColor="text1"/>
          <w:sz w:val="24"/>
          <w:szCs w:val="24"/>
          <w:lang w:val="en-US" w:eastAsia="zh-CN"/>
        </w:rPr>
        <w:t>生产用水比较少主要为冷却循环用水</w:t>
      </w:r>
      <w:r>
        <w:rPr>
          <w:rFonts w:ascii="Times New Roman" w:hAnsi="Times New Roman" w:eastAsia="宋体"/>
          <w:color w:val="000000" w:themeColor="text1"/>
          <w:sz w:val="24"/>
          <w:szCs w:val="24"/>
        </w:rPr>
        <w:t>，水源采用自来水。经现场考察，企业目前仅安装了</w:t>
      </w:r>
      <w:r>
        <w:rPr>
          <w:rFonts w:hint="eastAsia" w:ascii="Times New Roman" w:hAnsi="Times New Roman" w:eastAsia="宋体"/>
          <w:color w:val="000000" w:themeColor="text1"/>
          <w:sz w:val="24"/>
          <w:szCs w:val="24"/>
        </w:rPr>
        <w:t>两</w:t>
      </w:r>
      <w:r>
        <w:rPr>
          <w:rFonts w:ascii="Times New Roman" w:hAnsi="Times New Roman" w:eastAsia="宋体"/>
          <w:color w:val="000000" w:themeColor="text1"/>
          <w:sz w:val="24"/>
          <w:szCs w:val="24"/>
        </w:rPr>
        <w:t>个水计量总表，但由于企业年用水量少，且主要用水是生活用水；因此审核小组认为，仅设置</w:t>
      </w:r>
      <w:r>
        <w:rPr>
          <w:rFonts w:hint="eastAsia" w:ascii="Times New Roman" w:hAnsi="Times New Roman" w:eastAsia="宋体"/>
          <w:color w:val="000000" w:themeColor="text1"/>
          <w:sz w:val="24"/>
          <w:szCs w:val="24"/>
        </w:rPr>
        <w:t>两</w:t>
      </w:r>
      <w:r>
        <w:rPr>
          <w:rFonts w:ascii="Times New Roman" w:hAnsi="Times New Roman" w:eastAsia="宋体"/>
          <w:color w:val="000000" w:themeColor="text1"/>
          <w:sz w:val="24"/>
          <w:szCs w:val="24"/>
        </w:rPr>
        <w:t>个水计量总表基本可满足计量要求。</w:t>
      </w:r>
    </w:p>
    <w:p>
      <w:pPr>
        <w:spacing w:before="120"/>
        <w:jc w:val="center"/>
        <w:rPr>
          <w:rFonts w:ascii="Times New Roman" w:hAnsi="Times New Roman" w:eastAsia="宋体"/>
          <w:b/>
          <w:sz w:val="24"/>
          <w:szCs w:val="24"/>
        </w:rPr>
      </w:pPr>
      <w:r>
        <w:rPr>
          <w:rFonts w:hint="eastAsia" w:ascii="Times New Roman" w:hAnsi="Times New Roman" w:eastAsia="宋体"/>
          <w:b/>
          <w:sz w:val="24"/>
          <w:szCs w:val="24"/>
        </w:rPr>
        <w:t>表3-</w:t>
      </w:r>
      <w:r>
        <w:rPr>
          <w:rFonts w:hint="eastAsia" w:ascii="Times New Roman" w:hAnsi="Times New Roman" w:eastAsia="宋体"/>
          <w:b/>
          <w:sz w:val="24"/>
          <w:szCs w:val="24"/>
          <w:lang w:val="en-US" w:eastAsia="zh-CN"/>
        </w:rPr>
        <w:t>9</w:t>
      </w:r>
      <w:r>
        <w:rPr>
          <w:rFonts w:hint="eastAsia" w:ascii="Times New Roman" w:hAnsi="Times New Roman" w:eastAsia="宋体"/>
          <w:b/>
          <w:sz w:val="24"/>
          <w:szCs w:val="24"/>
        </w:rPr>
        <w:t xml:space="preserve">  用水计量情况表</w:t>
      </w:r>
    </w:p>
    <w:tbl>
      <w:tblPr>
        <w:tblStyle w:val="27"/>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1"/>
        <w:gridCol w:w="1254"/>
        <w:gridCol w:w="1568"/>
        <w:gridCol w:w="1377"/>
        <w:gridCol w:w="1134"/>
        <w:gridCol w:w="1134"/>
        <w:gridCol w:w="1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21" w:type="dxa"/>
            <w:vMerge w:val="restart"/>
            <w:vAlign w:val="center"/>
          </w:tcPr>
          <w:p>
            <w:pPr>
              <w:spacing w:beforeLines="20"/>
              <w:jc w:val="center"/>
              <w:rPr>
                <w:rFonts w:ascii="Times New Roman" w:hAnsi="Times New Roman" w:eastAsia="宋体"/>
                <w:szCs w:val="21"/>
              </w:rPr>
            </w:pPr>
            <w:r>
              <w:rPr>
                <w:rFonts w:ascii="Times New Roman" w:hAnsi="宋体" w:eastAsia="宋体"/>
                <w:szCs w:val="21"/>
              </w:rPr>
              <w:t>序号</w:t>
            </w:r>
          </w:p>
        </w:tc>
        <w:tc>
          <w:tcPr>
            <w:tcW w:w="1254" w:type="dxa"/>
            <w:vMerge w:val="restart"/>
            <w:vAlign w:val="center"/>
          </w:tcPr>
          <w:p>
            <w:pPr>
              <w:spacing w:beforeLines="20"/>
              <w:jc w:val="center"/>
              <w:rPr>
                <w:rFonts w:ascii="Times New Roman" w:hAnsi="Times New Roman" w:eastAsia="宋体"/>
                <w:szCs w:val="21"/>
              </w:rPr>
            </w:pPr>
            <w:r>
              <w:rPr>
                <w:rFonts w:ascii="Times New Roman" w:hAnsi="宋体" w:eastAsia="宋体"/>
                <w:szCs w:val="21"/>
              </w:rPr>
              <w:t>名称</w:t>
            </w:r>
          </w:p>
        </w:tc>
        <w:tc>
          <w:tcPr>
            <w:tcW w:w="1568" w:type="dxa"/>
            <w:vMerge w:val="restart"/>
            <w:vAlign w:val="center"/>
          </w:tcPr>
          <w:p>
            <w:pPr>
              <w:spacing w:beforeLines="20"/>
              <w:jc w:val="center"/>
              <w:rPr>
                <w:rFonts w:ascii="Times New Roman" w:hAnsi="Times New Roman" w:eastAsia="宋体"/>
                <w:szCs w:val="21"/>
              </w:rPr>
            </w:pPr>
            <w:r>
              <w:rPr>
                <w:rFonts w:ascii="Times New Roman" w:hAnsi="宋体" w:eastAsia="宋体"/>
                <w:szCs w:val="21"/>
              </w:rPr>
              <w:t>已配数</w:t>
            </w:r>
            <w:r>
              <w:rPr>
                <w:rFonts w:ascii="Times New Roman" w:hAnsi="Times New Roman" w:eastAsia="宋体"/>
                <w:szCs w:val="21"/>
              </w:rPr>
              <w:t>(</w:t>
            </w:r>
            <w:r>
              <w:rPr>
                <w:rFonts w:ascii="Times New Roman" w:hAnsi="宋体" w:eastAsia="宋体"/>
                <w:szCs w:val="21"/>
              </w:rPr>
              <w:t>个</w:t>
            </w:r>
            <w:r>
              <w:rPr>
                <w:rFonts w:ascii="Times New Roman" w:hAnsi="Times New Roman" w:eastAsia="宋体"/>
                <w:szCs w:val="21"/>
              </w:rPr>
              <w:t>)</w:t>
            </w:r>
          </w:p>
        </w:tc>
        <w:tc>
          <w:tcPr>
            <w:tcW w:w="1377" w:type="dxa"/>
            <w:vMerge w:val="restart"/>
            <w:vAlign w:val="center"/>
          </w:tcPr>
          <w:p>
            <w:pPr>
              <w:spacing w:beforeLines="20"/>
              <w:jc w:val="center"/>
              <w:rPr>
                <w:rFonts w:ascii="Times New Roman" w:hAnsi="Times New Roman" w:eastAsia="宋体"/>
                <w:szCs w:val="21"/>
              </w:rPr>
            </w:pPr>
            <w:r>
              <w:rPr>
                <w:rFonts w:ascii="Times New Roman" w:hAnsi="宋体" w:eastAsia="宋体"/>
                <w:szCs w:val="21"/>
              </w:rPr>
              <w:t>完好数</w:t>
            </w:r>
            <w:r>
              <w:rPr>
                <w:rFonts w:ascii="Times New Roman" w:hAnsi="Times New Roman" w:eastAsia="宋体"/>
                <w:szCs w:val="21"/>
              </w:rPr>
              <w:t>(</w:t>
            </w:r>
            <w:r>
              <w:rPr>
                <w:rFonts w:ascii="Times New Roman" w:hAnsi="宋体" w:eastAsia="宋体"/>
                <w:szCs w:val="21"/>
              </w:rPr>
              <w:t>个</w:t>
            </w:r>
            <w:r>
              <w:rPr>
                <w:rFonts w:ascii="Times New Roman" w:hAnsi="Times New Roman" w:eastAsia="宋体"/>
                <w:szCs w:val="21"/>
              </w:rPr>
              <w:t>)</w:t>
            </w:r>
          </w:p>
        </w:tc>
        <w:tc>
          <w:tcPr>
            <w:tcW w:w="3402" w:type="dxa"/>
            <w:gridSpan w:val="3"/>
            <w:vAlign w:val="center"/>
          </w:tcPr>
          <w:p>
            <w:pPr>
              <w:spacing w:beforeLines="20"/>
              <w:ind w:firstLine="420"/>
              <w:jc w:val="center"/>
              <w:rPr>
                <w:rFonts w:ascii="Times New Roman" w:hAnsi="Times New Roman" w:eastAsia="宋体"/>
                <w:szCs w:val="21"/>
              </w:rPr>
            </w:pPr>
            <w:r>
              <w:rPr>
                <w:rFonts w:ascii="Times New Roman" w:hAnsi="宋体" w:eastAsia="宋体"/>
                <w:szCs w:val="21"/>
              </w:rPr>
              <w:t>配备率</w:t>
            </w:r>
            <w:r>
              <w:rPr>
                <w:rFonts w:ascii="Times New Roman" w:hAnsi="Times New Roman" w:eastAsia="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21" w:type="dxa"/>
            <w:vMerge w:val="continue"/>
            <w:vAlign w:val="center"/>
          </w:tcPr>
          <w:p>
            <w:pPr>
              <w:spacing w:beforeLines="20"/>
              <w:ind w:firstLine="420"/>
              <w:jc w:val="center"/>
              <w:rPr>
                <w:rFonts w:ascii="Times New Roman" w:hAnsi="Times New Roman" w:eastAsia="宋体"/>
                <w:szCs w:val="21"/>
              </w:rPr>
            </w:pPr>
          </w:p>
        </w:tc>
        <w:tc>
          <w:tcPr>
            <w:tcW w:w="1254" w:type="dxa"/>
            <w:vMerge w:val="continue"/>
            <w:vAlign w:val="center"/>
          </w:tcPr>
          <w:p>
            <w:pPr>
              <w:spacing w:beforeLines="20"/>
              <w:ind w:firstLine="420"/>
              <w:jc w:val="center"/>
              <w:rPr>
                <w:rFonts w:ascii="Times New Roman" w:hAnsi="Times New Roman" w:eastAsia="宋体"/>
                <w:szCs w:val="21"/>
              </w:rPr>
            </w:pPr>
          </w:p>
        </w:tc>
        <w:tc>
          <w:tcPr>
            <w:tcW w:w="1568" w:type="dxa"/>
            <w:vMerge w:val="continue"/>
            <w:vAlign w:val="center"/>
          </w:tcPr>
          <w:p>
            <w:pPr>
              <w:spacing w:beforeLines="20"/>
              <w:ind w:firstLine="420"/>
              <w:jc w:val="center"/>
              <w:rPr>
                <w:rFonts w:ascii="Times New Roman" w:hAnsi="Times New Roman" w:eastAsia="宋体"/>
                <w:szCs w:val="21"/>
              </w:rPr>
            </w:pPr>
          </w:p>
        </w:tc>
        <w:tc>
          <w:tcPr>
            <w:tcW w:w="1377" w:type="dxa"/>
            <w:vMerge w:val="continue"/>
            <w:vAlign w:val="center"/>
          </w:tcPr>
          <w:p>
            <w:pPr>
              <w:spacing w:beforeLines="20"/>
              <w:ind w:firstLine="420"/>
              <w:jc w:val="center"/>
              <w:rPr>
                <w:rFonts w:ascii="Times New Roman" w:hAnsi="Times New Roman" w:eastAsia="宋体"/>
                <w:szCs w:val="21"/>
              </w:rPr>
            </w:pPr>
          </w:p>
        </w:tc>
        <w:tc>
          <w:tcPr>
            <w:tcW w:w="1134" w:type="dxa"/>
            <w:vAlign w:val="center"/>
          </w:tcPr>
          <w:p>
            <w:pPr>
              <w:spacing w:beforeLines="20"/>
              <w:jc w:val="center"/>
              <w:rPr>
                <w:rFonts w:ascii="Times New Roman" w:hAnsi="Times New Roman" w:eastAsia="宋体"/>
                <w:szCs w:val="21"/>
              </w:rPr>
            </w:pPr>
            <w:r>
              <w:rPr>
                <w:rFonts w:ascii="Times New Roman" w:hAnsi="宋体" w:eastAsia="宋体"/>
                <w:szCs w:val="21"/>
              </w:rPr>
              <w:t>一级</w:t>
            </w:r>
          </w:p>
        </w:tc>
        <w:tc>
          <w:tcPr>
            <w:tcW w:w="1134" w:type="dxa"/>
            <w:vAlign w:val="center"/>
          </w:tcPr>
          <w:p>
            <w:pPr>
              <w:spacing w:beforeLines="20"/>
              <w:jc w:val="center"/>
              <w:rPr>
                <w:rFonts w:ascii="Times New Roman" w:hAnsi="Times New Roman" w:eastAsia="宋体"/>
                <w:szCs w:val="21"/>
              </w:rPr>
            </w:pPr>
            <w:r>
              <w:rPr>
                <w:rFonts w:ascii="Times New Roman" w:hAnsi="宋体" w:eastAsia="宋体"/>
                <w:szCs w:val="21"/>
              </w:rPr>
              <w:t>二级</w:t>
            </w:r>
          </w:p>
        </w:tc>
        <w:tc>
          <w:tcPr>
            <w:tcW w:w="1134" w:type="dxa"/>
            <w:vAlign w:val="center"/>
          </w:tcPr>
          <w:p>
            <w:pPr>
              <w:spacing w:beforeLines="20"/>
              <w:jc w:val="center"/>
              <w:rPr>
                <w:rFonts w:ascii="Times New Roman" w:hAnsi="Times New Roman" w:eastAsia="宋体"/>
                <w:szCs w:val="21"/>
              </w:rPr>
            </w:pPr>
            <w:r>
              <w:rPr>
                <w:rFonts w:ascii="Times New Roman" w:hAnsi="宋体" w:eastAsia="宋体"/>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Align w:val="center"/>
          </w:tcPr>
          <w:p>
            <w:pPr>
              <w:spacing w:beforeLines="20"/>
              <w:jc w:val="center"/>
              <w:rPr>
                <w:rFonts w:ascii="Times New Roman" w:hAnsi="Times New Roman" w:eastAsia="宋体"/>
                <w:szCs w:val="21"/>
              </w:rPr>
            </w:pPr>
            <w:r>
              <w:rPr>
                <w:rFonts w:hint="eastAsia" w:ascii="Times New Roman" w:hAnsi="Times New Roman" w:eastAsia="宋体"/>
                <w:szCs w:val="21"/>
              </w:rPr>
              <w:t>1</w:t>
            </w:r>
          </w:p>
        </w:tc>
        <w:tc>
          <w:tcPr>
            <w:tcW w:w="1254" w:type="dxa"/>
            <w:vAlign w:val="center"/>
          </w:tcPr>
          <w:p>
            <w:pPr>
              <w:spacing w:beforeLines="20"/>
              <w:jc w:val="center"/>
              <w:rPr>
                <w:rFonts w:ascii="Times New Roman" w:hAnsi="Times New Roman" w:eastAsia="宋体"/>
                <w:szCs w:val="21"/>
              </w:rPr>
            </w:pPr>
            <w:r>
              <w:rPr>
                <w:rFonts w:ascii="Times New Roman" w:hAnsi="宋体" w:eastAsia="宋体"/>
                <w:szCs w:val="21"/>
              </w:rPr>
              <w:t>水表</w:t>
            </w:r>
          </w:p>
        </w:tc>
        <w:tc>
          <w:tcPr>
            <w:tcW w:w="1568" w:type="dxa"/>
            <w:vAlign w:val="center"/>
          </w:tcPr>
          <w:p>
            <w:pPr>
              <w:spacing w:beforeLines="20"/>
              <w:jc w:val="center"/>
              <w:rPr>
                <w:rFonts w:ascii="Times New Roman" w:hAnsi="Times New Roman" w:eastAsia="宋体"/>
                <w:bCs/>
                <w:szCs w:val="21"/>
              </w:rPr>
            </w:pPr>
            <w:r>
              <w:rPr>
                <w:rFonts w:hint="eastAsia" w:ascii="Times New Roman" w:hAnsi="Times New Roman" w:eastAsia="宋体"/>
                <w:bCs/>
                <w:szCs w:val="21"/>
              </w:rPr>
              <w:t>2</w:t>
            </w:r>
          </w:p>
        </w:tc>
        <w:tc>
          <w:tcPr>
            <w:tcW w:w="1377" w:type="dxa"/>
            <w:vAlign w:val="center"/>
          </w:tcPr>
          <w:p>
            <w:pPr>
              <w:spacing w:beforeLines="20"/>
              <w:jc w:val="center"/>
              <w:rPr>
                <w:rFonts w:ascii="Times New Roman" w:hAnsi="Times New Roman" w:eastAsia="宋体"/>
                <w:bCs/>
                <w:szCs w:val="21"/>
              </w:rPr>
            </w:pPr>
            <w:r>
              <w:rPr>
                <w:rFonts w:hint="eastAsia" w:ascii="Times New Roman" w:hAnsi="Times New Roman" w:eastAsia="宋体"/>
                <w:bCs/>
                <w:szCs w:val="21"/>
              </w:rPr>
              <w:t>2</w:t>
            </w:r>
          </w:p>
        </w:tc>
        <w:tc>
          <w:tcPr>
            <w:tcW w:w="1134" w:type="dxa"/>
            <w:vAlign w:val="center"/>
          </w:tcPr>
          <w:p>
            <w:pPr>
              <w:spacing w:beforeLines="20"/>
              <w:jc w:val="center"/>
              <w:rPr>
                <w:rFonts w:ascii="Times New Roman" w:hAnsi="Times New Roman" w:eastAsia="宋体"/>
                <w:bCs/>
                <w:szCs w:val="21"/>
              </w:rPr>
            </w:pPr>
            <w:r>
              <w:rPr>
                <w:rFonts w:ascii="Times New Roman" w:hAnsi="Times New Roman" w:eastAsia="宋体"/>
                <w:bCs/>
                <w:szCs w:val="21"/>
              </w:rPr>
              <w:t>100</w:t>
            </w:r>
            <w:r>
              <w:rPr>
                <w:rFonts w:hint="eastAsia" w:ascii="Times New Roman" w:hAnsi="Times New Roman" w:eastAsia="宋体"/>
                <w:bCs/>
                <w:szCs w:val="21"/>
              </w:rPr>
              <w:t>%</w:t>
            </w:r>
          </w:p>
        </w:tc>
        <w:tc>
          <w:tcPr>
            <w:tcW w:w="1134" w:type="dxa"/>
            <w:vAlign w:val="center"/>
          </w:tcPr>
          <w:p>
            <w:pPr>
              <w:spacing w:beforeLines="20"/>
              <w:jc w:val="center"/>
              <w:rPr>
                <w:rFonts w:ascii="Times New Roman" w:hAnsi="Times New Roman" w:eastAsia="宋体"/>
                <w:bCs/>
                <w:szCs w:val="21"/>
              </w:rPr>
            </w:pPr>
            <w:r>
              <w:rPr>
                <w:rFonts w:hint="eastAsia" w:ascii="Times New Roman" w:hAnsi="Times New Roman" w:eastAsia="宋体"/>
                <w:bCs/>
                <w:szCs w:val="21"/>
              </w:rPr>
              <w:t>0</w:t>
            </w:r>
          </w:p>
        </w:tc>
        <w:tc>
          <w:tcPr>
            <w:tcW w:w="1134" w:type="dxa"/>
            <w:vAlign w:val="center"/>
          </w:tcPr>
          <w:p>
            <w:pPr>
              <w:spacing w:beforeLines="20"/>
              <w:jc w:val="center"/>
              <w:rPr>
                <w:rFonts w:ascii="Times New Roman" w:hAnsi="Times New Roman" w:eastAsia="宋体"/>
                <w:bCs/>
                <w:szCs w:val="21"/>
              </w:rPr>
            </w:pPr>
            <w:r>
              <w:rPr>
                <w:rFonts w:ascii="Times New Roman" w:hAnsi="Times New Roman" w:eastAsia="宋体"/>
                <w:bCs/>
                <w:szCs w:val="21"/>
              </w:rPr>
              <w:t>0</w:t>
            </w:r>
          </w:p>
        </w:tc>
      </w:tr>
    </w:tbl>
    <w:p>
      <w:pPr>
        <w:spacing w:beforeLines="50" w:line="360" w:lineRule="auto"/>
        <w:ind w:firstLine="480" w:firstLineChars="200"/>
        <w:rPr>
          <w:rFonts w:ascii="Times New Roman" w:hAnsi="Times New Roman" w:eastAsia="宋体"/>
          <w:sz w:val="24"/>
          <w:szCs w:val="24"/>
        </w:rPr>
      </w:pPr>
      <w:r>
        <w:rPr>
          <w:rFonts w:ascii="Times New Roman" w:hAnsi="Times New Roman" w:eastAsia="宋体"/>
          <w:sz w:val="24"/>
          <w:szCs w:val="24"/>
        </w:rPr>
        <w:t>目前企业安装了</w:t>
      </w:r>
      <w:r>
        <w:rPr>
          <w:rFonts w:hint="eastAsia" w:ascii="Times New Roman" w:hAnsi="Times New Roman" w:eastAsia="宋体"/>
          <w:sz w:val="24"/>
          <w:szCs w:val="24"/>
        </w:rPr>
        <w:t>两</w:t>
      </w:r>
      <w:r>
        <w:rPr>
          <w:rFonts w:ascii="Times New Roman" w:hAnsi="Times New Roman" w:eastAsia="宋体"/>
          <w:sz w:val="24"/>
          <w:szCs w:val="24"/>
        </w:rPr>
        <w:t>个水计量总表，无法分工序核算用水量。由于企业年用水量少，审核小组认为，仅设置</w:t>
      </w:r>
      <w:r>
        <w:rPr>
          <w:rFonts w:hint="eastAsia" w:ascii="Times New Roman" w:hAnsi="Times New Roman" w:eastAsia="宋体"/>
          <w:sz w:val="24"/>
          <w:szCs w:val="24"/>
        </w:rPr>
        <w:t>两</w:t>
      </w:r>
      <w:r>
        <w:rPr>
          <w:rFonts w:ascii="Times New Roman" w:hAnsi="Times New Roman" w:eastAsia="宋体"/>
          <w:sz w:val="24"/>
          <w:szCs w:val="24"/>
        </w:rPr>
        <w:t>个水计量总表基本可满足计量要求。根据企业提供的统计资料，近年来企业水资源总消耗情况见表 3-</w:t>
      </w:r>
      <w:r>
        <w:rPr>
          <w:rFonts w:hint="eastAsia" w:ascii="Times New Roman" w:hAnsi="Times New Roman" w:eastAsia="宋体"/>
          <w:sz w:val="24"/>
          <w:szCs w:val="24"/>
          <w:lang w:val="en-US" w:eastAsia="zh-CN"/>
        </w:rPr>
        <w:t>10</w:t>
      </w:r>
      <w:r>
        <w:rPr>
          <w:rFonts w:ascii="Times New Roman" w:hAnsi="Times New Roman" w:eastAsia="宋体"/>
          <w:sz w:val="24"/>
          <w:szCs w:val="24"/>
        </w:rPr>
        <w:t>。</w:t>
      </w:r>
    </w:p>
    <w:p>
      <w:pPr>
        <w:pStyle w:val="49"/>
        <w:snapToGrid w:val="0"/>
        <w:ind w:firstLine="200"/>
        <w:rPr>
          <w:sz w:val="24"/>
        </w:rPr>
      </w:pPr>
      <w:r>
        <w:rPr>
          <w:rFonts w:hint="eastAsia"/>
          <w:sz w:val="24"/>
        </w:rPr>
        <w:t>表3-1</w:t>
      </w:r>
      <w:r>
        <w:rPr>
          <w:rFonts w:hint="eastAsia"/>
          <w:sz w:val="24"/>
          <w:lang w:val="en-US" w:eastAsia="zh-CN"/>
        </w:rPr>
        <w:t>0</w:t>
      </w:r>
      <w:r>
        <w:rPr>
          <w:rFonts w:hint="eastAsia"/>
          <w:sz w:val="24"/>
        </w:rPr>
        <w:t xml:space="preserve">  近三年企业水资源消耗情况表</w:t>
      </w:r>
    </w:p>
    <w:tbl>
      <w:tblPr>
        <w:tblStyle w:val="27"/>
        <w:tblW w:w="8674"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12"/>
        <w:gridCol w:w="2252"/>
        <w:gridCol w:w="1870"/>
        <w:gridCol w:w="1870"/>
        <w:gridCol w:w="187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39" w:hRule="atLeast"/>
        </w:trPr>
        <w:tc>
          <w:tcPr>
            <w:tcW w:w="812" w:type="dxa"/>
            <w:vAlign w:val="center"/>
          </w:tcPr>
          <w:p>
            <w:pPr>
              <w:pStyle w:val="42"/>
              <w:adjustRightInd w:val="0"/>
              <w:snapToGrid w:val="0"/>
              <w:spacing w:beforeLines="20" w:line="240" w:lineRule="auto"/>
              <w:rPr>
                <w:rFonts w:hAnsi="Times New Roman" w:eastAsia="宋体"/>
                <w:sz w:val="21"/>
              </w:rPr>
            </w:pPr>
            <w:r>
              <w:rPr>
                <w:rFonts w:hAnsi="Times New Roman" w:eastAsia="宋体"/>
                <w:sz w:val="21"/>
              </w:rPr>
              <w:t>序号</w:t>
            </w:r>
          </w:p>
        </w:tc>
        <w:tc>
          <w:tcPr>
            <w:tcW w:w="2252" w:type="dxa"/>
            <w:vAlign w:val="center"/>
          </w:tcPr>
          <w:p>
            <w:pPr>
              <w:pStyle w:val="42"/>
              <w:adjustRightInd w:val="0"/>
              <w:snapToGrid w:val="0"/>
              <w:spacing w:beforeLines="20" w:line="240" w:lineRule="auto"/>
              <w:rPr>
                <w:rFonts w:hAnsi="Times New Roman" w:eastAsia="宋体"/>
                <w:sz w:val="21"/>
              </w:rPr>
            </w:pPr>
            <w:r>
              <w:rPr>
                <w:rFonts w:hAnsi="Times New Roman" w:eastAsia="宋体"/>
                <w:sz w:val="21"/>
              </w:rPr>
              <w:t>项目</w:t>
            </w:r>
          </w:p>
        </w:tc>
        <w:tc>
          <w:tcPr>
            <w:tcW w:w="1870" w:type="dxa"/>
            <w:vAlign w:val="center"/>
          </w:tcPr>
          <w:p>
            <w:pPr>
              <w:pStyle w:val="42"/>
              <w:adjustRightInd w:val="0"/>
              <w:snapToGrid w:val="0"/>
              <w:spacing w:beforeLines="20"/>
              <w:rPr>
                <w:rFonts w:hAnsi="Times New Roman" w:eastAsia="宋体"/>
                <w:sz w:val="21"/>
              </w:rPr>
            </w:pPr>
            <w:r>
              <w:rPr>
                <w:rFonts w:hint="eastAsia" w:hAnsi="Times New Roman" w:eastAsia="宋体"/>
                <w:sz w:val="21"/>
              </w:rPr>
              <w:t>20</w:t>
            </w:r>
            <w:r>
              <w:rPr>
                <w:rFonts w:hint="eastAsia" w:hAnsi="Times New Roman" w:eastAsia="宋体"/>
                <w:sz w:val="21"/>
                <w:lang w:val="en-US" w:eastAsia="zh-CN"/>
              </w:rPr>
              <w:t>21</w:t>
            </w:r>
            <w:r>
              <w:rPr>
                <w:rFonts w:hint="eastAsia" w:hAnsi="Times New Roman" w:eastAsia="宋体"/>
                <w:sz w:val="21"/>
              </w:rPr>
              <w:t>年</w:t>
            </w:r>
          </w:p>
        </w:tc>
        <w:tc>
          <w:tcPr>
            <w:tcW w:w="1870" w:type="dxa"/>
            <w:vAlign w:val="center"/>
          </w:tcPr>
          <w:p>
            <w:pPr>
              <w:pStyle w:val="42"/>
              <w:adjustRightInd w:val="0"/>
              <w:snapToGrid w:val="0"/>
              <w:spacing w:beforeLines="20"/>
              <w:rPr>
                <w:rFonts w:hAnsi="Times New Roman" w:eastAsia="宋体"/>
                <w:sz w:val="21"/>
              </w:rPr>
            </w:pPr>
            <w:r>
              <w:rPr>
                <w:rFonts w:hint="eastAsia" w:hAnsi="Times New Roman" w:eastAsia="宋体"/>
                <w:sz w:val="21"/>
              </w:rPr>
              <w:t>20</w:t>
            </w:r>
            <w:r>
              <w:rPr>
                <w:rFonts w:hint="eastAsia" w:hAnsi="Times New Roman" w:eastAsia="宋体"/>
                <w:sz w:val="21"/>
                <w:lang w:val="en-US" w:eastAsia="zh-CN"/>
              </w:rPr>
              <w:t>22</w:t>
            </w:r>
            <w:r>
              <w:rPr>
                <w:rFonts w:hint="eastAsia" w:hAnsi="Times New Roman" w:eastAsia="宋体"/>
                <w:sz w:val="21"/>
              </w:rPr>
              <w:t>年</w:t>
            </w:r>
          </w:p>
        </w:tc>
        <w:tc>
          <w:tcPr>
            <w:tcW w:w="1870" w:type="dxa"/>
            <w:vAlign w:val="center"/>
          </w:tcPr>
          <w:p>
            <w:pPr>
              <w:pStyle w:val="42"/>
              <w:adjustRightInd w:val="0"/>
              <w:snapToGrid w:val="0"/>
              <w:spacing w:beforeLines="20"/>
              <w:rPr>
                <w:rFonts w:hAnsi="Times New Roman" w:eastAsia="宋体"/>
                <w:sz w:val="21"/>
              </w:rPr>
            </w:pPr>
            <w:r>
              <w:rPr>
                <w:rFonts w:hint="eastAsia" w:hAnsi="Times New Roman" w:eastAsia="宋体"/>
                <w:sz w:val="21"/>
              </w:rPr>
              <w:t>20</w:t>
            </w:r>
            <w:r>
              <w:rPr>
                <w:rFonts w:hint="eastAsia" w:hAnsi="Times New Roman" w:eastAsia="宋体"/>
                <w:sz w:val="21"/>
                <w:lang w:val="en-US" w:eastAsia="zh-CN"/>
              </w:rPr>
              <w:t>23</w:t>
            </w:r>
            <w:r>
              <w:rPr>
                <w:rFonts w:hint="eastAsia" w:hAnsi="Times New Roman" w:eastAsia="宋体"/>
                <w:sz w:val="21"/>
              </w:rPr>
              <w:t>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812" w:type="dxa"/>
            <w:vAlign w:val="center"/>
          </w:tcPr>
          <w:p>
            <w:pPr>
              <w:pStyle w:val="42"/>
              <w:adjustRightInd w:val="0"/>
              <w:snapToGrid w:val="0"/>
              <w:spacing w:beforeLines="20" w:line="240" w:lineRule="auto"/>
              <w:rPr>
                <w:rFonts w:hint="eastAsia" w:hAnsi="Times New Roman" w:eastAsia="宋体"/>
                <w:sz w:val="21"/>
                <w:lang w:val="en-US" w:eastAsia="zh-CN"/>
              </w:rPr>
            </w:pPr>
            <w:r>
              <w:rPr>
                <w:rFonts w:hint="eastAsia" w:hAnsi="Times New Roman" w:eastAsia="宋体"/>
                <w:sz w:val="21"/>
                <w:lang w:val="en-US" w:eastAsia="zh-CN"/>
              </w:rPr>
              <w:t>1</w:t>
            </w:r>
          </w:p>
        </w:tc>
        <w:tc>
          <w:tcPr>
            <w:tcW w:w="2252" w:type="dxa"/>
            <w:vAlign w:val="center"/>
          </w:tcPr>
          <w:p>
            <w:pPr>
              <w:pStyle w:val="42"/>
              <w:adjustRightInd w:val="0"/>
              <w:snapToGrid w:val="0"/>
              <w:spacing w:beforeLines="20" w:line="240" w:lineRule="auto"/>
              <w:rPr>
                <w:rFonts w:ascii="宋体" w:eastAsia="宋体"/>
                <w:sz w:val="21"/>
              </w:rPr>
            </w:pPr>
            <w:r>
              <w:rPr>
                <w:rFonts w:hint="eastAsia" w:ascii="宋体" w:eastAsia="宋体"/>
                <w:sz w:val="21"/>
              </w:rPr>
              <w:t>总用水量（m</w:t>
            </w:r>
            <w:r>
              <w:rPr>
                <w:rFonts w:hint="eastAsia" w:ascii="宋体" w:eastAsia="宋体"/>
                <w:sz w:val="21"/>
                <w:vertAlign w:val="superscript"/>
              </w:rPr>
              <w:t>3</w:t>
            </w:r>
            <w:r>
              <w:rPr>
                <w:rFonts w:hint="eastAsia" w:ascii="宋体" w:eastAsia="宋体"/>
                <w:sz w:val="21"/>
              </w:rPr>
              <w:t>）</w:t>
            </w:r>
          </w:p>
        </w:tc>
        <w:tc>
          <w:tcPr>
            <w:tcW w:w="1870" w:type="dxa"/>
            <w:vAlign w:val="center"/>
          </w:tcPr>
          <w:p>
            <w:pPr>
              <w:numPr>
                <w:ilvl w:val="0"/>
                <w:numId w:val="0"/>
              </w:numPr>
              <w:spacing w:line="360" w:lineRule="auto"/>
              <w:ind w:left="0" w:leftChars="0"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b w:val="0"/>
                <w:bCs w:val="0"/>
                <w:sz w:val="22"/>
                <w:szCs w:val="28"/>
                <w:vertAlign w:val="baseline"/>
                <w:lang w:val="en-US" w:eastAsia="zh-CN"/>
              </w:rPr>
              <w:t>1356</w:t>
            </w:r>
          </w:p>
        </w:tc>
        <w:tc>
          <w:tcPr>
            <w:tcW w:w="1870" w:type="dxa"/>
            <w:vAlign w:val="center"/>
          </w:tcPr>
          <w:p>
            <w:pPr>
              <w:numPr>
                <w:ilvl w:val="0"/>
                <w:numId w:val="0"/>
              </w:numPr>
              <w:spacing w:line="360" w:lineRule="auto"/>
              <w:ind w:left="0" w:leftChars="0"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b w:val="0"/>
                <w:bCs w:val="0"/>
                <w:sz w:val="22"/>
                <w:szCs w:val="28"/>
                <w:vertAlign w:val="baseline"/>
                <w:lang w:val="en-US" w:eastAsia="zh-CN"/>
              </w:rPr>
              <w:t>2062</w:t>
            </w:r>
          </w:p>
        </w:tc>
        <w:tc>
          <w:tcPr>
            <w:tcW w:w="1870" w:type="dxa"/>
            <w:vAlign w:val="center"/>
          </w:tcPr>
          <w:p>
            <w:pPr>
              <w:numPr>
                <w:ilvl w:val="0"/>
                <w:numId w:val="0"/>
              </w:numPr>
              <w:spacing w:line="360" w:lineRule="auto"/>
              <w:ind w:left="0" w:leftChars="0"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b w:val="0"/>
                <w:bCs w:val="0"/>
                <w:sz w:val="22"/>
                <w:szCs w:val="28"/>
                <w:vertAlign w:val="baseline"/>
                <w:lang w:val="en-US" w:eastAsia="zh-CN"/>
              </w:rPr>
              <w:t>2861</w:t>
            </w:r>
          </w:p>
        </w:tc>
      </w:tr>
    </w:tbl>
    <w:p>
      <w:pPr>
        <w:spacing w:beforeLines="50" w:line="360" w:lineRule="auto"/>
        <w:ind w:firstLine="480" w:firstLineChars="200"/>
        <w:rPr>
          <w:rFonts w:ascii="Times New Roman" w:hAnsi="Times New Roman" w:eastAsia="宋体"/>
          <w:sz w:val="24"/>
          <w:szCs w:val="24"/>
        </w:rPr>
      </w:pPr>
      <w:bookmarkStart w:id="78" w:name="_Toc525138240"/>
      <w:bookmarkStart w:id="79" w:name="_Toc11411"/>
      <w:bookmarkStart w:id="80" w:name="_Toc525138384"/>
      <w:r>
        <w:rPr>
          <w:rFonts w:ascii="Times New Roman" w:hAnsi="Times New Roman" w:eastAsia="宋体"/>
          <w:sz w:val="24"/>
          <w:szCs w:val="24"/>
        </w:rPr>
        <w:t>根据 20</w:t>
      </w:r>
      <w:r>
        <w:rPr>
          <w:rFonts w:hint="eastAsia" w:ascii="Times New Roman" w:hAnsi="Times New Roman" w:eastAsia="宋体"/>
          <w:sz w:val="24"/>
          <w:szCs w:val="24"/>
          <w:lang w:val="en-US" w:eastAsia="zh-CN"/>
        </w:rPr>
        <w:t>23</w:t>
      </w:r>
      <w:r>
        <w:rPr>
          <w:rFonts w:ascii="Times New Roman" w:hAnsi="Times New Roman" w:eastAsia="宋体"/>
          <w:sz w:val="24"/>
          <w:szCs w:val="24"/>
        </w:rPr>
        <w:t>年企业用水情况，</w:t>
      </w:r>
      <w:r>
        <w:rPr>
          <w:rFonts w:hint="eastAsia" w:ascii="Times New Roman" w:hAnsi="Times New Roman" w:eastAsia="宋体"/>
          <w:sz w:val="24"/>
          <w:szCs w:val="24"/>
        </w:rPr>
        <w:t>员工生活用水方面存在一定的节水空间，应加强清洁生产宣传贯彻，提高员工节水意识，以减少水资源的浪费。</w:t>
      </w:r>
    </w:p>
    <w:p>
      <w:pPr>
        <w:pStyle w:val="4"/>
        <w:widowControl w:val="0"/>
        <w:spacing w:beforeLines="50" w:after="0" w:line="360" w:lineRule="auto"/>
        <w:rPr>
          <w:rFonts w:ascii="Times New Roman" w:hAnsi="Times New Roman" w:eastAsia="宋体" w:cs="Courier New"/>
          <w:sz w:val="28"/>
          <w:szCs w:val="30"/>
        </w:rPr>
      </w:pPr>
      <w:bookmarkStart w:id="81" w:name="_Toc16468"/>
      <w:r>
        <w:rPr>
          <w:rFonts w:hint="eastAsia" w:ascii="Times New Roman" w:hAnsi="Times New Roman" w:eastAsia="宋体" w:cs="Courier New"/>
          <w:sz w:val="28"/>
          <w:szCs w:val="30"/>
        </w:rPr>
        <w:t>3.1.4生产设备及运行情况</w:t>
      </w:r>
      <w:bookmarkEnd w:id="78"/>
      <w:bookmarkEnd w:id="79"/>
      <w:bookmarkEnd w:id="80"/>
      <w:bookmarkEnd w:id="81"/>
      <w:r>
        <w:rPr>
          <w:rFonts w:hint="eastAsia" w:ascii="Times New Roman" w:hAnsi="Times New Roman" w:eastAsia="宋体" w:cs="Courier New"/>
          <w:sz w:val="28"/>
          <w:szCs w:val="30"/>
        </w:rPr>
        <w:t xml:space="preserve"> </w:t>
      </w:r>
    </w:p>
    <w:p>
      <w:pPr>
        <w:spacing w:line="360" w:lineRule="auto"/>
        <w:ind w:firstLine="480"/>
        <w:rPr>
          <w:rFonts w:hint="eastAsia" w:ascii="Times New Roman" w:hAnsi="Times New Roman" w:eastAsia="宋体"/>
          <w:sz w:val="24"/>
          <w:szCs w:val="24"/>
          <w:lang w:val="en-US" w:eastAsia="zh-CN"/>
        </w:rPr>
      </w:pPr>
      <w:r>
        <w:rPr>
          <w:rFonts w:ascii="Times New Roman" w:hAnsi="Times New Roman" w:eastAsia="宋体"/>
          <w:sz w:val="24"/>
          <w:szCs w:val="24"/>
        </w:rPr>
        <w:t>企业主要生产设备名录见表</w:t>
      </w:r>
      <w:r>
        <w:rPr>
          <w:rFonts w:hint="eastAsia" w:ascii="Times New Roman" w:hAnsi="Times New Roman" w:eastAsia="宋体"/>
          <w:sz w:val="24"/>
          <w:szCs w:val="24"/>
        </w:rPr>
        <w:t>3</w:t>
      </w:r>
      <w:r>
        <w:rPr>
          <w:rFonts w:ascii="Times New Roman" w:hAnsi="Times New Roman" w:eastAsia="宋体"/>
          <w:sz w:val="24"/>
          <w:szCs w:val="24"/>
        </w:rPr>
        <w:t>-</w:t>
      </w:r>
      <w:r>
        <w:rPr>
          <w:rFonts w:hint="eastAsia" w:ascii="Times New Roman" w:hAnsi="Times New Roman" w:eastAsia="宋体"/>
          <w:sz w:val="24"/>
          <w:szCs w:val="24"/>
        </w:rPr>
        <w:t>1</w:t>
      </w:r>
      <w:r>
        <w:rPr>
          <w:rFonts w:hint="eastAsia" w:ascii="Times New Roman" w:hAnsi="Times New Roman" w:eastAsia="宋体"/>
          <w:sz w:val="24"/>
          <w:szCs w:val="24"/>
          <w:lang w:val="en-US" w:eastAsia="zh-CN"/>
        </w:rPr>
        <w:t>1</w:t>
      </w:r>
    </w:p>
    <w:p>
      <w:pPr>
        <w:spacing w:line="360" w:lineRule="auto"/>
        <w:ind w:firstLine="482"/>
        <w:jc w:val="center"/>
        <w:rPr>
          <w:rFonts w:ascii="Times New Roman" w:hAnsi="Times New Roman" w:eastAsia="宋体"/>
          <w:b/>
          <w:sz w:val="24"/>
          <w:szCs w:val="24"/>
        </w:rPr>
      </w:pPr>
      <w:r>
        <w:rPr>
          <w:rFonts w:ascii="Times New Roman" w:hAnsi="Times New Roman" w:eastAsia="宋体"/>
          <w:b/>
          <w:sz w:val="24"/>
          <w:szCs w:val="24"/>
        </w:rPr>
        <w:t>表</w:t>
      </w:r>
      <w:r>
        <w:rPr>
          <w:rFonts w:hint="eastAsia" w:ascii="Times New Roman" w:hAnsi="Times New Roman" w:eastAsia="宋体"/>
          <w:b/>
          <w:sz w:val="24"/>
          <w:szCs w:val="24"/>
        </w:rPr>
        <w:t>3</w:t>
      </w:r>
      <w:r>
        <w:rPr>
          <w:rFonts w:ascii="Times New Roman" w:hAnsi="Times New Roman" w:eastAsia="宋体"/>
          <w:b/>
          <w:sz w:val="24"/>
          <w:szCs w:val="24"/>
        </w:rPr>
        <w:t>-</w:t>
      </w:r>
      <w:r>
        <w:rPr>
          <w:rFonts w:hint="eastAsia" w:ascii="Times New Roman" w:hAnsi="Times New Roman" w:eastAsia="宋体"/>
          <w:b/>
          <w:sz w:val="24"/>
          <w:szCs w:val="24"/>
        </w:rPr>
        <w:t>1</w:t>
      </w:r>
      <w:r>
        <w:rPr>
          <w:rFonts w:hint="eastAsia" w:ascii="Times New Roman" w:hAnsi="Times New Roman" w:eastAsia="宋体"/>
          <w:b/>
          <w:sz w:val="24"/>
          <w:szCs w:val="24"/>
          <w:lang w:val="en-US" w:eastAsia="zh-CN"/>
        </w:rPr>
        <w:t>1</w:t>
      </w:r>
      <w:r>
        <w:rPr>
          <w:rFonts w:ascii="Times New Roman" w:hAnsi="Times New Roman" w:eastAsia="宋体"/>
          <w:b/>
          <w:sz w:val="24"/>
          <w:szCs w:val="24"/>
        </w:rPr>
        <w:t xml:space="preserve"> 企业主要设备及运行情况</w:t>
      </w:r>
    </w:p>
    <w:p>
      <w:pPr>
        <w:spacing w:line="360" w:lineRule="auto"/>
        <w:jc w:val="both"/>
        <w:rPr>
          <w:rFonts w:ascii="Times New Roman" w:hAnsi="宋体" w:eastAsia="宋体"/>
          <w:bCs/>
          <w:sz w:val="24"/>
          <w:szCs w:val="24"/>
        </w:rPr>
      </w:pPr>
      <w:r>
        <w:drawing>
          <wp:inline distT="0" distB="0" distL="114300" distR="114300">
            <wp:extent cx="5268595" cy="6888480"/>
            <wp:effectExtent l="0" t="0" r="8255" b="762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8"/>
                    <a:stretch>
                      <a:fillRect/>
                    </a:stretch>
                  </pic:blipFill>
                  <pic:spPr>
                    <a:xfrm>
                      <a:off x="0" y="0"/>
                      <a:ext cx="5268595" cy="6888480"/>
                    </a:xfrm>
                    <a:prstGeom prst="rect">
                      <a:avLst/>
                    </a:prstGeom>
                    <a:noFill/>
                    <a:ln>
                      <a:noFill/>
                    </a:ln>
                  </pic:spPr>
                </pic:pic>
              </a:graphicData>
            </a:graphic>
          </wp:inline>
        </w:drawing>
      </w:r>
      <w:r>
        <w:rPr>
          <w:rFonts w:hint="eastAsia"/>
          <w:lang w:val="en-US" w:eastAsia="zh-CN"/>
        </w:rPr>
        <w:t xml:space="preserve">    </w:t>
      </w:r>
      <w:r>
        <w:rPr>
          <w:rFonts w:hint="eastAsia" w:ascii="Times New Roman" w:hAnsi="宋体" w:eastAsia="宋体"/>
          <w:bCs/>
          <w:sz w:val="24"/>
          <w:szCs w:val="24"/>
        </w:rPr>
        <w:t>审核小组对照《严重污染（大气）环境的淘汰工艺与设备名录》《淘汰落后生产能力、工艺和产品的目录》《高耗能落后机电设备（产品）淘汰目录（第一、二、三、四批）》《产业结构调整指导目录（2</w:t>
      </w:r>
      <w:r>
        <w:rPr>
          <w:rFonts w:hint="eastAsia" w:ascii="Times New Roman" w:hAnsi="宋体" w:eastAsia="宋体"/>
          <w:bCs/>
          <w:sz w:val="24"/>
          <w:szCs w:val="24"/>
          <w:lang w:val="en-US" w:eastAsia="zh-CN"/>
        </w:rPr>
        <w:t>024</w:t>
      </w:r>
      <w:r>
        <w:rPr>
          <w:rFonts w:hint="eastAsia" w:ascii="Times New Roman" w:hAnsi="宋体" w:eastAsia="宋体"/>
          <w:bCs/>
          <w:sz w:val="24"/>
          <w:szCs w:val="24"/>
        </w:rPr>
        <w:t>本）》的要求，认真审核了企业的生产设备使用情况，从结果来看，企业生产设备无没有国家明令淘汰的设施设备。</w:t>
      </w:r>
    </w:p>
    <w:p>
      <w:pPr>
        <w:spacing w:line="360" w:lineRule="auto"/>
        <w:ind w:firstLine="480" w:firstLineChars="200"/>
        <w:rPr>
          <w:rFonts w:ascii="Times New Roman" w:hAnsi="宋体" w:eastAsia="宋体"/>
          <w:bCs/>
          <w:sz w:val="24"/>
          <w:szCs w:val="24"/>
        </w:rPr>
      </w:pPr>
      <w:r>
        <w:rPr>
          <w:rFonts w:hint="eastAsia" w:ascii="Times New Roman" w:hAnsi="宋体" w:eastAsia="宋体"/>
          <w:bCs/>
          <w:sz w:val="24"/>
          <w:szCs w:val="24"/>
        </w:rPr>
        <w:t>公司主要生产线生产设备中没有国家明令淘汰的设施设备，审核小组从现场考察的情况来看，结果显示公司各生产设备设施运转情况良好，能够满足正常的生产要求，部分设备具有节能性能。</w:t>
      </w:r>
    </w:p>
    <w:p>
      <w:pPr>
        <w:pStyle w:val="3"/>
        <w:spacing w:beforeLines="50" w:afterLines="50" w:line="360" w:lineRule="auto"/>
        <w:rPr>
          <w:rFonts w:ascii="Times New Roman" w:hAnsi="Times New Roman"/>
          <w:sz w:val="30"/>
          <w:szCs w:val="30"/>
        </w:rPr>
      </w:pPr>
      <w:bookmarkStart w:id="82" w:name="_Toc525138241"/>
      <w:bookmarkStart w:id="83" w:name="_Toc525138385"/>
      <w:bookmarkStart w:id="84" w:name="_Toc24232"/>
      <w:bookmarkStart w:id="85" w:name="_Toc499903463"/>
      <w:r>
        <w:rPr>
          <w:rFonts w:hint="eastAsia" w:ascii="Times New Roman" w:hAnsi="Times New Roman"/>
          <w:sz w:val="30"/>
          <w:szCs w:val="30"/>
        </w:rPr>
        <w:t>3.2企业环境保护状况</w:t>
      </w:r>
      <w:bookmarkEnd w:id="82"/>
      <w:bookmarkEnd w:id="83"/>
      <w:bookmarkEnd w:id="84"/>
      <w:bookmarkEnd w:id="85"/>
    </w:p>
    <w:p>
      <w:pPr>
        <w:pStyle w:val="4"/>
        <w:widowControl w:val="0"/>
        <w:spacing w:beforeLines="50" w:after="0" w:line="360" w:lineRule="auto"/>
        <w:rPr>
          <w:rFonts w:ascii="Times New Roman" w:hAnsi="Times New Roman" w:eastAsia="宋体" w:cs="Courier New"/>
          <w:sz w:val="28"/>
          <w:szCs w:val="30"/>
        </w:rPr>
      </w:pPr>
      <w:bookmarkStart w:id="86" w:name="_Toc525138242"/>
      <w:bookmarkStart w:id="87" w:name="_Toc16581"/>
      <w:bookmarkStart w:id="88" w:name="_Toc462057813"/>
      <w:bookmarkStart w:id="89" w:name="_Toc499903464"/>
      <w:bookmarkStart w:id="90" w:name="_Toc525138386"/>
      <w:r>
        <w:rPr>
          <w:rFonts w:hint="eastAsia" w:ascii="Times New Roman" w:hAnsi="Times New Roman" w:eastAsia="宋体" w:cs="Courier New"/>
          <w:sz w:val="28"/>
          <w:szCs w:val="30"/>
        </w:rPr>
        <w:t>3.2.1环境管理情况</w:t>
      </w:r>
      <w:bookmarkEnd w:id="86"/>
      <w:bookmarkEnd w:id="87"/>
      <w:bookmarkEnd w:id="88"/>
      <w:bookmarkEnd w:id="89"/>
      <w:bookmarkEnd w:id="90"/>
    </w:p>
    <w:p>
      <w:pPr>
        <w:spacing w:line="360" w:lineRule="auto"/>
        <w:ind w:firstLine="480" w:firstLineChars="200"/>
        <w:rPr>
          <w:rFonts w:ascii="Times New Roman" w:hAnsi="宋体" w:eastAsia="宋体"/>
          <w:bCs/>
          <w:sz w:val="24"/>
          <w:szCs w:val="24"/>
        </w:rPr>
      </w:pPr>
      <w:r>
        <w:rPr>
          <w:rFonts w:hint="eastAsia" w:ascii="Times New Roman" w:hAnsi="宋体" w:eastAsia="宋体"/>
          <w:bCs/>
          <w:sz w:val="24"/>
          <w:szCs w:val="24"/>
        </w:rPr>
        <w:t>由于企业对环境较为重视，</w:t>
      </w:r>
      <w:r>
        <w:rPr>
          <w:rFonts w:ascii="Times New Roman" w:hAnsi="宋体" w:eastAsia="宋体"/>
          <w:bCs/>
          <w:sz w:val="24"/>
          <w:szCs w:val="24"/>
        </w:rPr>
        <w:t>环境管理体系基本完善，企业通过了 ISO14001 环境管理体系认证</w:t>
      </w:r>
      <w:r>
        <w:rPr>
          <w:rFonts w:hint="eastAsia" w:ascii="Times New Roman" w:hAnsi="宋体" w:eastAsia="宋体"/>
          <w:bCs/>
          <w:sz w:val="24"/>
          <w:szCs w:val="24"/>
        </w:rPr>
        <w:t>,</w:t>
      </w:r>
      <w:r>
        <w:rPr>
          <w:rFonts w:ascii="Times New Roman" w:hAnsi="宋体" w:eastAsia="宋体"/>
          <w:bCs/>
          <w:sz w:val="24"/>
          <w:szCs w:val="24"/>
        </w:rPr>
        <w:t xml:space="preserve"> 但体系实际执行力度较差，实际效果一般，审核小组要求企业严格落实相关管理程度，</w:t>
      </w:r>
      <w:r>
        <w:rPr>
          <w:rFonts w:hint="eastAsia" w:ascii="Times New Roman" w:hAnsi="宋体" w:eastAsia="宋体"/>
          <w:bCs/>
          <w:sz w:val="24"/>
          <w:szCs w:val="24"/>
        </w:rPr>
        <w:t>做好环境教育和宣传工作，提高各级管理人员和操作人员的环境保护意识，加强员工对环境污染防治的责任心，自觉遵守和执行各项环境保护的规章制度</w:t>
      </w:r>
      <w:r>
        <w:rPr>
          <w:rFonts w:ascii="Times New Roman" w:hAnsi="宋体" w:eastAsia="宋体"/>
          <w:bCs/>
          <w:sz w:val="24"/>
          <w:szCs w:val="24"/>
        </w:rPr>
        <w:t>确保环境管理体系正常运行， 发挥实际效果。</w:t>
      </w:r>
    </w:p>
    <w:p>
      <w:pPr>
        <w:spacing w:line="360" w:lineRule="auto"/>
        <w:ind w:firstLine="480" w:firstLineChars="200"/>
        <w:rPr>
          <w:rFonts w:ascii="Times New Roman" w:hAnsi="宋体" w:eastAsia="宋体"/>
          <w:bCs/>
          <w:sz w:val="24"/>
          <w:szCs w:val="24"/>
        </w:rPr>
      </w:pPr>
      <w:r>
        <w:rPr>
          <w:rFonts w:hint="eastAsia" w:ascii="Times New Roman" w:hAnsi="宋体" w:eastAsia="宋体"/>
          <w:bCs/>
          <w:sz w:val="24"/>
          <w:szCs w:val="24"/>
        </w:rPr>
        <w:t>加强宣传教育，采取切实可行的科学安全防范措施，建立火灾爆炸预警系统及应急预案，以降低环境风险发生概率，减轻环境风险事故后带来的环境风险影响。</w:t>
      </w:r>
    </w:p>
    <w:p>
      <w:pPr>
        <w:pStyle w:val="4"/>
        <w:widowControl w:val="0"/>
        <w:spacing w:beforeLines="50" w:after="0" w:line="360" w:lineRule="auto"/>
        <w:rPr>
          <w:rFonts w:ascii="Times New Roman" w:hAnsi="Times New Roman" w:eastAsia="宋体" w:cs="Courier New"/>
          <w:sz w:val="30"/>
          <w:szCs w:val="30"/>
        </w:rPr>
      </w:pPr>
      <w:bookmarkStart w:id="91" w:name="_Toc436773915"/>
      <w:bookmarkStart w:id="92" w:name="_Toc525138243"/>
      <w:bookmarkStart w:id="93" w:name="_Toc499903465"/>
      <w:bookmarkStart w:id="94" w:name="_Toc23247"/>
      <w:bookmarkStart w:id="95" w:name="_Toc525138387"/>
      <w:r>
        <w:rPr>
          <w:rFonts w:hint="eastAsia" w:ascii="Times New Roman" w:hAnsi="Times New Roman" w:eastAsia="宋体" w:cs="Courier New"/>
          <w:sz w:val="30"/>
          <w:szCs w:val="30"/>
        </w:rPr>
        <w:t>3.2.2排污</w:t>
      </w:r>
      <w:bookmarkEnd w:id="91"/>
      <w:r>
        <w:rPr>
          <w:rFonts w:hint="eastAsia" w:ascii="Times New Roman" w:hAnsi="Times New Roman" w:eastAsia="宋体" w:cs="Courier New"/>
          <w:sz w:val="30"/>
          <w:szCs w:val="30"/>
        </w:rPr>
        <w:t>状况</w:t>
      </w:r>
      <w:bookmarkEnd w:id="92"/>
      <w:bookmarkEnd w:id="93"/>
      <w:bookmarkEnd w:id="94"/>
      <w:bookmarkEnd w:id="95"/>
    </w:p>
    <w:p>
      <w:pPr>
        <w:pStyle w:val="6"/>
        <w:keepLines w:val="0"/>
        <w:widowControl w:val="0"/>
        <w:adjustRightInd/>
        <w:snapToGrid/>
        <w:spacing w:beforeLines="50" w:after="0" w:line="360" w:lineRule="auto"/>
        <w:rPr>
          <w:rFonts w:ascii="Times New Roman" w:hAnsi="Times New Roman"/>
          <w:bCs w:val="0"/>
          <w:sz w:val="24"/>
        </w:rPr>
      </w:pPr>
      <w:r>
        <w:rPr>
          <w:rFonts w:hint="eastAsia" w:ascii="Times New Roman" w:hAnsi="Times New Roman"/>
          <w:bCs w:val="0"/>
          <w:sz w:val="24"/>
        </w:rPr>
        <w:t>3.2.2.1产排污环节及污染因子分析</w:t>
      </w:r>
    </w:p>
    <w:p>
      <w:pPr>
        <w:spacing w:beforeLines="50" w:line="360" w:lineRule="auto"/>
        <w:ind w:firstLine="480" w:firstLineChars="200"/>
        <w:rPr>
          <w:rFonts w:ascii="Times New Roman" w:hAnsi="Times New Roman" w:eastAsia="宋体"/>
          <w:sz w:val="24"/>
          <w:szCs w:val="24"/>
        </w:rPr>
      </w:pPr>
      <w:r>
        <w:rPr>
          <w:rFonts w:ascii="Times New Roman" w:hAnsi="Times New Roman" w:eastAsia="宋体"/>
          <w:sz w:val="24"/>
          <w:szCs w:val="24"/>
        </w:rPr>
        <w:t>企业生产过程中的主要污染因子有：废气、</w:t>
      </w:r>
      <w:r>
        <w:rPr>
          <w:rFonts w:hint="eastAsia" w:ascii="Times New Roman" w:hAnsi="Times New Roman" w:eastAsia="宋体"/>
          <w:sz w:val="24"/>
          <w:szCs w:val="24"/>
          <w:lang w:val="en-US" w:eastAsia="zh-CN"/>
        </w:rPr>
        <w:t>生活污水</w:t>
      </w:r>
      <w:r>
        <w:rPr>
          <w:rFonts w:ascii="Times New Roman" w:hAnsi="Times New Roman" w:eastAsia="宋体"/>
          <w:sz w:val="24"/>
          <w:szCs w:val="24"/>
        </w:rPr>
        <w:t>、噪声、固废等污染物。企业主要污染情况见表</w:t>
      </w:r>
      <w:r>
        <w:rPr>
          <w:rFonts w:hint="eastAsia" w:ascii="Times New Roman" w:hAnsi="Times New Roman" w:eastAsia="宋体"/>
          <w:sz w:val="24"/>
          <w:szCs w:val="24"/>
        </w:rPr>
        <w:t>3-1</w:t>
      </w:r>
      <w:r>
        <w:rPr>
          <w:rFonts w:hint="eastAsia" w:ascii="Times New Roman" w:hAnsi="Times New Roman" w:eastAsia="宋体"/>
          <w:sz w:val="24"/>
          <w:szCs w:val="24"/>
          <w:lang w:val="en-US" w:eastAsia="zh-CN"/>
        </w:rPr>
        <w:t>2</w:t>
      </w:r>
      <w:r>
        <w:rPr>
          <w:rFonts w:ascii="Times New Roman" w:hAnsi="Times New Roman" w:eastAsia="宋体"/>
          <w:sz w:val="24"/>
          <w:szCs w:val="24"/>
        </w:rPr>
        <w:t>。</w:t>
      </w:r>
    </w:p>
    <w:p>
      <w:pPr>
        <w:pStyle w:val="50"/>
        <w:adjustRightInd w:val="0"/>
        <w:snapToGrid w:val="0"/>
        <w:spacing w:line="360" w:lineRule="auto"/>
        <w:rPr>
          <w:rFonts w:eastAsia="宋体"/>
          <w:b/>
          <w:bCs w:val="0"/>
          <w:lang w:val="en-US"/>
        </w:rPr>
      </w:pPr>
      <w:r>
        <w:rPr>
          <w:rFonts w:eastAsia="宋体"/>
          <w:b/>
          <w:bCs w:val="0"/>
          <w:lang w:val="en-US"/>
        </w:rPr>
        <w:t>表</w:t>
      </w:r>
      <w:r>
        <w:rPr>
          <w:rFonts w:hint="eastAsia" w:eastAsia="宋体"/>
          <w:b/>
        </w:rPr>
        <w:t>3-1</w:t>
      </w:r>
      <w:r>
        <w:rPr>
          <w:rFonts w:hint="eastAsia" w:eastAsia="宋体"/>
          <w:b/>
          <w:lang w:val="en-US" w:eastAsia="zh-CN"/>
        </w:rPr>
        <w:t>2</w:t>
      </w:r>
      <w:r>
        <w:rPr>
          <w:rFonts w:hint="eastAsia" w:eastAsia="宋体"/>
          <w:b/>
          <w:bCs w:val="0"/>
          <w:lang w:val="en-US"/>
        </w:rPr>
        <w:t xml:space="preserve"> </w:t>
      </w:r>
      <w:r>
        <w:rPr>
          <w:rFonts w:eastAsia="宋体"/>
          <w:b/>
          <w:bCs w:val="0"/>
          <w:lang w:val="en-US"/>
        </w:rPr>
        <w:t xml:space="preserve"> 企业主要污染源情况一览表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55"/>
        <w:gridCol w:w="1227"/>
        <w:gridCol w:w="1304"/>
        <w:gridCol w:w="41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6" w:hRule="atLeast"/>
          <w:tblHeader/>
          <w:jc w:val="center"/>
        </w:trPr>
        <w:tc>
          <w:tcPr>
            <w:tcW w:w="675" w:type="dxa"/>
            <w:noWrap w:val="0"/>
            <w:vAlign w:val="center"/>
          </w:tcPr>
          <w:p>
            <w:pPr>
              <w:pStyle w:val="52"/>
              <w:adjustRightInd w:val="0"/>
              <w:snapToGrid w:val="0"/>
              <w:spacing w:line="360" w:lineRule="auto"/>
              <w:rPr>
                <w:rFonts w:eastAsia="宋体"/>
                <w:color w:val="auto"/>
              </w:rPr>
            </w:pPr>
            <w:r>
              <w:rPr>
                <w:rFonts w:eastAsia="宋体"/>
                <w:color w:val="auto"/>
              </w:rPr>
              <w:t>序号</w:t>
            </w:r>
          </w:p>
        </w:tc>
        <w:tc>
          <w:tcPr>
            <w:tcW w:w="2382" w:type="dxa"/>
            <w:gridSpan w:val="2"/>
            <w:noWrap w:val="0"/>
            <w:vAlign w:val="center"/>
          </w:tcPr>
          <w:p>
            <w:pPr>
              <w:pStyle w:val="52"/>
              <w:adjustRightInd w:val="0"/>
              <w:snapToGrid w:val="0"/>
              <w:spacing w:line="360" w:lineRule="auto"/>
              <w:rPr>
                <w:color w:val="auto"/>
              </w:rPr>
            </w:pPr>
            <w:r>
              <w:rPr>
                <w:rFonts w:eastAsia="宋体"/>
                <w:color w:val="auto"/>
              </w:rPr>
              <w:t>污染类型</w:t>
            </w:r>
          </w:p>
        </w:tc>
        <w:tc>
          <w:tcPr>
            <w:tcW w:w="1304" w:type="dxa"/>
            <w:noWrap w:val="0"/>
            <w:vAlign w:val="center"/>
          </w:tcPr>
          <w:p>
            <w:pPr>
              <w:pStyle w:val="52"/>
              <w:adjustRightInd w:val="0"/>
              <w:snapToGrid w:val="0"/>
              <w:spacing w:line="360" w:lineRule="auto"/>
              <w:rPr>
                <w:color w:val="auto"/>
              </w:rPr>
            </w:pPr>
            <w:r>
              <w:rPr>
                <w:rFonts w:eastAsia="宋体"/>
                <w:color w:val="auto"/>
              </w:rPr>
              <w:t>主要污染物</w:t>
            </w:r>
          </w:p>
        </w:tc>
        <w:tc>
          <w:tcPr>
            <w:tcW w:w="4161" w:type="dxa"/>
            <w:noWrap w:val="0"/>
            <w:vAlign w:val="center"/>
          </w:tcPr>
          <w:p>
            <w:pPr>
              <w:pStyle w:val="52"/>
              <w:adjustRightInd w:val="0"/>
              <w:snapToGrid w:val="0"/>
              <w:spacing w:line="360" w:lineRule="auto"/>
              <w:rPr>
                <w:color w:val="auto"/>
              </w:rPr>
            </w:pPr>
            <w:r>
              <w:rPr>
                <w:rFonts w:eastAsia="宋体"/>
                <w:color w:val="auto"/>
              </w:rPr>
              <w:t>污染来源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1" w:hRule="atLeast"/>
          <w:jc w:val="center"/>
        </w:trPr>
        <w:tc>
          <w:tcPr>
            <w:tcW w:w="675" w:type="dxa"/>
            <w:noWrap w:val="0"/>
            <w:vAlign w:val="center"/>
          </w:tcPr>
          <w:p>
            <w:pPr>
              <w:pStyle w:val="52"/>
              <w:adjustRightInd w:val="0"/>
              <w:snapToGrid w:val="0"/>
              <w:spacing w:line="360" w:lineRule="auto"/>
              <w:rPr>
                <w:rFonts w:hint="eastAsia" w:eastAsia="宋体"/>
                <w:color w:val="auto"/>
                <w:lang w:val="en-US" w:eastAsia="zh-CN"/>
              </w:rPr>
            </w:pPr>
            <w:r>
              <w:rPr>
                <w:rFonts w:hint="eastAsia" w:eastAsia="宋体"/>
                <w:color w:val="auto"/>
                <w:lang w:val="en-US" w:eastAsia="zh-CN"/>
              </w:rPr>
              <w:t>1</w:t>
            </w:r>
          </w:p>
        </w:tc>
        <w:tc>
          <w:tcPr>
            <w:tcW w:w="1155" w:type="dxa"/>
            <w:noWrap w:val="0"/>
            <w:vAlign w:val="center"/>
          </w:tcPr>
          <w:p>
            <w:pPr>
              <w:pStyle w:val="52"/>
              <w:adjustRightInd w:val="0"/>
              <w:snapToGrid w:val="0"/>
              <w:spacing w:line="360" w:lineRule="auto"/>
              <w:rPr>
                <w:rFonts w:hint="eastAsia" w:eastAsia="宋体"/>
                <w:color w:val="auto"/>
                <w:lang w:val="en-US" w:eastAsia="zh-CN"/>
              </w:rPr>
            </w:pPr>
            <w:r>
              <w:rPr>
                <w:rFonts w:hint="eastAsia" w:eastAsia="宋体"/>
                <w:color w:val="auto"/>
                <w:lang w:val="en-US" w:eastAsia="zh-CN"/>
              </w:rPr>
              <w:t>污水</w:t>
            </w:r>
          </w:p>
        </w:tc>
        <w:tc>
          <w:tcPr>
            <w:tcW w:w="1227" w:type="dxa"/>
            <w:noWrap w:val="0"/>
            <w:vAlign w:val="center"/>
          </w:tcPr>
          <w:p>
            <w:pPr>
              <w:pStyle w:val="52"/>
              <w:adjustRightInd w:val="0"/>
              <w:snapToGrid w:val="0"/>
              <w:spacing w:line="360" w:lineRule="auto"/>
              <w:rPr>
                <w:color w:val="auto"/>
              </w:rPr>
            </w:pPr>
            <w:r>
              <w:rPr>
                <w:rFonts w:eastAsia="宋体"/>
                <w:color w:val="auto"/>
              </w:rPr>
              <w:t>生活废水</w:t>
            </w:r>
          </w:p>
        </w:tc>
        <w:tc>
          <w:tcPr>
            <w:tcW w:w="1304" w:type="dxa"/>
            <w:noWrap w:val="0"/>
            <w:vAlign w:val="center"/>
          </w:tcPr>
          <w:p>
            <w:pPr>
              <w:pStyle w:val="52"/>
              <w:adjustRightInd w:val="0"/>
              <w:snapToGrid w:val="0"/>
              <w:spacing w:line="360" w:lineRule="auto"/>
              <w:rPr>
                <w:rFonts w:eastAsia="宋体"/>
                <w:color w:val="auto"/>
              </w:rPr>
            </w:pPr>
            <w:r>
              <w:rPr>
                <w:color w:val="auto"/>
              </w:rPr>
              <w:t>COD</w:t>
            </w:r>
            <w:r>
              <w:rPr>
                <w:rFonts w:eastAsia="宋体"/>
                <w:color w:val="auto"/>
              </w:rPr>
              <w:t>、</w:t>
            </w:r>
            <w:r>
              <w:rPr>
                <w:color w:val="auto"/>
              </w:rPr>
              <w:t>SS</w:t>
            </w:r>
            <w:r>
              <w:rPr>
                <w:rFonts w:eastAsia="宋体"/>
                <w:color w:val="auto"/>
              </w:rPr>
              <w:t>、</w:t>
            </w:r>
            <w:r>
              <w:rPr>
                <w:color w:val="auto"/>
              </w:rPr>
              <w:t>NH</w:t>
            </w:r>
            <w:r>
              <w:rPr>
                <w:rFonts w:eastAsia="宋体"/>
                <w:color w:val="auto"/>
                <w:vertAlign w:val="subscript"/>
              </w:rPr>
              <w:t>3</w:t>
            </w:r>
            <w:r>
              <w:rPr>
                <w:rFonts w:eastAsia="宋体"/>
                <w:color w:val="auto"/>
              </w:rPr>
              <w:t>-N</w:t>
            </w:r>
          </w:p>
        </w:tc>
        <w:tc>
          <w:tcPr>
            <w:tcW w:w="4161" w:type="dxa"/>
            <w:noWrap w:val="0"/>
            <w:vAlign w:val="center"/>
          </w:tcPr>
          <w:p>
            <w:pPr>
              <w:pStyle w:val="52"/>
              <w:adjustRightInd w:val="0"/>
              <w:snapToGrid w:val="0"/>
              <w:spacing w:line="360" w:lineRule="auto"/>
              <w:rPr>
                <w:rFonts w:eastAsia="宋体"/>
                <w:color w:val="auto"/>
              </w:rPr>
            </w:pPr>
            <w:r>
              <w:rPr>
                <w:rFonts w:eastAsia="宋体"/>
                <w:color w:val="auto"/>
              </w:rPr>
              <w:t>主要为办公生活用水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1" w:hRule="atLeast"/>
          <w:jc w:val="center"/>
        </w:trPr>
        <w:tc>
          <w:tcPr>
            <w:tcW w:w="675" w:type="dxa"/>
            <w:noWrap w:val="0"/>
            <w:vAlign w:val="center"/>
          </w:tcPr>
          <w:p>
            <w:pPr>
              <w:pStyle w:val="52"/>
              <w:adjustRightInd w:val="0"/>
              <w:snapToGrid w:val="0"/>
              <w:spacing w:line="360" w:lineRule="auto"/>
              <w:rPr>
                <w:rFonts w:eastAsia="宋体"/>
                <w:color w:val="auto"/>
              </w:rPr>
            </w:pPr>
            <w:r>
              <w:rPr>
                <w:rFonts w:eastAsia="宋体"/>
                <w:color w:val="auto"/>
              </w:rPr>
              <w:t>2</w:t>
            </w:r>
          </w:p>
        </w:tc>
        <w:tc>
          <w:tcPr>
            <w:tcW w:w="1155" w:type="dxa"/>
            <w:noWrap w:val="0"/>
            <w:vAlign w:val="center"/>
          </w:tcPr>
          <w:p>
            <w:pPr>
              <w:pStyle w:val="52"/>
              <w:adjustRightInd w:val="0"/>
              <w:snapToGrid w:val="0"/>
              <w:spacing w:line="360" w:lineRule="auto"/>
              <w:rPr>
                <w:rFonts w:eastAsia="宋体"/>
                <w:color w:val="auto"/>
              </w:rPr>
            </w:pPr>
            <w:r>
              <w:rPr>
                <w:rFonts w:eastAsia="宋体"/>
                <w:color w:val="auto"/>
              </w:rPr>
              <w:t>废气</w:t>
            </w:r>
          </w:p>
        </w:tc>
        <w:tc>
          <w:tcPr>
            <w:tcW w:w="1227" w:type="dxa"/>
            <w:noWrap w:val="0"/>
            <w:vAlign w:val="center"/>
          </w:tcPr>
          <w:p>
            <w:pPr>
              <w:pStyle w:val="52"/>
              <w:adjustRightInd w:val="0"/>
              <w:snapToGrid w:val="0"/>
              <w:spacing w:line="360" w:lineRule="auto"/>
              <w:rPr>
                <w:color w:val="auto"/>
              </w:rPr>
            </w:pPr>
            <w:r>
              <w:rPr>
                <w:rFonts w:eastAsia="宋体"/>
                <w:color w:val="auto"/>
              </w:rPr>
              <w:t>生产废气</w:t>
            </w:r>
          </w:p>
        </w:tc>
        <w:tc>
          <w:tcPr>
            <w:tcW w:w="1304" w:type="dxa"/>
            <w:noWrap w:val="0"/>
            <w:vAlign w:val="center"/>
          </w:tcPr>
          <w:p>
            <w:pPr>
              <w:pStyle w:val="52"/>
              <w:adjustRightInd w:val="0"/>
              <w:snapToGrid w:val="0"/>
              <w:spacing w:line="360" w:lineRule="auto"/>
              <w:rPr>
                <w:color w:val="auto"/>
              </w:rPr>
            </w:pPr>
            <w:r>
              <w:rPr>
                <w:rFonts w:hint="eastAsia" w:eastAsia="宋体"/>
                <w:color w:val="auto"/>
                <w:lang w:val="en-US" w:eastAsia="zh-CN"/>
              </w:rPr>
              <w:t>焊尘</w:t>
            </w:r>
            <w:r>
              <w:rPr>
                <w:rFonts w:eastAsia="宋体"/>
                <w:color w:val="auto"/>
              </w:rPr>
              <w:t>、废气</w:t>
            </w:r>
          </w:p>
        </w:tc>
        <w:tc>
          <w:tcPr>
            <w:tcW w:w="4161" w:type="dxa"/>
            <w:noWrap w:val="0"/>
            <w:vAlign w:val="center"/>
          </w:tcPr>
          <w:p>
            <w:pPr>
              <w:pStyle w:val="52"/>
              <w:adjustRightInd w:val="0"/>
              <w:snapToGrid w:val="0"/>
              <w:spacing w:line="360" w:lineRule="auto"/>
              <w:rPr>
                <w:rFonts w:hint="default" w:eastAsia="宋体"/>
                <w:color w:val="auto"/>
                <w:lang w:val="en-US"/>
              </w:rPr>
            </w:pPr>
            <w:r>
              <w:rPr>
                <w:rFonts w:eastAsia="宋体"/>
                <w:color w:val="auto"/>
              </w:rPr>
              <w:t>主要为</w:t>
            </w:r>
            <w:r>
              <w:rPr>
                <w:rFonts w:hint="eastAsia" w:eastAsia="宋体"/>
                <w:color w:val="auto"/>
              </w:rPr>
              <w:t>非甲</w:t>
            </w:r>
            <w:r>
              <w:rPr>
                <w:rFonts w:hint="eastAsia" w:eastAsia="宋体"/>
                <w:color w:val="auto"/>
                <w:lang w:val="en-US" w:eastAsia="zh-CN"/>
              </w:rPr>
              <w:t>烷</w:t>
            </w:r>
            <w:r>
              <w:rPr>
                <w:rFonts w:hint="eastAsia" w:eastAsia="宋体"/>
                <w:color w:val="auto"/>
              </w:rPr>
              <w:t>总经</w:t>
            </w:r>
            <w:r>
              <w:rPr>
                <w:rFonts w:eastAsia="宋体"/>
                <w:color w:val="auto"/>
              </w:rPr>
              <w:t>和</w:t>
            </w:r>
            <w:r>
              <w:rPr>
                <w:rFonts w:hint="eastAsia" w:eastAsia="宋体"/>
                <w:color w:val="auto"/>
                <w:lang w:val="en-US" w:eastAsia="zh-CN"/>
              </w:rPr>
              <w:t>焊接烟尘、补胶废气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675" w:type="dxa"/>
            <w:noWrap w:val="0"/>
            <w:vAlign w:val="center"/>
          </w:tcPr>
          <w:p>
            <w:pPr>
              <w:pStyle w:val="52"/>
              <w:adjustRightInd w:val="0"/>
              <w:snapToGrid w:val="0"/>
              <w:spacing w:line="360" w:lineRule="auto"/>
              <w:rPr>
                <w:rFonts w:eastAsia="宋体"/>
                <w:color w:val="auto"/>
              </w:rPr>
            </w:pPr>
            <w:r>
              <w:rPr>
                <w:rFonts w:eastAsia="宋体"/>
                <w:color w:val="auto"/>
              </w:rPr>
              <w:t>3</w:t>
            </w:r>
          </w:p>
        </w:tc>
        <w:tc>
          <w:tcPr>
            <w:tcW w:w="2382" w:type="dxa"/>
            <w:gridSpan w:val="2"/>
            <w:noWrap w:val="0"/>
            <w:vAlign w:val="center"/>
          </w:tcPr>
          <w:p>
            <w:pPr>
              <w:pStyle w:val="52"/>
              <w:adjustRightInd w:val="0"/>
              <w:snapToGrid w:val="0"/>
              <w:spacing w:line="360" w:lineRule="auto"/>
              <w:rPr>
                <w:color w:val="auto"/>
              </w:rPr>
            </w:pPr>
            <w:r>
              <w:rPr>
                <w:rFonts w:eastAsia="宋体"/>
                <w:color w:val="auto"/>
              </w:rPr>
              <w:t>噪声</w:t>
            </w:r>
          </w:p>
        </w:tc>
        <w:tc>
          <w:tcPr>
            <w:tcW w:w="1304" w:type="dxa"/>
            <w:noWrap w:val="0"/>
            <w:vAlign w:val="center"/>
          </w:tcPr>
          <w:p>
            <w:pPr>
              <w:pStyle w:val="52"/>
              <w:adjustRightInd w:val="0"/>
              <w:snapToGrid w:val="0"/>
              <w:spacing w:line="360" w:lineRule="auto"/>
              <w:rPr>
                <w:color w:val="auto"/>
              </w:rPr>
            </w:pPr>
            <w:r>
              <w:rPr>
                <w:rFonts w:eastAsia="宋体"/>
                <w:color w:val="auto"/>
              </w:rPr>
              <w:t>噪声</w:t>
            </w:r>
          </w:p>
        </w:tc>
        <w:tc>
          <w:tcPr>
            <w:tcW w:w="4161" w:type="dxa"/>
            <w:noWrap w:val="0"/>
            <w:vAlign w:val="center"/>
          </w:tcPr>
          <w:p>
            <w:pPr>
              <w:pStyle w:val="52"/>
              <w:adjustRightInd w:val="0"/>
              <w:snapToGrid w:val="0"/>
              <w:spacing w:line="360" w:lineRule="auto"/>
              <w:rPr>
                <w:rFonts w:eastAsia="宋体"/>
                <w:color w:val="auto"/>
              </w:rPr>
            </w:pPr>
            <w:r>
              <w:rPr>
                <w:rFonts w:eastAsia="宋体"/>
                <w:color w:val="auto"/>
              </w:rPr>
              <w:t>主要为设备运行时的设备噪声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77" w:hRule="atLeast"/>
          <w:jc w:val="center"/>
        </w:trPr>
        <w:tc>
          <w:tcPr>
            <w:tcW w:w="675" w:type="dxa"/>
            <w:vMerge w:val="restart"/>
            <w:noWrap w:val="0"/>
            <w:vAlign w:val="center"/>
          </w:tcPr>
          <w:p>
            <w:pPr>
              <w:pStyle w:val="52"/>
              <w:adjustRightInd w:val="0"/>
              <w:snapToGrid w:val="0"/>
              <w:spacing w:line="360" w:lineRule="auto"/>
              <w:rPr>
                <w:rFonts w:eastAsia="宋体"/>
                <w:color w:val="auto"/>
              </w:rPr>
            </w:pPr>
            <w:r>
              <w:rPr>
                <w:rFonts w:eastAsia="宋体"/>
                <w:color w:val="auto"/>
              </w:rPr>
              <w:t>4</w:t>
            </w:r>
          </w:p>
        </w:tc>
        <w:tc>
          <w:tcPr>
            <w:tcW w:w="1155" w:type="dxa"/>
            <w:vMerge w:val="restart"/>
            <w:noWrap w:val="0"/>
            <w:vAlign w:val="center"/>
          </w:tcPr>
          <w:p>
            <w:pPr>
              <w:pStyle w:val="52"/>
              <w:adjustRightInd w:val="0"/>
              <w:snapToGrid w:val="0"/>
              <w:spacing w:line="360" w:lineRule="auto"/>
              <w:rPr>
                <w:rFonts w:eastAsia="宋体"/>
                <w:color w:val="auto"/>
              </w:rPr>
            </w:pPr>
            <w:r>
              <w:rPr>
                <w:rFonts w:eastAsia="宋体"/>
                <w:color w:val="auto"/>
              </w:rPr>
              <w:t>固废</w:t>
            </w:r>
          </w:p>
        </w:tc>
        <w:tc>
          <w:tcPr>
            <w:tcW w:w="1227" w:type="dxa"/>
            <w:noWrap w:val="0"/>
            <w:vAlign w:val="center"/>
          </w:tcPr>
          <w:p>
            <w:pPr>
              <w:pStyle w:val="52"/>
              <w:adjustRightInd w:val="0"/>
              <w:snapToGrid w:val="0"/>
              <w:spacing w:line="360" w:lineRule="auto"/>
              <w:rPr>
                <w:rFonts w:eastAsia="宋体"/>
                <w:color w:val="auto"/>
              </w:rPr>
            </w:pPr>
            <w:r>
              <w:rPr>
                <w:rFonts w:eastAsia="宋体"/>
                <w:color w:val="auto"/>
              </w:rPr>
              <w:t>生产固废</w:t>
            </w:r>
          </w:p>
        </w:tc>
        <w:tc>
          <w:tcPr>
            <w:tcW w:w="1304" w:type="dxa"/>
            <w:noWrap w:val="0"/>
            <w:vAlign w:val="center"/>
          </w:tcPr>
          <w:p>
            <w:pPr>
              <w:pStyle w:val="52"/>
              <w:adjustRightInd w:val="0"/>
              <w:snapToGrid w:val="0"/>
              <w:spacing w:line="360" w:lineRule="auto"/>
              <w:rPr>
                <w:color w:val="auto"/>
              </w:rPr>
            </w:pPr>
            <w:r>
              <w:rPr>
                <w:rFonts w:eastAsia="宋体"/>
                <w:color w:val="auto"/>
              </w:rPr>
              <w:t>固体废物</w:t>
            </w:r>
          </w:p>
        </w:tc>
        <w:tc>
          <w:tcPr>
            <w:tcW w:w="4161" w:type="dxa"/>
            <w:noWrap w:val="0"/>
            <w:vAlign w:val="center"/>
          </w:tcPr>
          <w:p>
            <w:pPr>
              <w:pStyle w:val="52"/>
              <w:adjustRightInd w:val="0"/>
              <w:snapToGrid w:val="0"/>
              <w:spacing w:line="360" w:lineRule="auto"/>
              <w:rPr>
                <w:rFonts w:hint="default" w:eastAsia="宋体"/>
                <w:color w:val="auto"/>
                <w:lang w:val="en-US" w:eastAsia="zh-CN"/>
              </w:rPr>
            </w:pPr>
            <w:r>
              <w:rPr>
                <w:rFonts w:eastAsia="宋体"/>
                <w:color w:val="auto"/>
              </w:rPr>
              <w:t>主要为原辅料包装材料、</w:t>
            </w:r>
            <w:r>
              <w:rPr>
                <w:rFonts w:hint="eastAsia" w:eastAsia="宋体"/>
                <w:color w:val="auto"/>
                <w:lang w:eastAsia="zh-CN"/>
              </w:rPr>
              <w:t>废异氢酸脂空桶</w:t>
            </w:r>
            <w:r>
              <w:rPr>
                <w:rFonts w:hint="eastAsia" w:eastAsia="宋体"/>
                <w:color w:val="auto"/>
                <w:lang w:val="en-US" w:eastAsia="zh-CN"/>
              </w:rPr>
              <w:t>、废修补胶桶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3" w:hRule="atLeast"/>
          <w:jc w:val="center"/>
        </w:trPr>
        <w:tc>
          <w:tcPr>
            <w:tcW w:w="675" w:type="dxa"/>
            <w:vMerge w:val="continue"/>
            <w:noWrap w:val="0"/>
            <w:vAlign w:val="center"/>
          </w:tcPr>
          <w:p>
            <w:pPr>
              <w:pStyle w:val="52"/>
              <w:adjustRightInd w:val="0"/>
              <w:snapToGrid w:val="0"/>
              <w:spacing w:line="360" w:lineRule="auto"/>
              <w:rPr>
                <w:rFonts w:eastAsia="宋体"/>
                <w:color w:val="auto"/>
              </w:rPr>
            </w:pPr>
          </w:p>
        </w:tc>
        <w:tc>
          <w:tcPr>
            <w:tcW w:w="1155" w:type="dxa"/>
            <w:vMerge w:val="continue"/>
            <w:noWrap w:val="0"/>
            <w:vAlign w:val="center"/>
          </w:tcPr>
          <w:p>
            <w:pPr>
              <w:pStyle w:val="52"/>
              <w:adjustRightInd w:val="0"/>
              <w:snapToGrid w:val="0"/>
              <w:spacing w:line="360" w:lineRule="auto"/>
              <w:rPr>
                <w:rFonts w:eastAsia="宋体"/>
                <w:color w:val="auto"/>
              </w:rPr>
            </w:pPr>
          </w:p>
        </w:tc>
        <w:tc>
          <w:tcPr>
            <w:tcW w:w="1227" w:type="dxa"/>
            <w:noWrap w:val="0"/>
            <w:vAlign w:val="center"/>
          </w:tcPr>
          <w:p>
            <w:pPr>
              <w:pStyle w:val="52"/>
              <w:adjustRightInd w:val="0"/>
              <w:snapToGrid w:val="0"/>
              <w:spacing w:line="360" w:lineRule="auto"/>
              <w:rPr>
                <w:rFonts w:eastAsia="宋体"/>
                <w:color w:val="auto"/>
              </w:rPr>
            </w:pPr>
            <w:r>
              <w:rPr>
                <w:rFonts w:eastAsia="宋体"/>
                <w:color w:val="auto"/>
              </w:rPr>
              <w:t>生活垃圾</w:t>
            </w:r>
          </w:p>
        </w:tc>
        <w:tc>
          <w:tcPr>
            <w:tcW w:w="1304" w:type="dxa"/>
            <w:noWrap w:val="0"/>
            <w:vAlign w:val="center"/>
          </w:tcPr>
          <w:p>
            <w:pPr>
              <w:pStyle w:val="52"/>
              <w:adjustRightInd w:val="0"/>
              <w:snapToGrid w:val="0"/>
              <w:spacing w:line="360" w:lineRule="auto"/>
              <w:rPr>
                <w:rFonts w:eastAsia="宋体"/>
                <w:color w:val="auto"/>
              </w:rPr>
            </w:pPr>
            <w:r>
              <w:rPr>
                <w:rFonts w:eastAsia="宋体"/>
                <w:color w:val="auto"/>
              </w:rPr>
              <w:t>生活垃圾</w:t>
            </w:r>
          </w:p>
        </w:tc>
        <w:tc>
          <w:tcPr>
            <w:tcW w:w="4161" w:type="dxa"/>
            <w:noWrap w:val="0"/>
            <w:vAlign w:val="center"/>
          </w:tcPr>
          <w:p>
            <w:pPr>
              <w:pStyle w:val="52"/>
              <w:adjustRightInd w:val="0"/>
              <w:snapToGrid w:val="0"/>
              <w:spacing w:line="360" w:lineRule="auto"/>
              <w:rPr>
                <w:rFonts w:eastAsia="宋体"/>
                <w:color w:val="auto"/>
              </w:rPr>
            </w:pPr>
            <w:r>
              <w:rPr>
                <w:rFonts w:eastAsia="宋体"/>
                <w:color w:val="auto"/>
              </w:rPr>
              <w:t>办公垃圾</w:t>
            </w:r>
          </w:p>
        </w:tc>
      </w:tr>
    </w:tbl>
    <w:p>
      <w:pPr>
        <w:pStyle w:val="6"/>
        <w:keepLines w:val="0"/>
        <w:widowControl w:val="0"/>
        <w:adjustRightInd/>
        <w:snapToGrid/>
        <w:spacing w:before="0" w:after="0" w:line="360" w:lineRule="auto"/>
        <w:rPr>
          <w:rFonts w:ascii="Times New Roman" w:hAnsi="Times New Roman"/>
          <w:bCs w:val="0"/>
          <w:sz w:val="24"/>
        </w:rPr>
      </w:pPr>
      <w:r>
        <w:rPr>
          <w:rFonts w:hint="eastAsia" w:ascii="Times New Roman" w:hAnsi="Times New Roman"/>
          <w:bCs w:val="0"/>
          <w:sz w:val="24"/>
        </w:rPr>
        <w:t>3.2.2.3废水的产生、治理及排放</w:t>
      </w:r>
    </w:p>
    <w:p>
      <w:pPr>
        <w:spacing w:line="360" w:lineRule="auto"/>
        <w:ind w:firstLine="480" w:firstLineChars="200"/>
        <w:rPr>
          <w:rFonts w:hint="eastAsia" w:ascii="Times New Roman" w:hAnsi="宋体" w:eastAsia="宋体"/>
          <w:bCs/>
          <w:sz w:val="24"/>
          <w:szCs w:val="24"/>
        </w:rPr>
      </w:pPr>
      <w:r>
        <w:rPr>
          <w:rFonts w:hint="eastAsia" w:ascii="Times New Roman" w:hAnsi="宋体" w:eastAsia="宋体"/>
          <w:bCs/>
          <w:sz w:val="24"/>
          <w:szCs w:val="24"/>
        </w:rPr>
        <w:t>(1)生产废水</w:t>
      </w:r>
    </w:p>
    <w:p>
      <w:pPr>
        <w:spacing w:line="360" w:lineRule="auto"/>
        <w:ind w:firstLine="480" w:firstLineChars="200"/>
        <w:rPr>
          <w:rFonts w:hint="eastAsia" w:ascii="Times New Roman" w:hAnsi="宋体" w:eastAsia="宋体"/>
          <w:bCs/>
          <w:sz w:val="24"/>
          <w:szCs w:val="24"/>
        </w:rPr>
      </w:pPr>
      <w:r>
        <w:rPr>
          <w:rFonts w:hint="eastAsia" w:ascii="Times New Roman" w:hAnsi="宋体" w:eastAsia="宋体"/>
          <w:bCs/>
          <w:sz w:val="24"/>
          <w:szCs w:val="24"/>
        </w:rPr>
        <w:t>本项目生产用水为熨烫座椅面料时熨蒸机用水；发泡机、点焊机循环冷却水；切管机冷却用水和车间地面清洁用水。其中，熨蒸机定期补充水，水均以水蒸气的形式汽化，无废水排放；切管机</w:t>
      </w:r>
      <w:r>
        <w:rPr>
          <w:rFonts w:hint="eastAsia" w:ascii="Times New Roman" w:hAnsi="宋体" w:eastAsia="宋体"/>
          <w:bCs/>
          <w:sz w:val="24"/>
          <w:szCs w:val="24"/>
          <w:lang w:eastAsia="zh-CN"/>
        </w:rPr>
        <w:t>、</w:t>
      </w:r>
      <w:r>
        <w:rPr>
          <w:rFonts w:hint="eastAsia" w:ascii="Times New Roman" w:hAnsi="宋体" w:eastAsia="宋体"/>
          <w:bCs/>
          <w:sz w:val="24"/>
          <w:szCs w:val="24"/>
        </w:rPr>
        <w:t>发泡机、点焊机冷却用水循环利用，定期补充水：地面清洁废水经车间厕所管道进入园区化类池处理，由基地西北侧总排口外排，通过湘芸路市政污水管网排入河西污水处理厂进一步处理后，汇入湘江。</w:t>
      </w:r>
    </w:p>
    <w:p>
      <w:pPr>
        <w:spacing w:line="360" w:lineRule="auto"/>
        <w:ind w:firstLine="480" w:firstLineChars="200"/>
        <w:rPr>
          <w:rFonts w:hint="eastAsia" w:ascii="Times New Roman" w:hAnsi="宋体" w:eastAsia="宋体"/>
          <w:bCs/>
          <w:sz w:val="24"/>
          <w:szCs w:val="24"/>
        </w:rPr>
      </w:pPr>
      <w:r>
        <w:rPr>
          <w:rFonts w:hint="eastAsia" w:ascii="Times New Roman" w:hAnsi="宋体" w:eastAsia="宋体"/>
          <w:bCs/>
          <w:sz w:val="24"/>
          <w:szCs w:val="24"/>
        </w:rPr>
        <w:t>(2)生活污水</w:t>
      </w:r>
    </w:p>
    <w:p>
      <w:pPr>
        <w:spacing w:line="360" w:lineRule="auto"/>
        <w:ind w:firstLine="480" w:firstLineChars="200"/>
        <w:rPr>
          <w:rFonts w:hint="eastAsia" w:ascii="Times New Roman" w:hAnsi="宋体" w:eastAsia="宋体"/>
          <w:bCs/>
          <w:sz w:val="24"/>
          <w:szCs w:val="24"/>
        </w:rPr>
      </w:pPr>
      <w:r>
        <w:rPr>
          <w:rFonts w:hint="eastAsia" w:ascii="Times New Roman" w:hAnsi="宋体" w:eastAsia="宋体"/>
          <w:bCs/>
          <w:sz w:val="24"/>
          <w:szCs w:val="24"/>
        </w:rPr>
        <w:t>职工生活污水进入海纳川株洲基地内的化粪池进行处理，处理后的污水经基地西北侧总排口外排，通过湘芸路市政污水管网排入河西污水处理厂进一步处理后，汇入湘江。</w:t>
      </w:r>
    </w:p>
    <w:p>
      <w:pPr>
        <w:spacing w:line="360" w:lineRule="auto"/>
        <w:ind w:firstLine="480" w:firstLineChars="200"/>
        <w:rPr>
          <w:rFonts w:hint="eastAsia" w:ascii="Times New Roman" w:hAnsi="宋体" w:eastAsia="宋体"/>
          <w:bCs/>
          <w:sz w:val="24"/>
          <w:szCs w:val="24"/>
        </w:rPr>
      </w:pPr>
      <w:r>
        <w:rPr>
          <w:rFonts w:hint="eastAsia" w:ascii="Times New Roman" w:hAnsi="宋体" w:eastAsia="宋体"/>
          <w:bCs/>
          <w:sz w:val="24"/>
          <w:szCs w:val="24"/>
        </w:rPr>
        <w:t>企业排放的废水，执行《污水综合排放标准》（GB8978-1996）表4中的三级标准。</w:t>
      </w:r>
    </w:p>
    <w:p>
      <w:pPr>
        <w:pStyle w:val="50"/>
        <w:adjustRightInd w:val="0"/>
        <w:snapToGrid w:val="0"/>
        <w:spacing w:line="360" w:lineRule="auto"/>
        <w:rPr>
          <w:rFonts w:eastAsia="宋体"/>
          <w:b/>
          <w:bCs w:val="0"/>
          <w:lang w:val="en-US"/>
        </w:rPr>
      </w:pPr>
      <w:r>
        <w:rPr>
          <w:rFonts w:eastAsia="宋体"/>
          <w:b/>
          <w:bCs w:val="0"/>
          <w:lang w:val="en-US"/>
        </w:rPr>
        <w:t>表</w:t>
      </w:r>
      <w:r>
        <w:rPr>
          <w:rFonts w:hint="eastAsia" w:eastAsia="宋体"/>
          <w:b/>
          <w:bCs w:val="0"/>
          <w:lang w:val="en-US"/>
        </w:rPr>
        <w:t>3</w:t>
      </w:r>
      <w:r>
        <w:rPr>
          <w:rFonts w:eastAsia="宋体"/>
          <w:b/>
          <w:bCs w:val="0"/>
          <w:lang w:val="en-US"/>
        </w:rPr>
        <w:t>-1</w:t>
      </w:r>
      <w:r>
        <w:rPr>
          <w:rFonts w:hint="eastAsia" w:eastAsia="宋体"/>
          <w:b/>
          <w:bCs w:val="0"/>
          <w:lang w:val="en-US"/>
        </w:rPr>
        <w:t>3</w:t>
      </w:r>
      <w:r>
        <w:rPr>
          <w:rFonts w:eastAsia="宋体"/>
          <w:b/>
          <w:bCs w:val="0"/>
          <w:lang w:val="en-US"/>
        </w:rPr>
        <w:t xml:space="preserve"> 废水排放执行标准一览表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1663"/>
        <w:gridCol w:w="1786"/>
        <w:gridCol w:w="2526"/>
        <w:gridCol w:w="16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tblHeader/>
          <w:jc w:val="center"/>
        </w:trPr>
        <w:tc>
          <w:tcPr>
            <w:tcW w:w="542" w:type="pct"/>
            <w:noWrap w:val="0"/>
            <w:vAlign w:val="center"/>
          </w:tcPr>
          <w:p>
            <w:pPr>
              <w:pStyle w:val="52"/>
              <w:adjustRightInd w:val="0"/>
              <w:snapToGrid w:val="0"/>
              <w:spacing w:line="360" w:lineRule="auto"/>
              <w:rPr>
                <w:color w:val="auto"/>
              </w:rPr>
            </w:pPr>
            <w:r>
              <w:rPr>
                <w:rFonts w:eastAsia="宋体"/>
                <w:color w:val="auto"/>
              </w:rPr>
              <w:t>类型</w:t>
            </w:r>
          </w:p>
        </w:tc>
        <w:tc>
          <w:tcPr>
            <w:tcW w:w="976" w:type="pct"/>
            <w:noWrap w:val="0"/>
            <w:vAlign w:val="center"/>
          </w:tcPr>
          <w:p>
            <w:pPr>
              <w:pStyle w:val="52"/>
              <w:adjustRightInd w:val="0"/>
              <w:snapToGrid w:val="0"/>
              <w:spacing w:line="360" w:lineRule="auto"/>
              <w:rPr>
                <w:color w:val="auto"/>
              </w:rPr>
            </w:pPr>
            <w:r>
              <w:rPr>
                <w:rFonts w:eastAsia="宋体"/>
                <w:color w:val="auto"/>
              </w:rPr>
              <w:t>污染因子</w:t>
            </w:r>
          </w:p>
        </w:tc>
        <w:tc>
          <w:tcPr>
            <w:tcW w:w="1048" w:type="pct"/>
            <w:noWrap w:val="0"/>
            <w:vAlign w:val="top"/>
          </w:tcPr>
          <w:p>
            <w:pPr>
              <w:pStyle w:val="52"/>
              <w:adjustRightInd w:val="0"/>
              <w:snapToGrid w:val="0"/>
              <w:spacing w:line="360" w:lineRule="auto"/>
              <w:rPr>
                <w:rFonts w:eastAsia="宋体"/>
                <w:color w:val="auto"/>
              </w:rPr>
            </w:pPr>
            <w:r>
              <w:rPr>
                <w:rFonts w:eastAsia="宋体"/>
                <w:color w:val="auto"/>
              </w:rPr>
              <w:t>计量单位</w:t>
            </w:r>
          </w:p>
        </w:tc>
        <w:tc>
          <w:tcPr>
            <w:tcW w:w="1482" w:type="pct"/>
            <w:noWrap w:val="0"/>
            <w:vAlign w:val="center"/>
          </w:tcPr>
          <w:p>
            <w:pPr>
              <w:pStyle w:val="52"/>
              <w:adjustRightInd w:val="0"/>
              <w:snapToGrid w:val="0"/>
              <w:spacing w:line="360" w:lineRule="auto"/>
              <w:rPr>
                <w:color w:val="auto"/>
              </w:rPr>
            </w:pPr>
            <w:r>
              <w:rPr>
                <w:rFonts w:eastAsia="宋体"/>
                <w:color w:val="auto"/>
              </w:rPr>
              <w:t>最高允许排放浓度</w:t>
            </w:r>
          </w:p>
        </w:tc>
        <w:tc>
          <w:tcPr>
            <w:tcW w:w="952" w:type="pct"/>
            <w:noWrap w:val="0"/>
            <w:vAlign w:val="center"/>
          </w:tcPr>
          <w:p>
            <w:pPr>
              <w:pStyle w:val="52"/>
              <w:adjustRightInd w:val="0"/>
              <w:snapToGrid w:val="0"/>
              <w:spacing w:line="360" w:lineRule="auto"/>
              <w:rPr>
                <w:color w:val="auto"/>
              </w:rPr>
            </w:pPr>
            <w:r>
              <w:rPr>
                <w:rFonts w:eastAsia="宋体"/>
                <w:color w:val="auto"/>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42" w:type="pct"/>
            <w:vMerge w:val="restart"/>
            <w:noWrap w:val="0"/>
            <w:vAlign w:val="center"/>
          </w:tcPr>
          <w:p>
            <w:pPr>
              <w:pStyle w:val="52"/>
              <w:adjustRightInd w:val="0"/>
              <w:snapToGrid w:val="0"/>
              <w:spacing w:line="360" w:lineRule="auto"/>
              <w:rPr>
                <w:color w:val="auto"/>
              </w:rPr>
            </w:pPr>
            <w:r>
              <w:rPr>
                <w:rFonts w:eastAsia="宋体"/>
                <w:color w:val="auto"/>
              </w:rPr>
              <w:t>废水</w:t>
            </w:r>
          </w:p>
        </w:tc>
        <w:tc>
          <w:tcPr>
            <w:tcW w:w="976" w:type="pct"/>
            <w:noWrap w:val="0"/>
            <w:vAlign w:val="center"/>
          </w:tcPr>
          <w:p>
            <w:pPr>
              <w:pStyle w:val="52"/>
              <w:adjustRightInd w:val="0"/>
              <w:snapToGrid w:val="0"/>
              <w:spacing w:line="360" w:lineRule="auto"/>
              <w:rPr>
                <w:color w:val="auto"/>
              </w:rPr>
            </w:pPr>
            <w:r>
              <w:rPr>
                <w:color w:val="auto"/>
              </w:rPr>
              <w:t>pH</w:t>
            </w:r>
            <w:r>
              <w:rPr>
                <w:rFonts w:eastAsia="宋体"/>
                <w:color w:val="auto"/>
              </w:rPr>
              <w:t>值</w:t>
            </w:r>
          </w:p>
        </w:tc>
        <w:tc>
          <w:tcPr>
            <w:tcW w:w="1048" w:type="pct"/>
            <w:noWrap w:val="0"/>
            <w:vAlign w:val="top"/>
          </w:tcPr>
          <w:p>
            <w:pPr>
              <w:pStyle w:val="52"/>
              <w:adjustRightInd w:val="0"/>
              <w:snapToGrid w:val="0"/>
              <w:spacing w:line="360" w:lineRule="auto"/>
              <w:rPr>
                <w:rFonts w:hint="default" w:eastAsia="宋体"/>
                <w:color w:val="auto"/>
                <w:lang w:val="en-US" w:eastAsia="zh-CN"/>
              </w:rPr>
            </w:pPr>
            <w:r>
              <w:rPr>
                <w:rFonts w:hint="eastAsia" w:eastAsia="宋体"/>
                <w:color w:val="auto"/>
                <w:lang w:val="en-US" w:eastAsia="zh-CN"/>
              </w:rPr>
              <w:t>7.0</w:t>
            </w:r>
          </w:p>
        </w:tc>
        <w:tc>
          <w:tcPr>
            <w:tcW w:w="1482" w:type="pct"/>
            <w:noWrap w:val="0"/>
            <w:vAlign w:val="center"/>
          </w:tcPr>
          <w:p>
            <w:pPr>
              <w:pStyle w:val="52"/>
              <w:adjustRightInd w:val="0"/>
              <w:snapToGrid w:val="0"/>
              <w:spacing w:line="360" w:lineRule="auto"/>
              <w:rPr>
                <w:color w:val="auto"/>
              </w:rPr>
            </w:pPr>
            <w:r>
              <w:rPr>
                <w:color w:val="auto"/>
              </w:rPr>
              <w:t>6-9</w:t>
            </w:r>
          </w:p>
        </w:tc>
        <w:tc>
          <w:tcPr>
            <w:tcW w:w="952" w:type="pct"/>
            <w:vMerge w:val="restart"/>
            <w:noWrap w:val="0"/>
            <w:vAlign w:val="center"/>
          </w:tcPr>
          <w:p>
            <w:pPr>
              <w:pStyle w:val="52"/>
              <w:adjustRightInd w:val="0"/>
              <w:snapToGrid w:val="0"/>
              <w:spacing w:line="360" w:lineRule="auto"/>
              <w:rPr>
                <w:color w:val="auto"/>
              </w:rPr>
            </w:pPr>
            <w:r>
              <w:rPr>
                <w:color w:val="auto"/>
              </w:rPr>
              <w:t>GB8978-1996</w:t>
            </w:r>
          </w:p>
          <w:p>
            <w:pPr>
              <w:pStyle w:val="52"/>
              <w:adjustRightInd w:val="0"/>
              <w:snapToGrid w:val="0"/>
              <w:spacing w:line="360" w:lineRule="auto"/>
              <w:rPr>
                <w:color w:val="auto"/>
              </w:rPr>
            </w:pPr>
            <w:r>
              <w:rPr>
                <w:rFonts w:eastAsia="宋体"/>
                <w:color w:val="auto"/>
              </w:rPr>
              <w:t>表</w:t>
            </w:r>
            <w:r>
              <w:rPr>
                <w:color w:val="auto"/>
              </w:rPr>
              <w:t xml:space="preserve">4 </w:t>
            </w:r>
            <w:r>
              <w:rPr>
                <w:rFonts w:eastAsia="宋体"/>
                <w:color w:val="auto"/>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42" w:type="pct"/>
            <w:vMerge w:val="continue"/>
            <w:noWrap w:val="0"/>
            <w:vAlign w:val="center"/>
          </w:tcPr>
          <w:p>
            <w:pPr>
              <w:pStyle w:val="52"/>
              <w:adjustRightInd w:val="0"/>
              <w:snapToGrid w:val="0"/>
              <w:spacing w:line="360" w:lineRule="auto"/>
              <w:rPr>
                <w:rFonts w:eastAsia="宋体"/>
                <w:color w:val="auto"/>
              </w:rPr>
            </w:pPr>
          </w:p>
        </w:tc>
        <w:tc>
          <w:tcPr>
            <w:tcW w:w="976" w:type="pct"/>
            <w:noWrap w:val="0"/>
            <w:vAlign w:val="center"/>
          </w:tcPr>
          <w:p>
            <w:pPr>
              <w:pStyle w:val="52"/>
              <w:adjustRightInd w:val="0"/>
              <w:snapToGrid w:val="0"/>
              <w:spacing w:line="360" w:lineRule="auto"/>
              <w:rPr>
                <w:color w:val="auto"/>
              </w:rPr>
            </w:pPr>
            <w:r>
              <w:rPr>
                <w:color w:val="auto"/>
              </w:rPr>
              <w:t>COD</w:t>
            </w:r>
          </w:p>
        </w:tc>
        <w:tc>
          <w:tcPr>
            <w:tcW w:w="1048" w:type="pct"/>
            <w:noWrap w:val="0"/>
            <w:vAlign w:val="top"/>
          </w:tcPr>
          <w:p>
            <w:pPr>
              <w:pStyle w:val="52"/>
              <w:adjustRightInd w:val="0"/>
              <w:snapToGrid w:val="0"/>
              <w:spacing w:line="360" w:lineRule="auto"/>
              <w:rPr>
                <w:color w:val="auto"/>
              </w:rPr>
            </w:pPr>
            <w:r>
              <w:rPr>
                <w:rFonts w:hint="eastAsia" w:eastAsia="宋体"/>
                <w:color w:val="auto"/>
                <w:lang w:val="en-US" w:eastAsia="zh-CN"/>
              </w:rPr>
              <w:t>268</w:t>
            </w:r>
            <w:r>
              <w:rPr>
                <w:color w:val="auto"/>
              </w:rPr>
              <w:t>mg/L</w:t>
            </w:r>
          </w:p>
        </w:tc>
        <w:tc>
          <w:tcPr>
            <w:tcW w:w="1482" w:type="pct"/>
            <w:noWrap w:val="0"/>
            <w:vAlign w:val="center"/>
          </w:tcPr>
          <w:p>
            <w:pPr>
              <w:pStyle w:val="52"/>
              <w:adjustRightInd w:val="0"/>
              <w:snapToGrid w:val="0"/>
              <w:spacing w:line="360" w:lineRule="auto"/>
              <w:rPr>
                <w:color w:val="auto"/>
              </w:rPr>
            </w:pPr>
            <w:r>
              <w:rPr>
                <w:rFonts w:hint="eastAsia" w:eastAsia="宋体"/>
                <w:color w:val="auto"/>
              </w:rPr>
              <w:t>5</w:t>
            </w:r>
            <w:r>
              <w:rPr>
                <w:color w:val="auto"/>
              </w:rPr>
              <w:t>00</w:t>
            </w:r>
          </w:p>
        </w:tc>
        <w:tc>
          <w:tcPr>
            <w:tcW w:w="952" w:type="pct"/>
            <w:vMerge w:val="continue"/>
            <w:noWrap w:val="0"/>
            <w:vAlign w:val="center"/>
          </w:tcPr>
          <w:p>
            <w:pPr>
              <w:pStyle w:val="52"/>
              <w:adjustRightInd w:val="0"/>
              <w:snapToGrid w:val="0"/>
              <w:spacing w:line="360" w:lineRule="auto"/>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42" w:type="pct"/>
            <w:vMerge w:val="continue"/>
            <w:noWrap w:val="0"/>
            <w:vAlign w:val="center"/>
          </w:tcPr>
          <w:p>
            <w:pPr>
              <w:pStyle w:val="52"/>
              <w:adjustRightInd w:val="0"/>
              <w:snapToGrid w:val="0"/>
              <w:spacing w:line="360" w:lineRule="auto"/>
              <w:rPr>
                <w:color w:val="auto"/>
              </w:rPr>
            </w:pPr>
          </w:p>
        </w:tc>
        <w:tc>
          <w:tcPr>
            <w:tcW w:w="976" w:type="pct"/>
            <w:noWrap w:val="0"/>
            <w:vAlign w:val="center"/>
          </w:tcPr>
          <w:p>
            <w:pPr>
              <w:pStyle w:val="52"/>
              <w:adjustRightInd w:val="0"/>
              <w:snapToGrid w:val="0"/>
              <w:spacing w:line="360" w:lineRule="auto"/>
              <w:rPr>
                <w:color w:val="auto"/>
              </w:rPr>
            </w:pPr>
            <w:r>
              <w:rPr>
                <w:color w:val="auto"/>
              </w:rPr>
              <w:t>BOD</w:t>
            </w:r>
          </w:p>
        </w:tc>
        <w:tc>
          <w:tcPr>
            <w:tcW w:w="1048" w:type="pct"/>
            <w:noWrap w:val="0"/>
            <w:vAlign w:val="top"/>
          </w:tcPr>
          <w:p>
            <w:pPr>
              <w:pStyle w:val="52"/>
              <w:adjustRightInd w:val="0"/>
              <w:snapToGrid w:val="0"/>
              <w:spacing w:line="360" w:lineRule="auto"/>
              <w:rPr>
                <w:color w:val="auto"/>
              </w:rPr>
            </w:pPr>
            <w:r>
              <w:rPr>
                <w:rFonts w:hint="eastAsia" w:eastAsia="宋体"/>
                <w:color w:val="auto"/>
                <w:lang w:val="en-US" w:eastAsia="zh-CN"/>
              </w:rPr>
              <w:t>75.4</w:t>
            </w:r>
            <w:r>
              <w:rPr>
                <w:color w:val="auto"/>
              </w:rPr>
              <w:t>mg/L</w:t>
            </w:r>
          </w:p>
        </w:tc>
        <w:tc>
          <w:tcPr>
            <w:tcW w:w="1482" w:type="pct"/>
            <w:noWrap w:val="0"/>
            <w:vAlign w:val="center"/>
          </w:tcPr>
          <w:p>
            <w:pPr>
              <w:pStyle w:val="52"/>
              <w:adjustRightInd w:val="0"/>
              <w:snapToGrid w:val="0"/>
              <w:spacing w:line="360" w:lineRule="auto"/>
              <w:rPr>
                <w:rFonts w:eastAsia="宋体"/>
                <w:color w:val="auto"/>
              </w:rPr>
            </w:pPr>
            <w:r>
              <w:rPr>
                <w:rFonts w:hint="eastAsia" w:eastAsia="宋体"/>
                <w:color w:val="auto"/>
              </w:rPr>
              <w:t>300</w:t>
            </w:r>
          </w:p>
        </w:tc>
        <w:tc>
          <w:tcPr>
            <w:tcW w:w="952" w:type="pct"/>
            <w:vMerge w:val="continue"/>
            <w:noWrap w:val="0"/>
            <w:vAlign w:val="center"/>
          </w:tcPr>
          <w:p>
            <w:pPr>
              <w:pStyle w:val="52"/>
              <w:adjustRightInd w:val="0"/>
              <w:snapToGrid w:val="0"/>
              <w:spacing w:line="360" w:lineRule="auto"/>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42" w:type="pct"/>
            <w:vMerge w:val="continue"/>
            <w:noWrap w:val="0"/>
            <w:vAlign w:val="center"/>
          </w:tcPr>
          <w:p>
            <w:pPr>
              <w:pStyle w:val="52"/>
              <w:adjustRightInd w:val="0"/>
              <w:snapToGrid w:val="0"/>
              <w:spacing w:line="360" w:lineRule="auto"/>
              <w:rPr>
                <w:color w:val="auto"/>
              </w:rPr>
            </w:pPr>
          </w:p>
        </w:tc>
        <w:tc>
          <w:tcPr>
            <w:tcW w:w="976" w:type="pct"/>
            <w:noWrap w:val="0"/>
            <w:vAlign w:val="center"/>
          </w:tcPr>
          <w:p>
            <w:pPr>
              <w:pStyle w:val="52"/>
              <w:adjustRightInd w:val="0"/>
              <w:snapToGrid w:val="0"/>
              <w:spacing w:line="360" w:lineRule="auto"/>
              <w:rPr>
                <w:color w:val="auto"/>
              </w:rPr>
            </w:pPr>
            <w:r>
              <w:rPr>
                <w:color w:val="auto"/>
              </w:rPr>
              <w:t>SS</w:t>
            </w:r>
          </w:p>
        </w:tc>
        <w:tc>
          <w:tcPr>
            <w:tcW w:w="1048" w:type="pct"/>
            <w:noWrap w:val="0"/>
            <w:vAlign w:val="top"/>
          </w:tcPr>
          <w:p>
            <w:pPr>
              <w:pStyle w:val="52"/>
              <w:adjustRightInd w:val="0"/>
              <w:snapToGrid w:val="0"/>
              <w:spacing w:line="360" w:lineRule="auto"/>
              <w:rPr>
                <w:color w:val="auto"/>
              </w:rPr>
            </w:pPr>
            <w:r>
              <w:rPr>
                <w:rFonts w:hint="eastAsia" w:eastAsia="宋体"/>
                <w:color w:val="auto"/>
                <w:lang w:val="en-US" w:eastAsia="zh-CN"/>
              </w:rPr>
              <w:t>4</w:t>
            </w:r>
            <w:r>
              <w:rPr>
                <w:color w:val="auto"/>
              </w:rPr>
              <w:t>mg/L</w:t>
            </w:r>
          </w:p>
        </w:tc>
        <w:tc>
          <w:tcPr>
            <w:tcW w:w="1482" w:type="pct"/>
            <w:noWrap w:val="0"/>
            <w:vAlign w:val="center"/>
          </w:tcPr>
          <w:p>
            <w:pPr>
              <w:pStyle w:val="52"/>
              <w:adjustRightInd w:val="0"/>
              <w:snapToGrid w:val="0"/>
              <w:spacing w:line="360" w:lineRule="auto"/>
              <w:rPr>
                <w:rFonts w:eastAsia="宋体"/>
                <w:color w:val="auto"/>
              </w:rPr>
            </w:pPr>
            <w:r>
              <w:rPr>
                <w:rFonts w:hint="eastAsia" w:eastAsia="宋体"/>
                <w:color w:val="auto"/>
              </w:rPr>
              <w:t>40</w:t>
            </w:r>
            <w:r>
              <w:rPr>
                <w:rFonts w:eastAsia="宋体"/>
                <w:color w:val="auto"/>
              </w:rPr>
              <w:t>0</w:t>
            </w:r>
          </w:p>
        </w:tc>
        <w:tc>
          <w:tcPr>
            <w:tcW w:w="952" w:type="pct"/>
            <w:vMerge w:val="continue"/>
            <w:noWrap w:val="0"/>
            <w:vAlign w:val="center"/>
          </w:tcPr>
          <w:p>
            <w:pPr>
              <w:pStyle w:val="52"/>
              <w:adjustRightInd w:val="0"/>
              <w:snapToGrid w:val="0"/>
              <w:spacing w:line="360" w:lineRule="auto"/>
              <w:rPr>
                <w:color w:val="auto"/>
              </w:rPr>
            </w:pPr>
          </w:p>
        </w:tc>
      </w:tr>
    </w:tbl>
    <w:p>
      <w:pPr>
        <w:spacing w:line="360" w:lineRule="auto"/>
        <w:ind w:firstLine="480" w:firstLineChars="200"/>
      </w:pPr>
      <w:r>
        <w:rPr>
          <w:rFonts w:hint="eastAsia" w:ascii="Times New Roman" w:hAnsi="宋体" w:eastAsia="宋体"/>
          <w:bCs/>
          <w:sz w:val="24"/>
          <w:szCs w:val="24"/>
        </w:rPr>
        <w:t>据此可知，企业废水污染物浓度低，且经过园区配套的化粪池预处理后污染物浓度可进一步降低，因此，企业废水可以达标排放。</w:t>
      </w:r>
    </w:p>
    <w:p>
      <w:pPr>
        <w:spacing w:line="360" w:lineRule="auto"/>
        <w:ind w:firstLine="480" w:firstLineChars="200"/>
        <w:rPr>
          <w:rFonts w:ascii="宋体" w:hAnsi="宋体" w:eastAsia="宋体"/>
          <w:bCs/>
          <w:sz w:val="24"/>
          <w:szCs w:val="24"/>
        </w:rPr>
      </w:pPr>
      <w:r>
        <w:rPr>
          <w:rFonts w:ascii="宋体" w:hAnsi="宋体" w:eastAsia="宋体"/>
          <w:bCs/>
          <w:sz w:val="24"/>
          <w:szCs w:val="24"/>
        </w:rPr>
        <w:t>根据</w:t>
      </w:r>
      <w:r>
        <w:rPr>
          <w:rFonts w:hint="eastAsia" w:ascii="宋体" w:hAnsi="宋体" w:eastAsia="宋体"/>
          <w:bCs/>
          <w:sz w:val="24"/>
          <w:szCs w:val="24"/>
          <w:lang w:eastAsia="zh-CN"/>
        </w:rPr>
        <w:t>湖南</w:t>
      </w:r>
      <w:r>
        <w:rPr>
          <w:rFonts w:hint="eastAsia" w:ascii="宋体" w:hAnsi="宋体" w:eastAsia="宋体"/>
          <w:bCs/>
          <w:sz w:val="24"/>
          <w:szCs w:val="24"/>
          <w:lang w:val="en-US" w:eastAsia="zh-CN"/>
        </w:rPr>
        <w:t>正霖检测</w:t>
      </w:r>
      <w:r>
        <w:rPr>
          <w:rFonts w:hint="eastAsia" w:ascii="宋体" w:hAnsi="宋体" w:eastAsia="宋体"/>
          <w:bCs/>
          <w:sz w:val="24"/>
          <w:szCs w:val="24"/>
          <w:lang w:eastAsia="zh-CN"/>
        </w:rPr>
        <w:t>有限公司</w:t>
      </w:r>
      <w:r>
        <w:rPr>
          <w:rFonts w:ascii="宋体" w:hAnsi="宋体" w:eastAsia="宋体"/>
          <w:bCs/>
          <w:sz w:val="24"/>
          <w:szCs w:val="24"/>
        </w:rPr>
        <w:t>于 20</w:t>
      </w:r>
      <w:r>
        <w:rPr>
          <w:rFonts w:hint="eastAsia" w:ascii="宋体" w:hAnsi="宋体" w:eastAsia="宋体"/>
          <w:bCs/>
          <w:sz w:val="24"/>
          <w:szCs w:val="24"/>
          <w:lang w:val="en-US" w:eastAsia="zh-CN"/>
        </w:rPr>
        <w:t>23</w:t>
      </w:r>
      <w:r>
        <w:rPr>
          <w:rFonts w:ascii="宋体" w:hAnsi="宋体" w:eastAsia="宋体"/>
          <w:bCs/>
          <w:sz w:val="24"/>
          <w:szCs w:val="24"/>
        </w:rPr>
        <w:t>年</w:t>
      </w:r>
      <w:r>
        <w:rPr>
          <w:rFonts w:hint="eastAsia" w:ascii="宋体" w:hAnsi="宋体" w:eastAsia="宋体"/>
          <w:bCs/>
          <w:sz w:val="24"/>
          <w:szCs w:val="24"/>
          <w:lang w:val="en-US" w:eastAsia="zh-CN"/>
        </w:rPr>
        <w:t>9</w:t>
      </w:r>
      <w:r>
        <w:rPr>
          <w:rFonts w:ascii="宋体" w:hAnsi="宋体" w:eastAsia="宋体"/>
          <w:bCs/>
          <w:sz w:val="24"/>
          <w:szCs w:val="24"/>
        </w:rPr>
        <w:t>月</w:t>
      </w:r>
      <w:r>
        <w:rPr>
          <w:rFonts w:hint="eastAsia" w:ascii="宋体" w:hAnsi="宋体" w:eastAsia="宋体"/>
          <w:bCs/>
          <w:sz w:val="24"/>
          <w:szCs w:val="24"/>
          <w:lang w:val="en-US" w:eastAsia="zh-CN"/>
        </w:rPr>
        <w:t>6</w:t>
      </w:r>
      <w:r>
        <w:rPr>
          <w:rFonts w:hint="eastAsia" w:ascii="宋体" w:hAnsi="宋体" w:eastAsia="宋体"/>
          <w:bCs/>
          <w:sz w:val="24"/>
          <w:szCs w:val="24"/>
        </w:rPr>
        <w:t>日</w:t>
      </w:r>
      <w:r>
        <w:rPr>
          <w:rFonts w:ascii="宋体" w:hAnsi="宋体" w:eastAsia="宋体"/>
          <w:bCs/>
          <w:sz w:val="24"/>
          <w:szCs w:val="24"/>
        </w:rPr>
        <w:t>对企业废水的监测；生活废水在经过污水处理设备处理后能达到《污水综合排放标准》（GB8978-1996）</w:t>
      </w:r>
      <w:r>
        <w:rPr>
          <w:rFonts w:hint="eastAsia" w:ascii="宋体" w:hAnsi="宋体" w:eastAsia="宋体"/>
          <w:bCs/>
          <w:sz w:val="24"/>
          <w:szCs w:val="24"/>
        </w:rPr>
        <w:t>表4</w:t>
      </w:r>
      <w:r>
        <w:rPr>
          <w:rFonts w:ascii="宋体" w:hAnsi="宋体" w:eastAsia="宋体"/>
          <w:bCs/>
          <w:sz w:val="24"/>
          <w:szCs w:val="24"/>
        </w:rPr>
        <w:t>中</w:t>
      </w:r>
      <w:r>
        <w:rPr>
          <w:rFonts w:hint="eastAsia" w:ascii="宋体" w:hAnsi="宋体" w:eastAsia="宋体"/>
          <w:bCs/>
          <w:sz w:val="24"/>
          <w:szCs w:val="24"/>
        </w:rPr>
        <w:t>三</w:t>
      </w:r>
      <w:r>
        <w:rPr>
          <w:rFonts w:ascii="宋体" w:hAnsi="宋体" w:eastAsia="宋体"/>
          <w:bCs/>
          <w:sz w:val="24"/>
          <w:szCs w:val="24"/>
        </w:rPr>
        <w:t>级排放标准见表 3-1</w:t>
      </w:r>
      <w:r>
        <w:rPr>
          <w:rFonts w:hint="eastAsia" w:ascii="宋体" w:hAnsi="宋体" w:eastAsia="宋体"/>
          <w:bCs/>
          <w:sz w:val="24"/>
          <w:szCs w:val="24"/>
          <w:lang w:val="en-US" w:eastAsia="zh-CN"/>
        </w:rPr>
        <w:t>4</w:t>
      </w:r>
      <w:r>
        <w:rPr>
          <w:rFonts w:ascii="宋体" w:hAnsi="宋体" w:eastAsia="宋体"/>
          <w:bCs/>
          <w:sz w:val="24"/>
          <w:szCs w:val="24"/>
        </w:rPr>
        <w:t>。</w:t>
      </w:r>
    </w:p>
    <w:p>
      <w:pPr>
        <w:spacing w:beforeLines="50" w:line="360" w:lineRule="auto"/>
        <w:jc w:val="center"/>
        <w:rPr>
          <w:rFonts w:hint="eastAsia" w:ascii="Times New Roman" w:hAnsi="Times New Roman" w:eastAsia="宋体"/>
          <w:b/>
          <w:sz w:val="24"/>
          <w:szCs w:val="24"/>
        </w:rPr>
      </w:pPr>
    </w:p>
    <w:p>
      <w:pPr>
        <w:spacing w:beforeLines="50" w:line="360" w:lineRule="auto"/>
        <w:jc w:val="center"/>
        <w:rPr>
          <w:rFonts w:hint="eastAsia" w:ascii="Times New Roman" w:hAnsi="Times New Roman" w:eastAsia="宋体"/>
          <w:b/>
          <w:sz w:val="24"/>
          <w:szCs w:val="24"/>
        </w:rPr>
      </w:pPr>
    </w:p>
    <w:p>
      <w:pPr>
        <w:spacing w:beforeLines="50" w:line="360" w:lineRule="auto"/>
        <w:jc w:val="center"/>
        <w:rPr>
          <w:rFonts w:ascii="Times New Roman" w:hAnsi="Times New Roman" w:eastAsia="宋体"/>
          <w:b/>
          <w:sz w:val="24"/>
          <w:szCs w:val="24"/>
        </w:rPr>
      </w:pPr>
      <w:r>
        <w:rPr>
          <w:rFonts w:hint="eastAsia" w:ascii="Times New Roman" w:hAnsi="Times New Roman" w:eastAsia="宋体"/>
          <w:b/>
          <w:sz w:val="24"/>
          <w:szCs w:val="24"/>
        </w:rPr>
        <w:t>表3-1</w:t>
      </w:r>
      <w:r>
        <w:rPr>
          <w:rFonts w:hint="eastAsia" w:ascii="Times New Roman" w:hAnsi="Times New Roman" w:eastAsia="宋体"/>
          <w:b/>
          <w:sz w:val="24"/>
          <w:szCs w:val="24"/>
          <w:lang w:val="en-US" w:eastAsia="zh-CN"/>
        </w:rPr>
        <w:t>4</w:t>
      </w:r>
      <w:r>
        <w:rPr>
          <w:rFonts w:hint="eastAsia" w:ascii="Times New Roman" w:hAnsi="Times New Roman" w:eastAsia="宋体"/>
          <w:b/>
          <w:sz w:val="24"/>
          <w:szCs w:val="24"/>
        </w:rPr>
        <w:t xml:space="preserve">  废水检测数据</w:t>
      </w:r>
    </w:p>
    <w:p>
      <w:pPr>
        <w:spacing w:beforeLines="50" w:line="360" w:lineRule="auto"/>
        <w:jc w:val="center"/>
        <w:rPr>
          <w:rFonts w:ascii="Times New Roman" w:hAnsi="Times New Roman" w:eastAsia="宋体"/>
          <w:b/>
          <w:sz w:val="24"/>
          <w:szCs w:val="24"/>
        </w:rPr>
      </w:pPr>
      <w:r>
        <w:drawing>
          <wp:inline distT="0" distB="0" distL="114300" distR="114300">
            <wp:extent cx="5268595" cy="4594860"/>
            <wp:effectExtent l="0" t="0" r="8255" b="1524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9"/>
                    <a:stretch>
                      <a:fillRect/>
                    </a:stretch>
                  </pic:blipFill>
                  <pic:spPr>
                    <a:xfrm>
                      <a:off x="0" y="0"/>
                      <a:ext cx="5268595" cy="4594860"/>
                    </a:xfrm>
                    <a:prstGeom prst="rect">
                      <a:avLst/>
                    </a:prstGeom>
                    <a:noFill/>
                    <a:ln>
                      <a:noFill/>
                    </a:ln>
                  </pic:spPr>
                </pic:pic>
              </a:graphicData>
            </a:graphic>
          </wp:inline>
        </w:drawing>
      </w:r>
    </w:p>
    <w:p>
      <w:pPr>
        <w:pStyle w:val="6"/>
        <w:keepLines w:val="0"/>
        <w:widowControl w:val="0"/>
        <w:adjustRightInd/>
        <w:snapToGrid/>
        <w:spacing w:before="0" w:after="0" w:line="360" w:lineRule="auto"/>
        <w:rPr>
          <w:rFonts w:ascii="Times New Roman" w:hAnsi="Times New Roman"/>
          <w:bCs w:val="0"/>
          <w:sz w:val="24"/>
        </w:rPr>
      </w:pPr>
      <w:r>
        <w:rPr>
          <w:rFonts w:hint="eastAsia" w:ascii="Times New Roman" w:hAnsi="Times New Roman"/>
          <w:bCs w:val="0"/>
          <w:sz w:val="24"/>
        </w:rPr>
        <w:t>3.2.2.4废气的产生、治理及排放</w:t>
      </w:r>
    </w:p>
    <w:p>
      <w:pPr>
        <w:spacing w:line="360" w:lineRule="auto"/>
        <w:ind w:firstLine="480" w:firstLineChars="200"/>
        <w:rPr>
          <w:rFonts w:hint="eastAsia" w:ascii="Times New Roman" w:eastAsia="宋体"/>
          <w:sz w:val="24"/>
          <w:szCs w:val="24"/>
        </w:rPr>
      </w:pPr>
      <w:r>
        <w:rPr>
          <w:rFonts w:hint="eastAsia" w:ascii="Times New Roman" w:eastAsia="宋体"/>
          <w:sz w:val="24"/>
          <w:szCs w:val="24"/>
        </w:rPr>
        <w:t>（1）废气的产生</w:t>
      </w:r>
    </w:p>
    <w:p>
      <w:pPr>
        <w:spacing w:line="360" w:lineRule="auto"/>
        <w:ind w:firstLine="480" w:firstLineChars="200"/>
        <w:rPr>
          <w:rFonts w:hint="eastAsia" w:ascii="Times New Roman" w:eastAsia="宋体"/>
          <w:sz w:val="24"/>
          <w:szCs w:val="24"/>
        </w:rPr>
      </w:pPr>
      <w:r>
        <w:rPr>
          <w:rFonts w:hint="eastAsia" w:ascii="Times New Roman" w:eastAsia="宋体"/>
          <w:sz w:val="24"/>
          <w:szCs w:val="24"/>
        </w:rPr>
        <w:t>废气主要为发泡车间注料过程产生的非甲</w:t>
      </w:r>
      <w:r>
        <w:rPr>
          <w:rFonts w:hint="eastAsia" w:ascii="Times New Roman" w:eastAsia="宋体"/>
          <w:sz w:val="24"/>
          <w:szCs w:val="24"/>
          <w:lang w:val="en-US" w:eastAsia="zh-CN"/>
        </w:rPr>
        <w:t>烷</w:t>
      </w:r>
      <w:r>
        <w:rPr>
          <w:rFonts w:hint="eastAsia" w:ascii="Times New Roman" w:eastAsia="宋体"/>
          <w:sz w:val="24"/>
          <w:szCs w:val="24"/>
        </w:rPr>
        <w:t>总经、补胶</w:t>
      </w:r>
      <w:r>
        <w:rPr>
          <w:rFonts w:hint="eastAsia" w:ascii="Times New Roman" w:eastAsia="宋体"/>
          <w:sz w:val="24"/>
          <w:szCs w:val="24"/>
          <w:lang w:val="en-US" w:eastAsia="zh-CN"/>
        </w:rPr>
        <w:t>废</w:t>
      </w:r>
      <w:r>
        <w:rPr>
          <w:rFonts w:hint="eastAsia" w:ascii="Times New Roman" w:eastAsia="宋体"/>
          <w:sz w:val="24"/>
          <w:szCs w:val="24"/>
        </w:rPr>
        <w:t>气和座椅骨</w:t>
      </w:r>
      <w:r>
        <w:rPr>
          <w:rFonts w:hint="eastAsia" w:ascii="Times New Roman" w:eastAsia="宋体"/>
          <w:sz w:val="24"/>
          <w:szCs w:val="24"/>
          <w:lang w:val="en-US" w:eastAsia="zh-CN"/>
        </w:rPr>
        <w:t>架</w:t>
      </w:r>
      <w:r>
        <w:rPr>
          <w:rFonts w:hint="eastAsia" w:ascii="Times New Roman" w:eastAsia="宋体"/>
          <w:sz w:val="24"/>
          <w:szCs w:val="24"/>
        </w:rPr>
        <w:t>焊接过程中产生的焊接烟气。发泡车问高压发泡机</w:t>
      </w:r>
      <w:r>
        <w:rPr>
          <w:rFonts w:hint="eastAsia" w:ascii="Times New Roman" w:eastAsia="宋体"/>
          <w:sz w:val="24"/>
          <w:szCs w:val="24"/>
          <w:lang w:val="en-US" w:eastAsia="zh-CN"/>
        </w:rPr>
        <w:t>浇筑头</w:t>
      </w:r>
      <w:r>
        <w:rPr>
          <w:rFonts w:hint="eastAsia" w:ascii="Times New Roman" w:eastAsia="宋体"/>
          <w:sz w:val="24"/>
          <w:szCs w:val="24"/>
        </w:rPr>
        <w:t>与模具上方安装集气</w:t>
      </w:r>
      <w:r>
        <w:rPr>
          <w:rFonts w:hint="eastAsia" w:ascii="Times New Roman" w:eastAsia="宋体"/>
          <w:sz w:val="24"/>
          <w:szCs w:val="24"/>
          <w:lang w:val="en-US" w:eastAsia="zh-CN"/>
        </w:rPr>
        <w:t>罩</w:t>
      </w:r>
      <w:r>
        <w:rPr>
          <w:rFonts w:hint="eastAsia" w:ascii="Times New Roman" w:eastAsia="宋体"/>
          <w:sz w:val="24"/>
          <w:szCs w:val="24"/>
        </w:rPr>
        <w:t>，用集气罩将废气收集，由15</w:t>
      </w:r>
      <w:r>
        <w:rPr>
          <w:rFonts w:hint="eastAsia" w:ascii="Times New Roman" w:eastAsia="宋体"/>
          <w:sz w:val="24"/>
          <w:szCs w:val="24"/>
          <w:lang w:val="en-US" w:eastAsia="zh-CN"/>
        </w:rPr>
        <w:t>米</w:t>
      </w:r>
      <w:r>
        <w:rPr>
          <w:rFonts w:hint="eastAsia" w:ascii="Times New Roman" w:eastAsia="宋体"/>
          <w:sz w:val="24"/>
          <w:szCs w:val="24"/>
        </w:rPr>
        <w:t>高排气筒排放，发泡车间中还有10%的气体未</w:t>
      </w:r>
      <w:r>
        <w:rPr>
          <w:rFonts w:hint="eastAsia" w:ascii="Times New Roman" w:eastAsia="宋体"/>
          <w:sz w:val="24"/>
          <w:szCs w:val="24"/>
          <w:lang w:val="en-US" w:eastAsia="zh-CN"/>
        </w:rPr>
        <w:t>被</w:t>
      </w:r>
      <w:r>
        <w:rPr>
          <w:rFonts w:hint="eastAsia" w:ascii="Times New Roman" w:eastAsia="宋体"/>
          <w:sz w:val="24"/>
          <w:szCs w:val="24"/>
        </w:rPr>
        <w:t>集气罩收集，通过车同通风以无组织形式排放；补胶过程会产生少量有机废气，补胶废气无组织排放，由于补胶的工程量较小，产生的废气量较少；座椅骨架在弧焊机器人焊接过程中会产生焊接烟尘，焊接烟尘主要是烟尘颗粒，烟尘产生量很小，项目设置了两套焊接烟尘收集系统，弧焊机器人间及焊接工位通过集气罩收集焊接烟尘，由两个15m高烟尘排气简排放到车间外。</w:t>
      </w:r>
    </w:p>
    <w:p>
      <w:pPr>
        <w:spacing w:line="360" w:lineRule="auto"/>
        <w:ind w:firstLine="480" w:firstLineChars="200"/>
        <w:rPr>
          <w:rFonts w:hint="eastAsia" w:ascii="Times New Roman" w:eastAsia="宋体"/>
          <w:sz w:val="24"/>
          <w:szCs w:val="24"/>
        </w:rPr>
      </w:pPr>
      <w:r>
        <w:rPr>
          <w:rFonts w:hint="eastAsia" w:ascii="Times New Roman" w:eastAsia="宋体"/>
          <w:sz w:val="24"/>
          <w:szCs w:val="24"/>
          <w:lang w:val="en-US" w:eastAsia="zh-CN"/>
        </w:rPr>
        <w:t>公司每台注塑机安装集气罩，收集效率</w:t>
      </w:r>
      <w:r>
        <w:rPr>
          <w:rFonts w:hint="default" w:ascii="Times New Roman" w:eastAsia="宋体"/>
          <w:sz w:val="24"/>
          <w:szCs w:val="24"/>
          <w:lang w:val="en-US" w:eastAsia="zh-CN"/>
        </w:rPr>
        <w:t>90%</w:t>
      </w:r>
      <w:r>
        <w:rPr>
          <w:rFonts w:hint="eastAsia" w:ascii="Times New Roman" w:eastAsia="宋体"/>
          <w:sz w:val="24"/>
          <w:szCs w:val="24"/>
          <w:lang w:val="en-US" w:eastAsia="zh-CN"/>
        </w:rPr>
        <w:t>以上，有机废气采取集气罩</w:t>
      </w:r>
      <w:r>
        <w:rPr>
          <w:rFonts w:hint="default" w:ascii="Times New Roman" w:eastAsia="宋体"/>
          <w:sz w:val="24"/>
          <w:szCs w:val="24"/>
          <w:lang w:val="en-US" w:eastAsia="zh-CN"/>
        </w:rPr>
        <w:t>+UV</w:t>
      </w:r>
      <w:r>
        <w:rPr>
          <w:rFonts w:hint="eastAsia" w:ascii="Times New Roman" w:eastAsia="宋体"/>
          <w:sz w:val="24"/>
          <w:szCs w:val="24"/>
          <w:lang w:val="en-US" w:eastAsia="zh-CN"/>
        </w:rPr>
        <w:t>光解</w:t>
      </w:r>
      <w:r>
        <w:rPr>
          <w:rFonts w:hint="default" w:ascii="Times New Roman" w:eastAsia="宋体"/>
          <w:sz w:val="24"/>
          <w:szCs w:val="24"/>
          <w:lang w:val="en-US" w:eastAsia="zh-CN"/>
        </w:rPr>
        <w:t>+</w:t>
      </w:r>
      <w:r>
        <w:rPr>
          <w:rFonts w:hint="eastAsia" w:ascii="Times New Roman" w:eastAsia="宋体"/>
          <w:sz w:val="24"/>
          <w:szCs w:val="24"/>
          <w:lang w:val="en-US" w:eastAsia="zh-CN"/>
        </w:rPr>
        <w:t>活性炭吸附</w:t>
      </w:r>
      <w:r>
        <w:rPr>
          <w:rFonts w:hint="default" w:ascii="Times New Roman" w:eastAsia="宋体"/>
          <w:sz w:val="24"/>
          <w:szCs w:val="24"/>
          <w:lang w:val="en-US" w:eastAsia="zh-CN"/>
        </w:rPr>
        <w:t>+15</w:t>
      </w:r>
      <w:r>
        <w:rPr>
          <w:rFonts w:hint="eastAsia" w:ascii="Times New Roman" w:eastAsia="宋体"/>
          <w:sz w:val="24"/>
          <w:szCs w:val="24"/>
          <w:lang w:val="en-US" w:eastAsia="zh-CN"/>
        </w:rPr>
        <w:t>米排气筒处理，根据《湖南省制造业（工业涂装）</w:t>
      </w:r>
      <w:r>
        <w:rPr>
          <w:rFonts w:hint="default" w:ascii="Times New Roman" w:eastAsia="宋体"/>
          <w:sz w:val="24"/>
          <w:szCs w:val="24"/>
          <w:lang w:val="en-US" w:eastAsia="zh-CN"/>
        </w:rPr>
        <w:t xml:space="preserve">VOCs </w:t>
      </w:r>
      <w:r>
        <w:rPr>
          <w:rFonts w:hint="eastAsia" w:ascii="Times New Roman" w:eastAsia="宋体"/>
          <w:sz w:val="24"/>
          <w:szCs w:val="24"/>
          <w:lang w:val="en-US" w:eastAsia="zh-CN"/>
        </w:rPr>
        <w:t>排放量测算技术指南》（试行）表</w:t>
      </w:r>
      <w:r>
        <w:rPr>
          <w:rFonts w:hint="default" w:ascii="Times New Roman" w:eastAsia="宋体"/>
          <w:sz w:val="24"/>
          <w:szCs w:val="24"/>
          <w:lang w:val="en-US" w:eastAsia="zh-CN"/>
        </w:rPr>
        <w:t xml:space="preserve">2 </w:t>
      </w:r>
      <w:r>
        <w:rPr>
          <w:rFonts w:hint="eastAsia" w:ascii="Times New Roman" w:eastAsia="宋体"/>
          <w:sz w:val="24"/>
          <w:szCs w:val="24"/>
          <w:lang w:val="en-US" w:eastAsia="zh-CN"/>
        </w:rPr>
        <w:t>常见有机废气治理设施处理效率，经计算，</w:t>
      </w:r>
      <w:r>
        <w:rPr>
          <w:rFonts w:hint="default" w:ascii="Times New Roman" w:eastAsia="宋体"/>
          <w:sz w:val="24"/>
          <w:szCs w:val="24"/>
          <w:lang w:val="en-US" w:eastAsia="zh-CN"/>
        </w:rPr>
        <w:t xml:space="preserve">UV </w:t>
      </w:r>
      <w:r>
        <w:rPr>
          <w:rFonts w:hint="eastAsia" w:ascii="Times New Roman" w:eastAsia="宋体"/>
          <w:sz w:val="24"/>
          <w:szCs w:val="24"/>
          <w:lang w:val="en-US" w:eastAsia="zh-CN"/>
        </w:rPr>
        <w:t>光解</w:t>
      </w:r>
      <w:r>
        <w:rPr>
          <w:rFonts w:hint="default" w:ascii="Times New Roman" w:eastAsia="宋体"/>
          <w:sz w:val="24"/>
          <w:szCs w:val="24"/>
          <w:lang w:val="en-US" w:eastAsia="zh-CN"/>
        </w:rPr>
        <w:t>+</w:t>
      </w:r>
      <w:r>
        <w:rPr>
          <w:rFonts w:hint="eastAsia" w:ascii="Times New Roman" w:eastAsia="宋体"/>
          <w:sz w:val="24"/>
          <w:szCs w:val="24"/>
          <w:lang w:val="en-US" w:eastAsia="zh-CN"/>
        </w:rPr>
        <w:t>活性炭吸附处理效率约为</w:t>
      </w:r>
      <w:r>
        <w:rPr>
          <w:rFonts w:hint="default" w:ascii="Times New Roman" w:eastAsia="宋体"/>
          <w:sz w:val="24"/>
          <w:szCs w:val="24"/>
          <w:lang w:val="en-US" w:eastAsia="zh-CN"/>
        </w:rPr>
        <w:t>94%</w:t>
      </w:r>
      <w:r>
        <w:rPr>
          <w:rFonts w:hint="eastAsia" w:ascii="Times New Roman" w:eastAsia="宋体"/>
          <w:sz w:val="24"/>
          <w:szCs w:val="24"/>
          <w:lang w:val="en-US" w:eastAsia="zh-CN"/>
        </w:rPr>
        <w:t>，风机风量按</w:t>
      </w:r>
      <w:r>
        <w:rPr>
          <w:rFonts w:hint="default" w:ascii="Times New Roman" w:eastAsia="宋体"/>
          <w:sz w:val="24"/>
          <w:szCs w:val="24"/>
          <w:lang w:val="en-US" w:eastAsia="zh-CN"/>
        </w:rPr>
        <w:t>4000m</w:t>
      </w:r>
      <w:r>
        <w:rPr>
          <w:rFonts w:hint="eastAsia" w:ascii="Times New Roman" w:eastAsia="宋体"/>
          <w:sz w:val="24"/>
          <w:szCs w:val="24"/>
          <w:lang w:val="en-US" w:eastAsia="zh-CN"/>
        </w:rPr>
        <w:t>³</w:t>
      </w:r>
      <w:r>
        <w:rPr>
          <w:rFonts w:hint="default" w:ascii="Times New Roman" w:eastAsia="宋体"/>
          <w:sz w:val="24"/>
          <w:szCs w:val="24"/>
          <w:lang w:val="en-US" w:eastAsia="zh-CN"/>
        </w:rPr>
        <w:t>/h</w:t>
      </w:r>
      <w:r>
        <w:rPr>
          <w:rFonts w:hint="eastAsia" w:ascii="Times New Roman" w:eastAsia="宋体"/>
          <w:sz w:val="24"/>
          <w:szCs w:val="24"/>
          <w:lang w:val="en-US" w:eastAsia="zh-CN"/>
        </w:rPr>
        <w:t>算。则有组织废气非甲烷总烃产生量为</w:t>
      </w:r>
      <w:r>
        <w:rPr>
          <w:rFonts w:hint="default" w:ascii="Times New Roman" w:eastAsia="宋体"/>
          <w:sz w:val="24"/>
          <w:szCs w:val="24"/>
          <w:lang w:val="en-US" w:eastAsia="zh-CN"/>
        </w:rPr>
        <w:t>0.054t/a</w:t>
      </w:r>
      <w:r>
        <w:rPr>
          <w:rFonts w:hint="eastAsia" w:ascii="Times New Roman" w:eastAsia="宋体"/>
          <w:sz w:val="24"/>
          <w:szCs w:val="24"/>
          <w:lang w:val="en-US" w:eastAsia="zh-CN"/>
        </w:rPr>
        <w:t>，</w:t>
      </w:r>
      <w:r>
        <w:rPr>
          <w:rFonts w:hint="default" w:ascii="Times New Roman" w:eastAsia="宋体"/>
          <w:sz w:val="24"/>
          <w:szCs w:val="24"/>
          <w:lang w:val="en-US" w:eastAsia="zh-CN"/>
        </w:rPr>
        <w:t>0.0225kg/h</w:t>
      </w:r>
      <w:r>
        <w:rPr>
          <w:rFonts w:hint="eastAsia" w:ascii="Times New Roman" w:eastAsia="宋体"/>
          <w:sz w:val="24"/>
          <w:szCs w:val="24"/>
          <w:lang w:val="en-US" w:eastAsia="zh-CN"/>
        </w:rPr>
        <w:t>，排放浓度为</w:t>
      </w:r>
      <w:r>
        <w:rPr>
          <w:rFonts w:hint="default" w:ascii="Times New Roman" w:eastAsia="宋体"/>
          <w:sz w:val="24"/>
          <w:szCs w:val="24"/>
          <w:lang w:val="en-US" w:eastAsia="zh-CN"/>
        </w:rPr>
        <w:t>5.625mg/m</w:t>
      </w:r>
      <w:r>
        <w:rPr>
          <w:rFonts w:hint="eastAsia" w:ascii="Times New Roman" w:eastAsia="宋体"/>
          <w:sz w:val="24"/>
          <w:szCs w:val="24"/>
          <w:lang w:val="en-US" w:eastAsia="zh-CN"/>
        </w:rPr>
        <w:t>³，无组织非甲烷总烃产生量为</w:t>
      </w:r>
      <w:r>
        <w:rPr>
          <w:rFonts w:hint="default" w:ascii="Times New Roman" w:eastAsia="宋体"/>
          <w:sz w:val="24"/>
          <w:szCs w:val="24"/>
          <w:lang w:val="en-US" w:eastAsia="zh-CN"/>
        </w:rPr>
        <w:t>0.1t/a</w:t>
      </w:r>
      <w:r>
        <w:rPr>
          <w:rFonts w:hint="eastAsia" w:ascii="Times New Roman" w:eastAsia="宋体"/>
          <w:sz w:val="24"/>
          <w:szCs w:val="24"/>
          <w:lang w:val="en-US" w:eastAsia="zh-CN"/>
        </w:rPr>
        <w:t>，</w:t>
      </w:r>
      <w:r>
        <w:rPr>
          <w:rFonts w:hint="default" w:ascii="Times New Roman" w:eastAsia="宋体"/>
          <w:sz w:val="24"/>
          <w:szCs w:val="24"/>
          <w:lang w:val="en-US" w:eastAsia="zh-CN"/>
        </w:rPr>
        <w:t>0.042kg/h</w:t>
      </w:r>
      <w:r>
        <w:rPr>
          <w:rFonts w:hint="eastAsia" w:ascii="Times New Roman" w:eastAsia="宋体"/>
          <w:sz w:val="24"/>
          <w:szCs w:val="24"/>
          <w:lang w:val="en-US" w:eastAsia="zh-CN"/>
        </w:rPr>
        <w:t>。项目原料用量较少，设备为封闭电加热，且注意厂区通风，采取以上处理措施后，项目非甲烷总烃排放满足《合成树脂工业污染物排放标准》（</w:t>
      </w:r>
      <w:r>
        <w:rPr>
          <w:rFonts w:hint="default" w:ascii="Times New Roman" w:eastAsia="宋体"/>
          <w:sz w:val="24"/>
          <w:szCs w:val="24"/>
          <w:lang w:val="en-US" w:eastAsia="zh-CN"/>
        </w:rPr>
        <w:t>GB31572-2015</w:t>
      </w:r>
      <w:r>
        <w:rPr>
          <w:rFonts w:hint="eastAsia" w:ascii="Times New Roman" w:eastAsia="宋体"/>
          <w:sz w:val="24"/>
          <w:szCs w:val="24"/>
          <w:lang w:val="en-US" w:eastAsia="zh-CN"/>
        </w:rPr>
        <w:t>）排放浓度要求</w:t>
      </w:r>
    </w:p>
    <w:p>
      <w:pPr>
        <w:spacing w:line="360" w:lineRule="auto"/>
        <w:ind w:firstLine="480" w:firstLineChars="200"/>
        <w:rPr>
          <w:rFonts w:ascii="Times New Roman" w:eastAsia="宋体"/>
          <w:sz w:val="24"/>
          <w:szCs w:val="24"/>
        </w:rPr>
      </w:pPr>
      <w:r>
        <w:rPr>
          <w:rFonts w:hint="eastAsia" w:ascii="Times New Roman" w:eastAsia="宋体"/>
          <w:sz w:val="24"/>
          <w:szCs w:val="24"/>
        </w:rPr>
        <w:t>根据</w:t>
      </w:r>
      <w:r>
        <w:rPr>
          <w:rFonts w:hint="eastAsia" w:ascii="宋体" w:hAnsi="宋体" w:eastAsia="宋体"/>
          <w:bCs/>
          <w:sz w:val="24"/>
          <w:szCs w:val="24"/>
          <w:lang w:eastAsia="zh-CN"/>
        </w:rPr>
        <w:t>湖南</w:t>
      </w:r>
      <w:r>
        <w:rPr>
          <w:rFonts w:hint="eastAsia" w:ascii="宋体" w:hAnsi="宋体" w:eastAsia="宋体"/>
          <w:bCs/>
          <w:sz w:val="24"/>
          <w:szCs w:val="24"/>
          <w:lang w:val="en-US" w:eastAsia="zh-CN"/>
        </w:rPr>
        <w:t>正霖检测</w:t>
      </w:r>
      <w:r>
        <w:rPr>
          <w:rFonts w:hint="eastAsia" w:ascii="宋体" w:hAnsi="宋体" w:eastAsia="宋体"/>
          <w:bCs/>
          <w:sz w:val="24"/>
          <w:szCs w:val="24"/>
          <w:lang w:eastAsia="zh-CN"/>
        </w:rPr>
        <w:t>有限公司</w:t>
      </w:r>
      <w:r>
        <w:rPr>
          <w:rFonts w:ascii="宋体" w:hAnsi="宋体" w:eastAsia="宋体"/>
          <w:bCs/>
          <w:sz w:val="24"/>
          <w:szCs w:val="24"/>
        </w:rPr>
        <w:t>于 20</w:t>
      </w:r>
      <w:r>
        <w:rPr>
          <w:rFonts w:hint="eastAsia" w:ascii="宋体" w:hAnsi="宋体" w:eastAsia="宋体"/>
          <w:bCs/>
          <w:sz w:val="24"/>
          <w:szCs w:val="24"/>
          <w:lang w:val="en-US" w:eastAsia="zh-CN"/>
        </w:rPr>
        <w:t>23</w:t>
      </w:r>
      <w:r>
        <w:rPr>
          <w:rFonts w:ascii="宋体" w:hAnsi="宋体" w:eastAsia="宋体"/>
          <w:bCs/>
          <w:sz w:val="24"/>
          <w:szCs w:val="24"/>
        </w:rPr>
        <w:t>年</w:t>
      </w:r>
      <w:r>
        <w:rPr>
          <w:rFonts w:hint="eastAsia" w:ascii="宋体" w:hAnsi="宋体" w:eastAsia="宋体"/>
          <w:bCs/>
          <w:sz w:val="24"/>
          <w:szCs w:val="24"/>
          <w:lang w:val="en-US" w:eastAsia="zh-CN"/>
        </w:rPr>
        <w:t>9</w:t>
      </w:r>
      <w:r>
        <w:rPr>
          <w:rFonts w:ascii="宋体" w:hAnsi="宋体" w:eastAsia="宋体"/>
          <w:bCs/>
          <w:sz w:val="24"/>
          <w:szCs w:val="24"/>
        </w:rPr>
        <w:t>月</w:t>
      </w:r>
      <w:r>
        <w:rPr>
          <w:rFonts w:hint="eastAsia" w:ascii="宋体" w:hAnsi="宋体" w:eastAsia="宋体"/>
          <w:bCs/>
          <w:sz w:val="24"/>
          <w:szCs w:val="24"/>
          <w:lang w:val="en-US" w:eastAsia="zh-CN"/>
        </w:rPr>
        <w:t>6</w:t>
      </w:r>
      <w:r>
        <w:rPr>
          <w:rFonts w:hint="eastAsia" w:ascii="宋体" w:hAnsi="宋体" w:eastAsia="宋体"/>
          <w:bCs/>
          <w:sz w:val="24"/>
          <w:szCs w:val="24"/>
        </w:rPr>
        <w:t>日</w:t>
      </w:r>
      <w:r>
        <w:rPr>
          <w:rFonts w:hint="eastAsia" w:ascii="Times New Roman" w:eastAsia="宋体"/>
          <w:sz w:val="24"/>
          <w:szCs w:val="24"/>
        </w:rPr>
        <w:t>对企业生产废气的监测，生产废气经过处理后达到了《大气污染物综合排放标准》（GB16297-1996）中表2二级标准限值，检测结果详情见表3-1</w:t>
      </w:r>
      <w:r>
        <w:rPr>
          <w:rFonts w:hint="eastAsia" w:ascii="Times New Roman" w:eastAsia="宋体"/>
          <w:sz w:val="24"/>
          <w:szCs w:val="24"/>
          <w:lang w:val="en-US" w:eastAsia="zh-CN"/>
        </w:rPr>
        <w:t>5</w:t>
      </w:r>
      <w:r>
        <w:rPr>
          <w:rFonts w:hint="eastAsia" w:ascii="Times New Roman" w:eastAsia="宋体"/>
          <w:sz w:val="24"/>
          <w:szCs w:val="24"/>
        </w:rPr>
        <w:t xml:space="preserve">。 </w:t>
      </w:r>
    </w:p>
    <w:p>
      <w:pPr>
        <w:spacing w:line="360" w:lineRule="auto"/>
        <w:ind w:firstLine="482" w:firstLineChars="200"/>
        <w:jc w:val="center"/>
        <w:rPr>
          <w:rFonts w:ascii="Times New Roman" w:eastAsia="宋体"/>
          <w:b/>
          <w:sz w:val="24"/>
          <w:szCs w:val="24"/>
        </w:rPr>
      </w:pPr>
      <w:r>
        <w:rPr>
          <w:rFonts w:hint="eastAsia" w:ascii="Times New Roman" w:eastAsia="宋体"/>
          <w:b/>
          <w:sz w:val="24"/>
          <w:szCs w:val="24"/>
        </w:rPr>
        <w:t>表3-1</w:t>
      </w:r>
      <w:r>
        <w:rPr>
          <w:rFonts w:hint="eastAsia" w:ascii="Times New Roman" w:eastAsia="宋体"/>
          <w:b/>
          <w:sz w:val="24"/>
          <w:szCs w:val="24"/>
          <w:lang w:val="en-US" w:eastAsia="zh-CN"/>
        </w:rPr>
        <w:t>5</w:t>
      </w:r>
      <w:r>
        <w:rPr>
          <w:rFonts w:hint="eastAsia" w:ascii="Times New Roman" w:eastAsia="宋体"/>
          <w:b/>
          <w:sz w:val="24"/>
          <w:szCs w:val="24"/>
        </w:rPr>
        <w:t xml:space="preserve">  </w:t>
      </w:r>
      <w:r>
        <w:rPr>
          <w:rFonts w:hint="eastAsia" w:ascii="Times New Roman" w:eastAsia="宋体"/>
          <w:b/>
          <w:sz w:val="24"/>
          <w:szCs w:val="24"/>
          <w:lang w:val="en-US" w:eastAsia="zh-CN"/>
        </w:rPr>
        <w:t>有</w:t>
      </w:r>
      <w:r>
        <w:rPr>
          <w:rFonts w:hint="eastAsia" w:ascii="Times New Roman" w:eastAsia="宋体"/>
          <w:b/>
          <w:sz w:val="24"/>
          <w:szCs w:val="24"/>
        </w:rPr>
        <w:t>组织废气检测结果</w:t>
      </w:r>
    </w:p>
    <w:p>
      <w:pPr>
        <w:spacing w:line="360" w:lineRule="auto"/>
        <w:jc w:val="center"/>
        <w:rPr>
          <w:rFonts w:ascii="Times New Roman" w:eastAsia="宋体"/>
          <w:b/>
          <w:sz w:val="24"/>
          <w:szCs w:val="24"/>
        </w:rPr>
      </w:pPr>
      <w:r>
        <w:drawing>
          <wp:inline distT="0" distB="0" distL="114300" distR="114300">
            <wp:extent cx="5274310" cy="2213610"/>
            <wp:effectExtent l="0" t="0" r="2540" b="1524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0"/>
                    <a:stretch>
                      <a:fillRect/>
                    </a:stretch>
                  </pic:blipFill>
                  <pic:spPr>
                    <a:xfrm>
                      <a:off x="0" y="0"/>
                      <a:ext cx="5274310" cy="2213610"/>
                    </a:xfrm>
                    <a:prstGeom prst="rect">
                      <a:avLst/>
                    </a:prstGeom>
                    <a:noFill/>
                    <a:ln>
                      <a:noFill/>
                    </a:ln>
                  </pic:spPr>
                </pic:pic>
              </a:graphicData>
            </a:graphic>
          </wp:inline>
        </w:drawing>
      </w:r>
      <w:r>
        <w:drawing>
          <wp:inline distT="0" distB="0" distL="114300" distR="114300">
            <wp:extent cx="5271135" cy="2245360"/>
            <wp:effectExtent l="0" t="0" r="5715" b="254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21"/>
                    <a:stretch>
                      <a:fillRect/>
                    </a:stretch>
                  </pic:blipFill>
                  <pic:spPr>
                    <a:xfrm>
                      <a:off x="0" y="0"/>
                      <a:ext cx="5271135" cy="2245360"/>
                    </a:xfrm>
                    <a:prstGeom prst="rect">
                      <a:avLst/>
                    </a:prstGeom>
                    <a:noFill/>
                    <a:ln>
                      <a:noFill/>
                    </a:ln>
                  </pic:spPr>
                </pic:pic>
              </a:graphicData>
            </a:graphic>
          </wp:inline>
        </w:drawing>
      </w:r>
      <w:r>
        <w:drawing>
          <wp:inline distT="0" distB="0" distL="114300" distR="114300">
            <wp:extent cx="5267960" cy="2218690"/>
            <wp:effectExtent l="0" t="0" r="8890" b="1016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22"/>
                    <a:stretch>
                      <a:fillRect/>
                    </a:stretch>
                  </pic:blipFill>
                  <pic:spPr>
                    <a:xfrm>
                      <a:off x="0" y="0"/>
                      <a:ext cx="5267960" cy="2218690"/>
                    </a:xfrm>
                    <a:prstGeom prst="rect">
                      <a:avLst/>
                    </a:prstGeom>
                    <a:noFill/>
                    <a:ln>
                      <a:noFill/>
                    </a:ln>
                  </pic:spPr>
                </pic:pic>
              </a:graphicData>
            </a:graphic>
          </wp:inline>
        </w:drawing>
      </w:r>
    </w:p>
    <w:p>
      <w:pPr>
        <w:pStyle w:val="6"/>
        <w:keepLines w:val="0"/>
        <w:widowControl w:val="0"/>
        <w:adjustRightInd/>
        <w:snapToGrid/>
        <w:spacing w:before="0" w:after="0" w:line="360" w:lineRule="auto"/>
        <w:rPr>
          <w:rFonts w:ascii="Times New Roman" w:hAnsi="Times New Roman"/>
          <w:bCs w:val="0"/>
          <w:color w:val="000000" w:themeColor="text1"/>
          <w:sz w:val="24"/>
        </w:rPr>
      </w:pPr>
      <w:r>
        <w:rPr>
          <w:rFonts w:hint="eastAsia" w:ascii="Times New Roman" w:hAnsi="Times New Roman"/>
          <w:bCs w:val="0"/>
          <w:color w:val="000000" w:themeColor="text1"/>
          <w:sz w:val="24"/>
        </w:rPr>
        <w:t>3.2.2.5固体废弃物产生与排放</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企业固体废物主要包括废异氢酸脂空桶、废修补胶桶及废活性炭以及生活办公垃圾等。</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（1）废异氢酸脂空桶</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在发泡生产过程中，会有废异氢酸脂空桶产生。产生量为9.3t。</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（2）废修补胶桶</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废修补胶桶主要为发泡修补工位，约0.2t/a，统一收集定期送交资质的单位进行合理处置。</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（3）废活性炭</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废活性炭主要是废气处理设施使用后产生约0.5t/a，经收集后定期送交资质的单位进行合理处置。定时将其送交有资质单位妥善处置。</w:t>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（4）企业现有员工133人，按每人每天产生生活垃圾0.5kg计算，则每年产生生活垃圾17.024t，由环卫部门外运处理。</w:t>
      </w:r>
    </w:p>
    <w:p>
      <w:pPr>
        <w:spacing w:line="360" w:lineRule="auto"/>
        <w:ind w:firstLine="482" w:firstLineChars="200"/>
        <w:jc w:val="center"/>
        <w:rPr>
          <w:rFonts w:hint="eastAsia" w:ascii="Times New Roman" w:eastAsia="宋体"/>
          <w:b/>
          <w:sz w:val="24"/>
          <w:szCs w:val="24"/>
        </w:rPr>
      </w:pPr>
      <w:r>
        <w:rPr>
          <w:rFonts w:hint="eastAsia" w:ascii="Times New Roman" w:eastAsia="宋体"/>
          <w:b/>
          <w:sz w:val="24"/>
          <w:szCs w:val="24"/>
        </w:rPr>
        <w:t>表</w:t>
      </w:r>
      <w:r>
        <w:rPr>
          <w:rFonts w:hint="eastAsia" w:ascii="Times New Roman" w:eastAsia="宋体"/>
          <w:b/>
          <w:sz w:val="24"/>
          <w:szCs w:val="24"/>
          <w:lang w:val="en-US" w:eastAsia="zh-CN"/>
        </w:rPr>
        <w:t>3</w:t>
      </w:r>
      <w:r>
        <w:rPr>
          <w:rFonts w:hint="eastAsia" w:ascii="Times New Roman" w:eastAsia="宋体"/>
          <w:b/>
          <w:sz w:val="24"/>
          <w:szCs w:val="24"/>
        </w:rPr>
        <w:t>-16  固体废弃物的产生及处置情况</w:t>
      </w:r>
    </w:p>
    <w:tbl>
      <w:tblPr>
        <w:tblStyle w:val="27"/>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16"/>
        <w:gridCol w:w="1630"/>
        <w:gridCol w:w="1358"/>
        <w:gridCol w:w="1275"/>
        <w:gridCol w:w="1305"/>
        <w:gridCol w:w="233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616"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序号</w:t>
            </w:r>
          </w:p>
        </w:tc>
        <w:tc>
          <w:tcPr>
            <w:tcW w:w="1630"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固废名称</w:t>
            </w:r>
          </w:p>
        </w:tc>
        <w:tc>
          <w:tcPr>
            <w:tcW w:w="1358"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污染源</w:t>
            </w:r>
          </w:p>
        </w:tc>
        <w:tc>
          <w:tcPr>
            <w:tcW w:w="1275"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固废属性</w:t>
            </w:r>
          </w:p>
        </w:tc>
        <w:tc>
          <w:tcPr>
            <w:tcW w:w="1305"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产生量（</w:t>
            </w:r>
            <w:r>
              <w:rPr>
                <w:rFonts w:ascii="Times New Roman" w:hAnsi="Times New Roman" w:cs="Times New Roman" w:eastAsiaTheme="minorEastAsia"/>
                <w:sz w:val="21"/>
                <w:szCs w:val="21"/>
                <w:lang w:val="zh-CN"/>
              </w:rPr>
              <w:t>t/a</w:t>
            </w:r>
            <w:r>
              <w:rPr>
                <w:rFonts w:ascii="Times New Roman" w:cs="Times New Roman" w:hAnsiTheme="minorEastAsia" w:eastAsiaTheme="minorEastAsia"/>
                <w:sz w:val="21"/>
                <w:szCs w:val="21"/>
                <w:lang w:val="zh-CN"/>
              </w:rPr>
              <w:t>）</w:t>
            </w:r>
          </w:p>
        </w:tc>
        <w:tc>
          <w:tcPr>
            <w:tcW w:w="2338"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处置方式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616" w:type="dxa"/>
            <w:vAlign w:val="center"/>
          </w:tcPr>
          <w:p>
            <w:pPr>
              <w:spacing w:beforeLines="20"/>
              <w:jc w:val="center"/>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1</w:t>
            </w:r>
          </w:p>
        </w:tc>
        <w:tc>
          <w:tcPr>
            <w:tcW w:w="1630" w:type="dxa"/>
            <w:vAlign w:val="center"/>
          </w:tcPr>
          <w:p>
            <w:pPr>
              <w:spacing w:beforeLines="20"/>
              <w:jc w:val="center"/>
              <w:rPr>
                <w:rFonts w:ascii="Times New Roman" w:cs="Times New Roman" w:hAnsiTheme="minorEastAsia" w:eastAsiaTheme="minorEastAsia"/>
                <w:sz w:val="21"/>
                <w:szCs w:val="21"/>
                <w:lang w:val="zh-CN"/>
              </w:rPr>
            </w:pPr>
            <w:r>
              <w:rPr>
                <w:rFonts w:hint="eastAsia" w:ascii="Times New Roman" w:cs="Times New Roman" w:hAnsiTheme="minorEastAsia" w:eastAsiaTheme="minorEastAsia"/>
                <w:sz w:val="21"/>
                <w:szCs w:val="21"/>
                <w:lang w:val="en-US" w:eastAsia="zh-CN"/>
              </w:rPr>
              <w:t>废异氢酸脂空桶</w:t>
            </w:r>
          </w:p>
        </w:tc>
        <w:tc>
          <w:tcPr>
            <w:tcW w:w="1358" w:type="dxa"/>
            <w:vAlign w:val="center"/>
          </w:tcPr>
          <w:p>
            <w:pPr>
              <w:spacing w:beforeLines="20"/>
              <w:jc w:val="center"/>
              <w:rPr>
                <w:rFonts w:ascii="Times New Roman" w:cs="Times New Roman" w:hAnsiTheme="minorEastAsia" w:eastAsiaTheme="minorEastAsia"/>
                <w:sz w:val="21"/>
                <w:szCs w:val="21"/>
                <w:lang w:val="zh-CN"/>
              </w:rPr>
            </w:pPr>
            <w:r>
              <w:rPr>
                <w:rFonts w:ascii="Times New Roman" w:cs="Times New Roman" w:hAnsiTheme="minorEastAsia" w:eastAsiaTheme="minorEastAsia"/>
                <w:sz w:val="21"/>
                <w:szCs w:val="21"/>
                <w:lang w:val="zh-CN"/>
              </w:rPr>
              <w:t>生产车间</w:t>
            </w:r>
          </w:p>
        </w:tc>
        <w:tc>
          <w:tcPr>
            <w:tcW w:w="1275"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危险废物</w:t>
            </w:r>
          </w:p>
        </w:tc>
        <w:tc>
          <w:tcPr>
            <w:tcW w:w="1305" w:type="dxa"/>
            <w:vAlign w:val="center"/>
          </w:tcPr>
          <w:p>
            <w:pPr>
              <w:spacing w:beforeLines="20"/>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kern w:val="2"/>
                <w:sz w:val="24"/>
                <w:szCs w:val="24"/>
                <w:lang w:val="en-US" w:eastAsia="zh-CN"/>
              </w:rPr>
              <w:t>9.3</w:t>
            </w:r>
          </w:p>
        </w:tc>
        <w:tc>
          <w:tcPr>
            <w:tcW w:w="2338" w:type="dxa"/>
            <w:vAlign w:val="center"/>
          </w:tcPr>
          <w:p>
            <w:pPr>
              <w:spacing w:beforeLines="20"/>
              <w:jc w:val="center"/>
              <w:rPr>
                <w:rFonts w:hint="eastAsia" w:ascii="Times New Roman" w:hAnsi="Times New Roman" w:cs="Times New Roman" w:eastAsiaTheme="minorEastAsia"/>
                <w:sz w:val="21"/>
                <w:szCs w:val="21"/>
                <w:lang w:val="en-US" w:eastAsia="zh-CN"/>
              </w:rPr>
            </w:pPr>
            <w:r>
              <w:rPr>
                <w:rFonts w:hint="eastAsia" w:ascii="Times New Roman" w:cs="Times New Roman" w:hAnsiTheme="minorEastAsia" w:eastAsiaTheme="minorEastAsia"/>
                <w:sz w:val="21"/>
                <w:szCs w:val="21"/>
              </w:rPr>
              <w:t>定期送交</w:t>
            </w:r>
            <w:r>
              <w:rPr>
                <w:rFonts w:ascii="Times New Roman" w:cs="Times New Roman" w:hAnsiTheme="minorEastAsia" w:eastAsiaTheme="minorEastAsia"/>
                <w:sz w:val="21"/>
                <w:szCs w:val="21"/>
              </w:rPr>
              <w:t>资质的单位进行合理处置</w:t>
            </w:r>
            <w:r>
              <w:rPr>
                <w:rFonts w:hint="eastAsia" w:ascii="Times New Roman" w:cs="Times New Roman" w:hAnsiTheme="minorEastAsia"/>
                <w:sz w:val="21"/>
                <w:szCs w:val="21"/>
                <w:lang w:val="en-US" w:eastAsia="zh-CN"/>
              </w:rPr>
              <w:t>利用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616" w:type="dxa"/>
            <w:vAlign w:val="center"/>
          </w:tcPr>
          <w:p>
            <w:pPr>
              <w:spacing w:beforeLines="20"/>
              <w:jc w:val="center"/>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2</w:t>
            </w:r>
          </w:p>
        </w:tc>
        <w:tc>
          <w:tcPr>
            <w:tcW w:w="1630" w:type="dxa"/>
            <w:vAlign w:val="center"/>
          </w:tcPr>
          <w:p>
            <w:pPr>
              <w:spacing w:beforeLines="20"/>
              <w:jc w:val="center"/>
              <w:rPr>
                <w:rFonts w:ascii="Times New Roman" w:cs="Times New Roman" w:hAnsiTheme="minorEastAsia" w:eastAsiaTheme="minorEastAsia"/>
                <w:sz w:val="21"/>
                <w:szCs w:val="21"/>
                <w:lang w:val="zh-CN"/>
              </w:rPr>
            </w:pPr>
            <w:r>
              <w:rPr>
                <w:rFonts w:hint="eastAsia" w:ascii="Times New Roman" w:cs="Times New Roman" w:hAnsiTheme="minorEastAsia" w:eastAsiaTheme="minorEastAsia"/>
                <w:sz w:val="21"/>
                <w:szCs w:val="21"/>
                <w:lang w:val="en-US" w:eastAsia="zh-CN"/>
              </w:rPr>
              <w:t>废修补胶桶</w:t>
            </w:r>
          </w:p>
        </w:tc>
        <w:tc>
          <w:tcPr>
            <w:tcW w:w="1358" w:type="dxa"/>
            <w:vAlign w:val="center"/>
          </w:tcPr>
          <w:p>
            <w:pPr>
              <w:spacing w:beforeLines="20"/>
              <w:jc w:val="center"/>
              <w:rPr>
                <w:rFonts w:ascii="Times New Roman" w:cs="Times New Roman" w:hAnsiTheme="minorEastAsia" w:eastAsiaTheme="minorEastAsia"/>
                <w:sz w:val="21"/>
                <w:szCs w:val="21"/>
                <w:lang w:val="zh-CN"/>
              </w:rPr>
            </w:pPr>
            <w:r>
              <w:rPr>
                <w:rFonts w:ascii="Times New Roman" w:cs="Times New Roman" w:hAnsiTheme="minorEastAsia" w:eastAsiaTheme="minorEastAsia"/>
                <w:sz w:val="21"/>
                <w:szCs w:val="21"/>
                <w:lang w:val="zh-CN"/>
              </w:rPr>
              <w:t>生产车间</w:t>
            </w:r>
          </w:p>
        </w:tc>
        <w:tc>
          <w:tcPr>
            <w:tcW w:w="1275"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危险废物</w:t>
            </w:r>
          </w:p>
        </w:tc>
        <w:tc>
          <w:tcPr>
            <w:tcW w:w="1305" w:type="dxa"/>
            <w:vAlign w:val="center"/>
          </w:tcPr>
          <w:p>
            <w:pPr>
              <w:spacing w:beforeLines="20"/>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kern w:val="2"/>
                <w:sz w:val="24"/>
                <w:szCs w:val="24"/>
                <w:lang w:val="en-US" w:eastAsia="zh-CN"/>
              </w:rPr>
              <w:t>0.2</w:t>
            </w:r>
          </w:p>
        </w:tc>
        <w:tc>
          <w:tcPr>
            <w:tcW w:w="2338" w:type="dxa"/>
            <w:vAlign w:val="center"/>
          </w:tcPr>
          <w:p>
            <w:pPr>
              <w:spacing w:beforeLines="20"/>
              <w:jc w:val="center"/>
              <w:rPr>
                <w:rFonts w:ascii="Times New Roman" w:hAnsi="Times New Roman" w:cs="Times New Roman" w:eastAsiaTheme="minorEastAsia"/>
                <w:sz w:val="21"/>
                <w:szCs w:val="21"/>
                <w:lang w:val="zh-CN"/>
              </w:rPr>
            </w:pPr>
            <w:r>
              <w:rPr>
                <w:rFonts w:hint="eastAsia" w:ascii="Times New Roman" w:cs="Times New Roman" w:hAnsiTheme="minorEastAsia" w:eastAsiaTheme="minorEastAsia"/>
                <w:sz w:val="21"/>
                <w:szCs w:val="21"/>
              </w:rPr>
              <w:t>定期送交</w:t>
            </w:r>
            <w:r>
              <w:rPr>
                <w:rFonts w:ascii="Times New Roman" w:cs="Times New Roman" w:hAnsiTheme="minorEastAsia" w:eastAsiaTheme="minorEastAsia"/>
                <w:sz w:val="21"/>
                <w:szCs w:val="21"/>
              </w:rPr>
              <w:t>资质的单位进行合理处置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616" w:type="dxa"/>
            <w:vAlign w:val="center"/>
          </w:tcPr>
          <w:p>
            <w:pPr>
              <w:spacing w:beforeLines="2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w:t>
            </w:r>
          </w:p>
        </w:tc>
        <w:tc>
          <w:tcPr>
            <w:tcW w:w="1630" w:type="dxa"/>
            <w:vAlign w:val="center"/>
          </w:tcPr>
          <w:p>
            <w:pPr>
              <w:spacing w:beforeLines="20"/>
              <w:jc w:val="center"/>
              <w:rPr>
                <w:rFonts w:hint="eastAsia" w:ascii="Times New Roman" w:cs="Times New Roman" w:hAnsiTheme="minorEastAsia" w:eastAsiaTheme="minorEastAsia"/>
                <w:sz w:val="21"/>
                <w:szCs w:val="21"/>
                <w:lang w:val="en-US" w:eastAsia="zh-CN"/>
              </w:rPr>
            </w:pPr>
            <w:r>
              <w:rPr>
                <w:rFonts w:hint="eastAsia" w:ascii="Times New Roman" w:cs="Times New Roman" w:hAnsiTheme="minorEastAsia" w:eastAsiaTheme="minorEastAsia"/>
                <w:sz w:val="21"/>
                <w:szCs w:val="21"/>
                <w:lang w:val="en-US" w:eastAsia="zh-CN"/>
              </w:rPr>
              <w:t>废活性炭</w:t>
            </w:r>
          </w:p>
        </w:tc>
        <w:tc>
          <w:tcPr>
            <w:tcW w:w="1358" w:type="dxa"/>
            <w:vAlign w:val="center"/>
          </w:tcPr>
          <w:p>
            <w:pPr>
              <w:spacing w:beforeLines="20"/>
              <w:jc w:val="center"/>
              <w:rPr>
                <w:rFonts w:ascii="Times New Roman" w:cs="Times New Roman" w:hAnsiTheme="minorEastAsia" w:eastAsiaTheme="minorEastAsia"/>
                <w:sz w:val="21"/>
                <w:szCs w:val="21"/>
                <w:lang w:val="zh-CN"/>
              </w:rPr>
            </w:pPr>
            <w:r>
              <w:rPr>
                <w:rFonts w:ascii="Times New Roman" w:cs="Times New Roman" w:hAnsiTheme="minorEastAsia" w:eastAsiaTheme="minorEastAsia"/>
                <w:sz w:val="21"/>
                <w:szCs w:val="21"/>
                <w:lang w:val="zh-CN"/>
              </w:rPr>
              <w:t>生产车间</w:t>
            </w:r>
          </w:p>
        </w:tc>
        <w:tc>
          <w:tcPr>
            <w:tcW w:w="1275" w:type="dxa"/>
            <w:vAlign w:val="center"/>
          </w:tcPr>
          <w:p>
            <w:pPr>
              <w:spacing w:beforeLines="20"/>
              <w:jc w:val="center"/>
              <w:rPr>
                <w:rFonts w:ascii="Times New Roman" w:cs="Times New Roman" w:hAnsiTheme="minorEastAsia" w:eastAsiaTheme="minorEastAsia"/>
                <w:sz w:val="21"/>
                <w:szCs w:val="21"/>
                <w:lang w:val="zh-CN"/>
              </w:rPr>
            </w:pPr>
            <w:r>
              <w:rPr>
                <w:rFonts w:ascii="Times New Roman" w:cs="Times New Roman" w:hAnsiTheme="minorEastAsia" w:eastAsiaTheme="minorEastAsia"/>
                <w:sz w:val="21"/>
                <w:szCs w:val="21"/>
                <w:lang w:val="zh-CN"/>
              </w:rPr>
              <w:t>危险废物</w:t>
            </w:r>
          </w:p>
        </w:tc>
        <w:tc>
          <w:tcPr>
            <w:tcW w:w="1305" w:type="dxa"/>
            <w:vAlign w:val="center"/>
          </w:tcPr>
          <w:p>
            <w:pPr>
              <w:spacing w:beforeLines="20"/>
              <w:jc w:val="center"/>
              <w:rPr>
                <w:rFonts w:hint="default" w:ascii="Times New Roman" w:hAnsi="Times New Roman" w:cs="Times New Roman" w:eastAsiaTheme="minorEastAsia"/>
                <w:kern w:val="2"/>
                <w:sz w:val="24"/>
                <w:szCs w:val="24"/>
                <w:lang w:val="en-US" w:eastAsia="zh-CN"/>
              </w:rPr>
            </w:pPr>
            <w:r>
              <w:rPr>
                <w:rFonts w:hint="eastAsia" w:ascii="Times New Roman" w:hAnsi="Times New Roman" w:cs="Times New Roman"/>
                <w:kern w:val="2"/>
                <w:sz w:val="24"/>
                <w:szCs w:val="24"/>
                <w:lang w:val="en-US" w:eastAsia="zh-CN"/>
              </w:rPr>
              <w:t>0.5</w:t>
            </w:r>
          </w:p>
        </w:tc>
        <w:tc>
          <w:tcPr>
            <w:tcW w:w="2338" w:type="dxa"/>
            <w:vAlign w:val="center"/>
          </w:tcPr>
          <w:p>
            <w:pPr>
              <w:spacing w:beforeLines="20"/>
              <w:jc w:val="center"/>
              <w:rPr>
                <w:rFonts w:hint="eastAsia" w:ascii="Times New Roman" w:cs="Times New Roman" w:hAnsiTheme="minorEastAsia" w:eastAsiaTheme="minorEastAsia"/>
                <w:sz w:val="21"/>
                <w:szCs w:val="21"/>
              </w:rPr>
            </w:pPr>
            <w:r>
              <w:rPr>
                <w:rFonts w:hint="eastAsia" w:ascii="Times New Roman" w:cs="Times New Roman" w:hAnsiTheme="minorEastAsia" w:eastAsiaTheme="minorEastAsia"/>
                <w:sz w:val="21"/>
                <w:szCs w:val="21"/>
              </w:rPr>
              <w:t>定期送交</w:t>
            </w:r>
            <w:r>
              <w:rPr>
                <w:rFonts w:ascii="Times New Roman" w:cs="Times New Roman" w:hAnsiTheme="minorEastAsia" w:eastAsiaTheme="minorEastAsia"/>
                <w:sz w:val="21"/>
                <w:szCs w:val="21"/>
              </w:rPr>
              <w:t>资质的单位进行合理处置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616" w:type="dxa"/>
            <w:vAlign w:val="center"/>
          </w:tcPr>
          <w:p>
            <w:pPr>
              <w:spacing w:beforeLines="20"/>
              <w:jc w:val="center"/>
              <w:rPr>
                <w:rFonts w:ascii="Times New Roman" w:hAnsi="Times New Roman" w:cs="Times New Roman" w:eastAsiaTheme="minorEastAsia"/>
                <w:sz w:val="21"/>
                <w:szCs w:val="21"/>
                <w:lang w:val="zh-CN"/>
              </w:rPr>
            </w:pPr>
            <w:r>
              <w:rPr>
                <w:rFonts w:hint="eastAsia" w:ascii="Times New Roman" w:hAnsi="Times New Roman" w:cs="Times New Roman" w:eastAsiaTheme="minorEastAsia"/>
                <w:sz w:val="21"/>
                <w:szCs w:val="21"/>
                <w:lang w:val="zh-CN"/>
              </w:rPr>
              <w:t>4</w:t>
            </w:r>
          </w:p>
        </w:tc>
        <w:tc>
          <w:tcPr>
            <w:tcW w:w="1630"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生活垃圾</w:t>
            </w:r>
          </w:p>
        </w:tc>
        <w:tc>
          <w:tcPr>
            <w:tcW w:w="1358"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生活办公区</w:t>
            </w:r>
          </w:p>
        </w:tc>
        <w:tc>
          <w:tcPr>
            <w:tcW w:w="1275"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一般固废</w:t>
            </w:r>
          </w:p>
        </w:tc>
        <w:tc>
          <w:tcPr>
            <w:tcW w:w="1305" w:type="dxa"/>
            <w:vAlign w:val="center"/>
          </w:tcPr>
          <w:p>
            <w:pPr>
              <w:spacing w:beforeLines="20"/>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kern w:val="2"/>
                <w:sz w:val="24"/>
                <w:szCs w:val="24"/>
                <w:lang w:val="en-US" w:eastAsia="zh-CN"/>
              </w:rPr>
              <w:t>17.024</w:t>
            </w:r>
          </w:p>
        </w:tc>
        <w:tc>
          <w:tcPr>
            <w:tcW w:w="2338" w:type="dxa"/>
            <w:vAlign w:val="center"/>
          </w:tcPr>
          <w:p>
            <w:pPr>
              <w:spacing w:beforeLines="20"/>
              <w:jc w:val="center"/>
              <w:rPr>
                <w:rFonts w:ascii="Times New Roman" w:hAnsi="Times New Roman" w:cs="Times New Roman" w:eastAsiaTheme="minorEastAsia"/>
                <w:sz w:val="21"/>
                <w:szCs w:val="21"/>
                <w:lang w:val="zh-CN"/>
              </w:rPr>
            </w:pPr>
            <w:r>
              <w:rPr>
                <w:rFonts w:ascii="Times New Roman" w:cs="Times New Roman" w:hAnsiTheme="minorEastAsia" w:eastAsiaTheme="minorEastAsia"/>
                <w:sz w:val="21"/>
                <w:szCs w:val="21"/>
                <w:lang w:val="zh-CN"/>
              </w:rPr>
              <w:t>交环卫部门处置</w:t>
            </w:r>
          </w:p>
        </w:tc>
      </w:tr>
    </w:tbl>
    <w:p>
      <w:pPr>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通过采取以上处理措施后，</w:t>
      </w:r>
      <w:r>
        <w:rPr>
          <w:rFonts w:hint="eastAsia" w:ascii="Times New Roman" w:hAnsi="Times New Roman" w:eastAsia="宋体"/>
          <w:color w:val="auto"/>
          <w:sz w:val="24"/>
          <w:szCs w:val="24"/>
        </w:rPr>
        <w:t>公司</w:t>
      </w:r>
      <w:r>
        <w:rPr>
          <w:rFonts w:ascii="Times New Roman" w:hAnsi="Times New Roman" w:eastAsia="宋体"/>
          <w:color w:val="auto"/>
          <w:sz w:val="24"/>
          <w:szCs w:val="24"/>
        </w:rPr>
        <w:t>运营产生的固体废物种类明确，各类固体废物处置去向明确，切实可行，不会造成二次污染。</w:t>
      </w:r>
    </w:p>
    <w:p>
      <w:pPr>
        <w:pStyle w:val="6"/>
        <w:keepLines w:val="0"/>
        <w:widowControl w:val="0"/>
        <w:adjustRightInd/>
        <w:snapToGrid/>
        <w:spacing w:before="0" w:after="0" w:line="360" w:lineRule="auto"/>
        <w:rPr>
          <w:rFonts w:ascii="Times New Roman" w:hAnsi="Times New Roman"/>
          <w:bCs w:val="0"/>
          <w:color w:val="auto"/>
          <w:sz w:val="24"/>
        </w:rPr>
      </w:pPr>
      <w:r>
        <w:rPr>
          <w:rFonts w:hint="eastAsia" w:ascii="Times New Roman" w:hAnsi="Times New Roman"/>
          <w:bCs w:val="0"/>
          <w:color w:val="auto"/>
          <w:sz w:val="24"/>
        </w:rPr>
        <w:t>3.2.2.6噪声产生与排放</w:t>
      </w:r>
    </w:p>
    <w:p>
      <w:pPr>
        <w:spacing w:beforeLines="50" w:after="0" w:line="360" w:lineRule="auto"/>
        <w:ind w:firstLine="480" w:firstLineChars="200"/>
        <w:rPr>
          <w:rFonts w:ascii="Times New Roman" w:hAnsi="Times New Roman" w:eastAsia="宋体" w:cs="Times New Roman"/>
          <w:kern w:val="2"/>
          <w:sz w:val="24"/>
          <w:szCs w:val="24"/>
        </w:rPr>
      </w:pPr>
      <w:bookmarkStart w:id="96" w:name="OLE_LINK12"/>
      <w:bookmarkStart w:id="97" w:name="_Toc21842_WPSOffice_Level3"/>
      <w:bookmarkStart w:id="98" w:name="_Toc462057815"/>
      <w:bookmarkStart w:id="99" w:name="_Toc525138244"/>
      <w:bookmarkStart w:id="100" w:name="_Toc525138388"/>
      <w:bookmarkStart w:id="101" w:name="_Toc499903466"/>
      <w:r>
        <w:rPr>
          <w:rFonts w:ascii="Times New Roman" w:hAnsi="Times New Roman" w:eastAsia="宋体" w:cs="Times New Roman"/>
          <w:kern w:val="2"/>
          <w:sz w:val="24"/>
          <w:szCs w:val="24"/>
        </w:rPr>
        <w:t>生产过程中的噪声主要来源于</w:t>
      </w:r>
      <w:r>
        <w:rPr>
          <w:rFonts w:hint="eastAsia" w:ascii="Times New Roman" w:hAnsi="Times New Roman" w:eastAsia="宋体" w:cs="Times New Roman"/>
          <w:kern w:val="2"/>
          <w:sz w:val="24"/>
          <w:szCs w:val="24"/>
          <w:lang w:val="en-US" w:eastAsia="zh-CN"/>
        </w:rPr>
        <w:t>切管机</w:t>
      </w:r>
      <w:r>
        <w:rPr>
          <w:rFonts w:hint="eastAsia" w:ascii="Times New Roman" w:hAnsi="Times New Roman" w:eastAsia="宋体" w:cs="Times New Roman"/>
          <w:kern w:val="2"/>
          <w:sz w:val="24"/>
          <w:szCs w:val="24"/>
        </w:rPr>
        <w:t>、焊接、打磨</w:t>
      </w:r>
      <w:r>
        <w:rPr>
          <w:rFonts w:ascii="Times New Roman" w:hAnsi="Times New Roman" w:eastAsia="宋体" w:cs="Times New Roman"/>
          <w:kern w:val="2"/>
          <w:sz w:val="24"/>
          <w:szCs w:val="24"/>
        </w:rPr>
        <w:t>设备</w:t>
      </w:r>
      <w:r>
        <w:rPr>
          <w:rFonts w:hint="eastAsia"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4"/>
          <w:lang w:val="en-US" w:eastAsia="zh-CN"/>
        </w:rPr>
        <w:t>空压机</w:t>
      </w:r>
      <w:r>
        <w:rPr>
          <w:rFonts w:ascii="Times New Roman" w:hAnsi="Times New Roman" w:eastAsia="宋体" w:cs="Times New Roman"/>
          <w:kern w:val="2"/>
          <w:sz w:val="24"/>
          <w:szCs w:val="24"/>
        </w:rPr>
        <w:t>等。</w:t>
      </w:r>
      <w:r>
        <w:rPr>
          <w:rFonts w:hint="eastAsia" w:ascii="Times New Roman" w:hAnsi="Times New Roman" w:eastAsia="宋体" w:cs="Times New Roman"/>
          <w:kern w:val="2"/>
          <w:sz w:val="24"/>
          <w:szCs w:val="24"/>
        </w:rPr>
        <w:t>切割、打磨设备的噪声源强一般为75~90dB。企业</w:t>
      </w:r>
      <w:r>
        <w:rPr>
          <w:rFonts w:ascii="Times New Roman" w:hAnsi="Times New Roman" w:eastAsia="宋体" w:cs="Times New Roman"/>
          <w:kern w:val="2"/>
          <w:sz w:val="24"/>
          <w:szCs w:val="24"/>
        </w:rPr>
        <w:t>对噪声的控制从设备选型上尽量选择噪声低的设备</w:t>
      </w:r>
      <w:r>
        <w:rPr>
          <w:rFonts w:hint="eastAsia" w:ascii="Times New Roman" w:hAnsi="Times New Roman" w:eastAsia="宋体" w:cs="Times New Roman"/>
          <w:kern w:val="2"/>
          <w:sz w:val="24"/>
          <w:szCs w:val="24"/>
        </w:rPr>
        <w:t>；将所有机加工设备均布置在封闭车间内，并设置减震基础；</w:t>
      </w:r>
      <w:r>
        <w:rPr>
          <w:rFonts w:ascii="Times New Roman" w:hAnsi="Times New Roman" w:eastAsia="宋体" w:cs="Times New Roman"/>
          <w:kern w:val="2"/>
          <w:sz w:val="24"/>
          <w:szCs w:val="24"/>
        </w:rPr>
        <w:t>厂房周围设置有绿化带，</w:t>
      </w:r>
      <w:r>
        <w:rPr>
          <w:rFonts w:hint="eastAsia" w:ascii="Times New Roman" w:hAnsi="Times New Roman" w:eastAsia="宋体" w:cs="Times New Roman"/>
          <w:kern w:val="2"/>
          <w:sz w:val="24"/>
          <w:szCs w:val="24"/>
        </w:rPr>
        <w:t>以减轻设备噪声对</w:t>
      </w:r>
      <w:r>
        <w:rPr>
          <w:rFonts w:ascii="Times New Roman" w:hAnsi="Times New Roman" w:eastAsia="宋体" w:cs="Times New Roman"/>
          <w:kern w:val="2"/>
          <w:sz w:val="24"/>
          <w:szCs w:val="24"/>
        </w:rPr>
        <w:t>对周围环境</w:t>
      </w:r>
      <w:r>
        <w:rPr>
          <w:rFonts w:hint="eastAsia" w:ascii="Times New Roman" w:hAnsi="Times New Roman" w:eastAsia="宋体" w:cs="Times New Roman"/>
          <w:kern w:val="2"/>
          <w:sz w:val="24"/>
          <w:szCs w:val="24"/>
        </w:rPr>
        <w:t>的</w:t>
      </w:r>
      <w:r>
        <w:rPr>
          <w:rFonts w:ascii="Times New Roman" w:hAnsi="Times New Roman" w:eastAsia="宋体" w:cs="Times New Roman"/>
          <w:kern w:val="2"/>
          <w:sz w:val="24"/>
          <w:szCs w:val="24"/>
        </w:rPr>
        <w:t>影响</w:t>
      </w:r>
      <w:r>
        <w:rPr>
          <w:rFonts w:hint="eastAsia" w:ascii="Times New Roman" w:hAnsi="Times New Roman" w:eastAsia="宋体" w:cs="Times New Roman"/>
          <w:kern w:val="2"/>
          <w:sz w:val="24"/>
          <w:szCs w:val="24"/>
        </w:rPr>
        <w:t>；</w:t>
      </w:r>
      <w:r>
        <w:rPr>
          <w:rFonts w:ascii="Times New Roman" w:hAnsi="Times New Roman" w:eastAsia="宋体" w:cs="Times New Roman"/>
          <w:kern w:val="2"/>
          <w:sz w:val="24"/>
          <w:szCs w:val="24"/>
        </w:rPr>
        <w:t>合理控制高噪声设备运行时间，尽可能做到</w:t>
      </w:r>
      <w:r>
        <w:rPr>
          <w:rFonts w:hint="eastAsia" w:ascii="Times New Roman" w:hAnsi="Times New Roman" w:eastAsia="宋体" w:cs="Times New Roman"/>
          <w:kern w:val="2"/>
          <w:sz w:val="24"/>
          <w:szCs w:val="24"/>
        </w:rPr>
        <w:t>夜间不进行生产等。</w:t>
      </w:r>
      <w:r>
        <w:rPr>
          <w:rFonts w:ascii="Times New Roman" w:hAnsi="Times New Roman" w:eastAsia="宋体" w:cs="Times New Roman"/>
          <w:kern w:val="2"/>
          <w:sz w:val="24"/>
          <w:szCs w:val="24"/>
        </w:rPr>
        <w:t>通过采取以上措施，较好的控制了设备噪声。审核人员在现场考察时，对企业厂界昼间噪声情况进行了实测，结果如表</w:t>
      </w:r>
      <w:r>
        <w:rPr>
          <w:rFonts w:hint="eastAsia" w:ascii="Times New Roman" w:hAnsi="Times New Roman" w:eastAsia="宋体" w:cs="Times New Roman"/>
          <w:kern w:val="2"/>
          <w:sz w:val="24"/>
          <w:szCs w:val="24"/>
          <w:lang w:val="en-US" w:eastAsia="zh-CN"/>
        </w:rPr>
        <w:t>3-17</w:t>
      </w:r>
      <w:r>
        <w:rPr>
          <w:rFonts w:hint="eastAsia" w:ascii="Times New Roman" w:hAnsi="Times New Roman" w:eastAsia="宋体" w:cs="Times New Roman"/>
          <w:kern w:val="2"/>
          <w:sz w:val="24"/>
          <w:szCs w:val="24"/>
        </w:rPr>
        <w:t>所示，</w:t>
      </w:r>
      <w:r>
        <w:rPr>
          <w:rFonts w:ascii="Times New Roman" w:hAnsi="Times New Roman" w:eastAsia="宋体" w:cs="Times New Roman"/>
          <w:kern w:val="2"/>
          <w:sz w:val="24"/>
          <w:szCs w:val="24"/>
        </w:rPr>
        <w:t>监测结果表明，企业</w:t>
      </w:r>
      <w:r>
        <w:rPr>
          <w:rFonts w:hint="eastAsia" w:ascii="Times New Roman" w:hAnsi="Times New Roman" w:eastAsia="宋体" w:cs="Times New Roman"/>
          <w:kern w:val="2"/>
          <w:sz w:val="24"/>
          <w:szCs w:val="24"/>
        </w:rPr>
        <w:t>厂界</w:t>
      </w:r>
      <w:r>
        <w:rPr>
          <w:rFonts w:ascii="Times New Roman" w:hAnsi="Times New Roman" w:eastAsia="宋体" w:cs="Times New Roman"/>
          <w:kern w:val="2"/>
          <w:sz w:val="24"/>
          <w:szCs w:val="24"/>
        </w:rPr>
        <w:t>噪声能达标排放。</w:t>
      </w:r>
    </w:p>
    <w:p>
      <w:pPr>
        <w:pStyle w:val="80"/>
        <w:rPr>
          <w:rFonts w:hint="eastAsia" w:ascii="Times New Roman" w:hAnsi="Times New Roman" w:eastAsia="宋体"/>
          <w:b/>
          <w:szCs w:val="24"/>
        </w:rPr>
      </w:pPr>
    </w:p>
    <w:p>
      <w:pPr>
        <w:pStyle w:val="80"/>
        <w:rPr>
          <w:rFonts w:hint="eastAsia" w:ascii="Times New Roman" w:hAnsi="Times New Roman" w:eastAsia="宋体"/>
          <w:b/>
          <w:szCs w:val="24"/>
        </w:rPr>
      </w:pPr>
    </w:p>
    <w:p>
      <w:pPr>
        <w:pStyle w:val="80"/>
        <w:rPr>
          <w:rFonts w:hint="eastAsia" w:ascii="Times New Roman" w:hAnsi="Times New Roman" w:eastAsia="宋体"/>
          <w:b/>
          <w:szCs w:val="24"/>
        </w:rPr>
      </w:pPr>
    </w:p>
    <w:p>
      <w:pPr>
        <w:pStyle w:val="80"/>
        <w:rPr>
          <w:rFonts w:hint="eastAsia" w:ascii="Times New Roman" w:hAnsi="Times New Roman" w:eastAsia="宋体"/>
          <w:b/>
          <w:szCs w:val="24"/>
        </w:rPr>
      </w:pPr>
      <w:r>
        <w:rPr>
          <w:rFonts w:hint="eastAsia" w:ascii="Times New Roman" w:hAnsi="Times New Roman" w:eastAsia="宋体"/>
          <w:b/>
          <w:szCs w:val="24"/>
        </w:rPr>
        <w:t>表</w:t>
      </w:r>
      <w:r>
        <w:rPr>
          <w:rFonts w:hint="eastAsia" w:ascii="Times New Roman" w:hAnsi="Times New Roman" w:eastAsia="宋体"/>
          <w:b/>
          <w:szCs w:val="24"/>
          <w:lang w:val="en-US" w:eastAsia="zh-CN"/>
        </w:rPr>
        <w:t>3</w:t>
      </w:r>
      <w:r>
        <w:rPr>
          <w:rFonts w:hint="eastAsia" w:ascii="Times New Roman" w:hAnsi="Times New Roman" w:eastAsia="宋体"/>
          <w:b/>
          <w:szCs w:val="24"/>
        </w:rPr>
        <w:t>-17  厂界噪声监测结果</w:t>
      </w:r>
    </w:p>
    <w:p>
      <w:pPr>
        <w:pStyle w:val="80"/>
        <w:rPr>
          <w:rFonts w:hint="eastAsia" w:ascii="Times New Roman" w:hAnsi="Times New Roman" w:eastAsia="宋体"/>
          <w:b/>
          <w:szCs w:val="24"/>
        </w:rPr>
      </w:pPr>
      <w:r>
        <w:drawing>
          <wp:inline distT="0" distB="0" distL="114300" distR="114300">
            <wp:extent cx="5273040" cy="2569210"/>
            <wp:effectExtent l="0" t="0" r="3810" b="254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23"/>
                    <a:stretch>
                      <a:fillRect/>
                    </a:stretch>
                  </pic:blipFill>
                  <pic:spPr>
                    <a:xfrm>
                      <a:off x="0" y="0"/>
                      <a:ext cx="5273040" cy="2569210"/>
                    </a:xfrm>
                    <a:prstGeom prst="rect">
                      <a:avLst/>
                    </a:prstGeom>
                    <a:noFill/>
                    <a:ln>
                      <a:noFill/>
                    </a:ln>
                  </pic:spPr>
                </pic:pic>
              </a:graphicData>
            </a:graphic>
          </wp:inline>
        </w:drawing>
      </w:r>
    </w:p>
    <w:p>
      <w:pPr>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cs="Times New Roman"/>
          <w:kern w:val="2"/>
          <w:sz w:val="24"/>
          <w:szCs w:val="24"/>
        </w:rPr>
        <w:t>监测结果表明：监测期间厂界噪声各监测点位中昼间噪声最大监测值为</w:t>
      </w:r>
      <w:r>
        <w:rPr>
          <w:rFonts w:hint="eastAsia" w:ascii="Times New Roman" w:hAnsi="Times New Roman" w:eastAsia="宋体" w:cs="Times New Roman"/>
          <w:kern w:val="2"/>
          <w:sz w:val="24"/>
          <w:szCs w:val="24"/>
          <w:lang w:val="en-US" w:eastAsia="zh-CN"/>
        </w:rPr>
        <w:t>59.2</w:t>
      </w:r>
      <w:r>
        <w:rPr>
          <w:rFonts w:ascii="Times New Roman" w:hAnsi="Times New Roman" w:eastAsia="宋体" w:cs="Times New Roman"/>
          <w:kern w:val="2"/>
          <w:sz w:val="24"/>
          <w:szCs w:val="24"/>
        </w:rPr>
        <w:t>dB</w:t>
      </w:r>
      <w:r>
        <w:rPr>
          <w:rFonts w:hint="eastAsia" w:ascii="Times New Roman" w:hAnsi="Times New Roman" w:eastAsia="宋体" w:cs="Times New Roman"/>
          <w:kern w:val="2"/>
          <w:sz w:val="24"/>
          <w:szCs w:val="24"/>
        </w:rPr>
        <w:t>（</w:t>
      </w:r>
      <w:r>
        <w:rPr>
          <w:rFonts w:ascii="Times New Roman" w:hAnsi="Times New Roman" w:eastAsia="宋体" w:cs="Times New Roman"/>
          <w:kern w:val="2"/>
          <w:sz w:val="24"/>
          <w:szCs w:val="24"/>
        </w:rPr>
        <w:t>A</w:t>
      </w:r>
      <w:r>
        <w:rPr>
          <w:rFonts w:hint="eastAsia" w:ascii="Times New Roman" w:hAnsi="Times New Roman" w:eastAsia="宋体" w:cs="Times New Roman"/>
          <w:kern w:val="2"/>
          <w:sz w:val="24"/>
          <w:szCs w:val="24"/>
        </w:rPr>
        <w:t>）、夜间噪声最大监测值为</w:t>
      </w:r>
      <w:r>
        <w:rPr>
          <w:rFonts w:hint="eastAsia" w:ascii="Times New Roman" w:hAnsi="Times New Roman" w:eastAsia="宋体" w:cs="Times New Roman"/>
          <w:kern w:val="2"/>
          <w:sz w:val="24"/>
          <w:szCs w:val="24"/>
          <w:lang w:val="en-US" w:eastAsia="zh-CN"/>
        </w:rPr>
        <w:t>46.8</w:t>
      </w:r>
      <w:r>
        <w:rPr>
          <w:rFonts w:ascii="Times New Roman" w:hAnsi="Times New Roman" w:eastAsia="宋体" w:cs="Times New Roman"/>
          <w:kern w:val="2"/>
          <w:sz w:val="24"/>
          <w:szCs w:val="24"/>
        </w:rPr>
        <w:t>dB</w:t>
      </w:r>
      <w:r>
        <w:rPr>
          <w:rFonts w:hint="eastAsia" w:ascii="Times New Roman" w:hAnsi="Times New Roman" w:eastAsia="宋体" w:cs="Times New Roman"/>
          <w:kern w:val="2"/>
          <w:sz w:val="24"/>
          <w:szCs w:val="24"/>
        </w:rPr>
        <w:t>（</w:t>
      </w:r>
      <w:r>
        <w:rPr>
          <w:rFonts w:ascii="Times New Roman" w:hAnsi="Times New Roman" w:eastAsia="宋体" w:cs="Times New Roman"/>
          <w:kern w:val="2"/>
          <w:sz w:val="24"/>
          <w:szCs w:val="24"/>
        </w:rPr>
        <w:t>A</w:t>
      </w:r>
      <w:r>
        <w:rPr>
          <w:rFonts w:hint="eastAsia" w:ascii="Times New Roman" w:hAnsi="Times New Roman" w:eastAsia="宋体" w:cs="Times New Roman"/>
          <w:kern w:val="2"/>
          <w:sz w:val="24"/>
          <w:szCs w:val="24"/>
        </w:rPr>
        <w:t>），均符合《工业企业厂界环境噪声排放标准》</w:t>
      </w:r>
      <w:r>
        <w:rPr>
          <w:rFonts w:ascii="Times New Roman" w:hAnsi="Times New Roman" w:eastAsia="宋体" w:cs="Times New Roman"/>
          <w:kern w:val="2"/>
          <w:sz w:val="24"/>
          <w:szCs w:val="24"/>
        </w:rPr>
        <w:t>(GB12348</w:t>
      </w:r>
      <w:r>
        <w:rPr>
          <w:rFonts w:hint="eastAsia" w:ascii="Times New Roman" w:hAnsi="Times New Roman" w:eastAsia="宋体" w:cs="Times New Roman"/>
          <w:kern w:val="2"/>
          <w:sz w:val="24"/>
          <w:szCs w:val="24"/>
        </w:rPr>
        <w:t>－</w:t>
      </w:r>
      <w:r>
        <w:rPr>
          <w:rFonts w:ascii="Times New Roman" w:hAnsi="Times New Roman" w:eastAsia="宋体" w:cs="Times New Roman"/>
          <w:kern w:val="2"/>
          <w:sz w:val="24"/>
          <w:szCs w:val="24"/>
        </w:rPr>
        <w:t>2008)</w:t>
      </w:r>
      <w:r>
        <w:rPr>
          <w:rFonts w:hint="eastAsia" w:ascii="Times New Roman" w:hAnsi="Times New Roman" w:eastAsia="宋体" w:cs="Times New Roman"/>
          <w:kern w:val="2"/>
          <w:sz w:val="24"/>
          <w:szCs w:val="24"/>
        </w:rPr>
        <w:t>中3类标准限值要求。</w:t>
      </w:r>
    </w:p>
    <w:bookmarkEnd w:id="96"/>
    <w:bookmarkEnd w:id="97"/>
    <w:p>
      <w:pPr>
        <w:pStyle w:val="4"/>
        <w:widowControl w:val="0"/>
        <w:spacing w:beforeLines="50" w:after="0" w:line="360" w:lineRule="auto"/>
        <w:rPr>
          <w:rFonts w:ascii="Times New Roman" w:hAnsi="Times New Roman" w:eastAsia="宋体" w:cs="Courier New"/>
          <w:color w:val="000000" w:themeColor="text1"/>
          <w:sz w:val="28"/>
          <w:szCs w:val="30"/>
        </w:rPr>
      </w:pPr>
      <w:bookmarkStart w:id="102" w:name="_Toc9342"/>
      <w:r>
        <w:rPr>
          <w:rFonts w:hint="eastAsia" w:ascii="Times New Roman" w:hAnsi="Times New Roman" w:eastAsia="宋体" w:cs="Courier New"/>
          <w:color w:val="000000" w:themeColor="text1"/>
          <w:sz w:val="28"/>
          <w:szCs w:val="30"/>
        </w:rPr>
        <w:t>3.2.3环境保护情况</w:t>
      </w:r>
      <w:bookmarkEnd w:id="98"/>
      <w:bookmarkEnd w:id="99"/>
      <w:bookmarkEnd w:id="100"/>
      <w:bookmarkEnd w:id="101"/>
      <w:bookmarkEnd w:id="102"/>
    </w:p>
    <w:p>
      <w:pPr>
        <w:pStyle w:val="6"/>
        <w:keepLines w:val="0"/>
        <w:widowControl w:val="0"/>
        <w:spacing w:beforeLines="50" w:after="0" w:line="360" w:lineRule="auto"/>
        <w:ind w:firstLine="120" w:firstLineChars="50"/>
        <w:rPr>
          <w:rFonts w:ascii="Times New Roman" w:hAnsi="Times New Roman"/>
          <w:bCs w:val="0"/>
          <w:color w:val="000000" w:themeColor="text1"/>
          <w:sz w:val="24"/>
        </w:rPr>
      </w:pPr>
      <w:r>
        <w:rPr>
          <w:rFonts w:hint="eastAsia" w:ascii="Times New Roman" w:hAnsi="Times New Roman"/>
          <w:bCs w:val="0"/>
          <w:color w:val="000000" w:themeColor="text1"/>
          <w:sz w:val="24"/>
        </w:rPr>
        <w:t>3.2.3.1执行的</w:t>
      </w:r>
      <w:r>
        <w:rPr>
          <w:rFonts w:ascii="Times New Roman" w:hAnsi="Times New Roman"/>
          <w:bCs w:val="0"/>
          <w:color w:val="000000" w:themeColor="text1"/>
          <w:sz w:val="24"/>
        </w:rPr>
        <w:t>环保标准</w:t>
      </w:r>
    </w:p>
    <w:p>
      <w:pPr>
        <w:spacing w:beforeLines="50" w:line="360" w:lineRule="auto"/>
        <w:ind w:firstLine="480" w:firstLineChars="200"/>
        <w:rPr>
          <w:rFonts w:ascii="Times New Roman" w:hAnsi="Times New Roman" w:eastAsia="宋体"/>
          <w:color w:val="000000" w:themeColor="text1"/>
          <w:sz w:val="24"/>
          <w:szCs w:val="24"/>
        </w:rPr>
      </w:pPr>
      <w:r>
        <w:rPr>
          <w:rFonts w:ascii="Times New Roman" w:hAnsi="Times New Roman" w:eastAsia="宋体"/>
          <w:color w:val="000000" w:themeColor="text1"/>
          <w:sz w:val="24"/>
          <w:szCs w:val="24"/>
        </w:rPr>
        <w:t>企业应执行的环保标准见表</w:t>
      </w:r>
      <w:r>
        <w:rPr>
          <w:rFonts w:hint="eastAsia" w:ascii="Times New Roman" w:hAnsi="Times New Roman" w:eastAsia="宋体"/>
          <w:color w:val="000000" w:themeColor="text1"/>
          <w:sz w:val="24"/>
          <w:szCs w:val="24"/>
        </w:rPr>
        <w:t>3-</w:t>
      </w:r>
      <w:r>
        <w:rPr>
          <w:rFonts w:hint="eastAsia" w:ascii="Times New Roman" w:hAnsi="Times New Roman" w:eastAsia="宋体"/>
          <w:color w:val="000000" w:themeColor="text1"/>
          <w:sz w:val="24"/>
          <w:szCs w:val="24"/>
          <w:lang w:val="en-US" w:eastAsia="zh-CN"/>
        </w:rPr>
        <w:t>19</w:t>
      </w:r>
      <w:r>
        <w:rPr>
          <w:rFonts w:ascii="Times New Roman" w:hAnsi="Times New Roman" w:eastAsia="宋体"/>
          <w:color w:val="000000" w:themeColor="text1"/>
          <w:sz w:val="24"/>
          <w:szCs w:val="24"/>
        </w:rPr>
        <w:t>。</w:t>
      </w:r>
    </w:p>
    <w:p>
      <w:pPr>
        <w:spacing w:beforeLines="50" w:line="360" w:lineRule="auto"/>
        <w:jc w:val="center"/>
        <w:rPr>
          <w:rFonts w:ascii="Times New Roman" w:hAnsi="Times New Roman" w:eastAsia="宋体"/>
          <w:b/>
          <w:sz w:val="24"/>
          <w:szCs w:val="24"/>
        </w:rPr>
      </w:pPr>
      <w:r>
        <w:rPr>
          <w:rFonts w:hint="eastAsia" w:ascii="Times New Roman" w:hAnsi="Times New Roman" w:eastAsia="宋体"/>
          <w:b/>
          <w:sz w:val="24"/>
          <w:szCs w:val="24"/>
        </w:rPr>
        <w:t>表3-</w:t>
      </w:r>
      <w:r>
        <w:rPr>
          <w:rFonts w:hint="eastAsia" w:ascii="Times New Roman" w:hAnsi="Times New Roman" w:eastAsia="宋体"/>
          <w:b/>
          <w:sz w:val="24"/>
          <w:szCs w:val="24"/>
          <w:lang w:val="en-US" w:eastAsia="zh-CN"/>
        </w:rPr>
        <w:t>19</w:t>
      </w:r>
      <w:r>
        <w:rPr>
          <w:rFonts w:hint="eastAsia" w:ascii="Times New Roman" w:hAnsi="Times New Roman" w:eastAsia="宋体"/>
          <w:b/>
          <w:sz w:val="24"/>
          <w:szCs w:val="24"/>
        </w:rPr>
        <w:t xml:space="preserve">  执行的环保标准一览表</w:t>
      </w:r>
    </w:p>
    <w:tbl>
      <w:tblPr>
        <w:tblStyle w:val="62"/>
        <w:tblW w:w="8719"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236"/>
        <w:gridCol w:w="2014"/>
        <w:gridCol w:w="3679"/>
        <w:gridCol w:w="179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3" w:hRule="atLeast"/>
          <w:jc w:val="center"/>
        </w:trPr>
        <w:tc>
          <w:tcPr>
            <w:tcW w:w="1236" w:type="dxa"/>
            <w:tcBorders>
              <w:bottom w:val="single" w:color="000000" w:sz="4" w:space="0"/>
              <w:right w:val="single" w:color="000000" w:sz="4" w:space="0"/>
            </w:tcBorders>
          </w:tcPr>
          <w:p>
            <w:pPr>
              <w:pStyle w:val="64"/>
              <w:spacing w:before="120"/>
              <w:ind w:left="177" w:right="156"/>
              <w:jc w:val="center"/>
              <w:rPr>
                <w:sz w:val="21"/>
                <w:lang w:eastAsia="en-US"/>
              </w:rPr>
            </w:pPr>
            <w:r>
              <w:rPr>
                <w:sz w:val="21"/>
                <w:lang w:eastAsia="en-US"/>
              </w:rPr>
              <w:t>分类</w:t>
            </w:r>
          </w:p>
        </w:tc>
        <w:tc>
          <w:tcPr>
            <w:tcW w:w="2014" w:type="dxa"/>
            <w:tcBorders>
              <w:left w:val="single" w:color="000000" w:sz="4" w:space="0"/>
              <w:bottom w:val="single" w:color="000000" w:sz="4" w:space="0"/>
              <w:right w:val="single" w:color="000000" w:sz="4" w:space="0"/>
            </w:tcBorders>
          </w:tcPr>
          <w:p>
            <w:pPr>
              <w:pStyle w:val="64"/>
              <w:spacing w:before="120"/>
              <w:ind w:left="342" w:right="312"/>
              <w:jc w:val="center"/>
              <w:rPr>
                <w:sz w:val="21"/>
                <w:lang w:eastAsia="en-US"/>
              </w:rPr>
            </w:pPr>
            <w:r>
              <w:rPr>
                <w:sz w:val="21"/>
                <w:lang w:eastAsia="en-US"/>
              </w:rPr>
              <w:t>标准号</w:t>
            </w:r>
          </w:p>
        </w:tc>
        <w:tc>
          <w:tcPr>
            <w:tcW w:w="3679" w:type="dxa"/>
            <w:tcBorders>
              <w:left w:val="single" w:color="000000" w:sz="4" w:space="0"/>
              <w:bottom w:val="single" w:color="000000" w:sz="4" w:space="0"/>
              <w:right w:val="single" w:color="000000" w:sz="4" w:space="0"/>
            </w:tcBorders>
          </w:tcPr>
          <w:p>
            <w:pPr>
              <w:pStyle w:val="64"/>
              <w:spacing w:before="120"/>
              <w:ind w:left="778" w:right="749"/>
              <w:jc w:val="center"/>
              <w:rPr>
                <w:sz w:val="21"/>
                <w:lang w:eastAsia="en-US"/>
              </w:rPr>
            </w:pPr>
            <w:r>
              <w:rPr>
                <w:sz w:val="21"/>
                <w:lang w:eastAsia="en-US"/>
              </w:rPr>
              <w:t>标准名称</w:t>
            </w:r>
          </w:p>
        </w:tc>
        <w:tc>
          <w:tcPr>
            <w:tcW w:w="1790" w:type="dxa"/>
            <w:tcBorders>
              <w:left w:val="single" w:color="000000" w:sz="4" w:space="0"/>
              <w:bottom w:val="single" w:color="000000" w:sz="4" w:space="0"/>
            </w:tcBorders>
          </w:tcPr>
          <w:p>
            <w:pPr>
              <w:pStyle w:val="64"/>
              <w:spacing w:before="120"/>
              <w:ind w:left="150" w:right="110"/>
              <w:jc w:val="center"/>
              <w:rPr>
                <w:sz w:val="21"/>
                <w:lang w:eastAsia="en-US"/>
              </w:rPr>
            </w:pPr>
            <w:r>
              <w:rPr>
                <w:sz w:val="21"/>
                <w:lang w:eastAsia="en-US"/>
              </w:rPr>
              <w:t>标准级（类别）</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6" w:hRule="atLeast"/>
          <w:jc w:val="center"/>
        </w:trPr>
        <w:tc>
          <w:tcPr>
            <w:tcW w:w="1236" w:type="dxa"/>
            <w:tcBorders>
              <w:top w:val="single" w:color="000000" w:sz="4" w:space="0"/>
              <w:right w:val="single" w:color="000000" w:sz="4" w:space="0"/>
            </w:tcBorders>
          </w:tcPr>
          <w:p>
            <w:pPr>
              <w:pStyle w:val="64"/>
              <w:spacing w:before="73"/>
              <w:ind w:left="177" w:right="159"/>
              <w:jc w:val="center"/>
              <w:rPr>
                <w:sz w:val="21"/>
                <w:lang w:eastAsia="en-US"/>
              </w:rPr>
            </w:pPr>
            <w:r>
              <w:rPr>
                <w:sz w:val="21"/>
                <w:lang w:eastAsia="en-US"/>
              </w:rPr>
              <w:t>环境质量</w:t>
            </w:r>
          </w:p>
        </w:tc>
        <w:tc>
          <w:tcPr>
            <w:tcW w:w="2014" w:type="dxa"/>
            <w:tcBorders>
              <w:top w:val="single" w:color="000000" w:sz="4" w:space="0"/>
              <w:left w:val="single" w:color="000000" w:sz="4" w:space="0"/>
              <w:right w:val="single" w:color="000000" w:sz="4" w:space="0"/>
            </w:tcBorders>
          </w:tcPr>
          <w:p>
            <w:pPr>
              <w:pStyle w:val="64"/>
              <w:spacing w:before="55"/>
              <w:ind w:left="342" w:right="311"/>
              <w:jc w:val="center"/>
              <w:rPr>
                <w:rFonts w:hint="default" w:ascii="Times New Roman" w:eastAsia="宋体"/>
                <w:sz w:val="21"/>
                <w:lang w:val="en-US" w:eastAsia="zh-CN"/>
              </w:rPr>
            </w:pPr>
            <w:r>
              <w:rPr>
                <w:rFonts w:ascii="Times New Roman"/>
                <w:sz w:val="21"/>
                <w:lang w:eastAsia="en-US"/>
              </w:rPr>
              <w:t>G</w:t>
            </w:r>
            <w:r>
              <w:rPr>
                <w:rFonts w:hint="eastAsia" w:ascii="Times New Roman"/>
                <w:sz w:val="21"/>
                <w:lang w:eastAsia="zh-CN"/>
              </w:rPr>
              <w:t>F2-2</w:t>
            </w:r>
            <w:r>
              <w:rPr>
                <w:rFonts w:ascii="Times New Roman"/>
                <w:sz w:val="21"/>
                <w:lang w:eastAsia="en-US"/>
              </w:rPr>
              <w:t>095-20</w:t>
            </w:r>
            <w:r>
              <w:rPr>
                <w:rFonts w:hint="eastAsia" w:ascii="Times New Roman"/>
                <w:sz w:val="21"/>
                <w:lang w:val="en-US" w:eastAsia="zh-CN"/>
              </w:rPr>
              <w:t>18</w:t>
            </w:r>
          </w:p>
        </w:tc>
        <w:tc>
          <w:tcPr>
            <w:tcW w:w="3679" w:type="dxa"/>
            <w:tcBorders>
              <w:top w:val="single" w:color="000000" w:sz="4" w:space="0"/>
              <w:left w:val="single" w:color="000000" w:sz="4" w:space="0"/>
              <w:right w:val="single" w:color="000000" w:sz="4" w:space="0"/>
            </w:tcBorders>
          </w:tcPr>
          <w:p>
            <w:pPr>
              <w:pStyle w:val="64"/>
              <w:spacing w:before="49"/>
              <w:ind w:left="780" w:right="749"/>
              <w:jc w:val="center"/>
              <w:rPr>
                <w:sz w:val="21"/>
                <w:lang w:eastAsia="zh-CN"/>
              </w:rPr>
            </w:pPr>
            <w:r>
              <w:rPr>
                <w:sz w:val="21"/>
                <w:lang w:eastAsia="zh-CN"/>
              </w:rPr>
              <w:t>《环境空气质量标准》</w:t>
            </w:r>
          </w:p>
        </w:tc>
        <w:tc>
          <w:tcPr>
            <w:tcW w:w="1790" w:type="dxa"/>
            <w:tcBorders>
              <w:top w:val="single" w:color="000000" w:sz="4" w:space="0"/>
              <w:left w:val="single" w:color="000000" w:sz="4" w:space="0"/>
            </w:tcBorders>
          </w:tcPr>
          <w:p>
            <w:pPr>
              <w:pStyle w:val="64"/>
              <w:spacing w:before="49"/>
              <w:ind w:left="150" w:right="109"/>
              <w:jc w:val="center"/>
              <w:rPr>
                <w:sz w:val="21"/>
                <w:lang w:eastAsia="en-US"/>
              </w:rPr>
            </w:pPr>
            <w:r>
              <w:rPr>
                <w:sz w:val="21"/>
                <w:lang w:eastAsia="en-US"/>
              </w:rPr>
              <w:t>二类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8" w:hRule="atLeast"/>
          <w:jc w:val="center"/>
        </w:trPr>
        <w:tc>
          <w:tcPr>
            <w:tcW w:w="1236" w:type="dxa"/>
            <w:vMerge w:val="restart"/>
            <w:tcBorders>
              <w:bottom w:val="single" w:color="000000" w:sz="4" w:space="0"/>
              <w:right w:val="single" w:color="000000" w:sz="4" w:space="0"/>
            </w:tcBorders>
            <w:vAlign w:val="center"/>
          </w:tcPr>
          <w:p>
            <w:pPr>
              <w:pStyle w:val="64"/>
              <w:spacing w:before="3"/>
              <w:ind w:left="407"/>
              <w:rPr>
                <w:sz w:val="21"/>
                <w:lang w:eastAsia="en-US"/>
              </w:rPr>
            </w:pPr>
            <w:r>
              <w:rPr>
                <w:sz w:val="21"/>
                <w:lang w:eastAsia="en-US"/>
              </w:rPr>
              <w:t>标准</w:t>
            </w:r>
          </w:p>
        </w:tc>
        <w:tc>
          <w:tcPr>
            <w:tcW w:w="2014" w:type="dxa"/>
            <w:tcBorders>
              <w:left w:val="single" w:color="000000" w:sz="4" w:space="0"/>
              <w:bottom w:val="single" w:color="000000" w:sz="4" w:space="0"/>
              <w:right w:val="single" w:color="000000" w:sz="4" w:space="0"/>
            </w:tcBorders>
          </w:tcPr>
          <w:p>
            <w:pPr>
              <w:pStyle w:val="64"/>
              <w:spacing w:before="57"/>
              <w:ind w:left="342" w:right="311"/>
              <w:jc w:val="center"/>
              <w:rPr>
                <w:rFonts w:hint="default" w:ascii="Times New Roman" w:eastAsia="宋体"/>
                <w:sz w:val="21"/>
                <w:lang w:val="en-US" w:eastAsia="zh-CN"/>
              </w:rPr>
            </w:pPr>
            <w:r>
              <w:rPr>
                <w:rFonts w:ascii="Times New Roman"/>
                <w:sz w:val="21"/>
                <w:lang w:eastAsia="en-US"/>
              </w:rPr>
              <w:t>G</w:t>
            </w:r>
            <w:r>
              <w:rPr>
                <w:rFonts w:hint="eastAsia" w:ascii="Times New Roman"/>
                <w:sz w:val="21"/>
                <w:lang w:eastAsia="zh-CN"/>
              </w:rPr>
              <w:t>F2-2</w:t>
            </w:r>
            <w:r>
              <w:rPr>
                <w:rFonts w:ascii="Times New Roman"/>
                <w:sz w:val="21"/>
                <w:lang w:eastAsia="en-US"/>
              </w:rPr>
              <w:t>838-20</w:t>
            </w:r>
            <w:r>
              <w:rPr>
                <w:rFonts w:hint="eastAsia" w:ascii="Times New Roman"/>
                <w:sz w:val="21"/>
                <w:lang w:val="en-US" w:eastAsia="zh-CN"/>
              </w:rPr>
              <w:t>22</w:t>
            </w:r>
          </w:p>
        </w:tc>
        <w:tc>
          <w:tcPr>
            <w:tcW w:w="3679" w:type="dxa"/>
            <w:tcBorders>
              <w:left w:val="single" w:color="000000" w:sz="4" w:space="0"/>
              <w:bottom w:val="single" w:color="000000" w:sz="4" w:space="0"/>
              <w:right w:val="single" w:color="000000" w:sz="4" w:space="0"/>
            </w:tcBorders>
          </w:tcPr>
          <w:p>
            <w:pPr>
              <w:pStyle w:val="64"/>
              <w:spacing w:before="51"/>
              <w:ind w:left="693"/>
              <w:rPr>
                <w:sz w:val="21"/>
                <w:lang w:eastAsia="zh-CN"/>
              </w:rPr>
            </w:pPr>
            <w:r>
              <w:rPr>
                <w:sz w:val="21"/>
                <w:lang w:eastAsia="zh-CN"/>
              </w:rPr>
              <w:t>《地表水环境质量标准》</w:t>
            </w:r>
          </w:p>
        </w:tc>
        <w:tc>
          <w:tcPr>
            <w:tcW w:w="1790" w:type="dxa"/>
            <w:tcBorders>
              <w:left w:val="single" w:color="000000" w:sz="4" w:space="0"/>
              <w:bottom w:val="single" w:color="000000" w:sz="4" w:space="0"/>
            </w:tcBorders>
          </w:tcPr>
          <w:p>
            <w:pPr>
              <w:pStyle w:val="64"/>
              <w:spacing w:before="51"/>
              <w:ind w:left="150" w:right="109"/>
              <w:jc w:val="center"/>
              <w:rPr>
                <w:sz w:val="21"/>
                <w:lang w:eastAsia="en-US"/>
              </w:rPr>
            </w:pPr>
            <w:r>
              <w:rPr>
                <w:rFonts w:ascii="Times New Roman" w:eastAsia="Times New Roman"/>
                <w:sz w:val="21"/>
                <w:lang w:eastAsia="en-US"/>
              </w:rPr>
              <w:t xml:space="preserve">III </w:t>
            </w:r>
            <w:r>
              <w:rPr>
                <w:sz w:val="21"/>
                <w:lang w:eastAsia="en-US"/>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jc w:val="center"/>
        </w:trPr>
        <w:tc>
          <w:tcPr>
            <w:tcW w:w="1236" w:type="dxa"/>
            <w:vMerge w:val="continue"/>
            <w:tcBorders>
              <w:top w:val="nil"/>
              <w:bottom w:val="single" w:color="000000" w:sz="4" w:space="0"/>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58"/>
              <w:ind w:left="342" w:right="311"/>
              <w:jc w:val="center"/>
              <w:rPr>
                <w:rFonts w:hint="default" w:ascii="Times New Roman" w:eastAsia="宋体"/>
                <w:sz w:val="21"/>
                <w:lang w:val="en-US" w:eastAsia="zh-CN"/>
              </w:rPr>
            </w:pPr>
            <w:r>
              <w:rPr>
                <w:rFonts w:ascii="Times New Roman"/>
                <w:sz w:val="21"/>
                <w:lang w:eastAsia="en-US"/>
              </w:rPr>
              <w:t>G</w:t>
            </w:r>
            <w:r>
              <w:rPr>
                <w:rFonts w:hint="eastAsia" w:ascii="Times New Roman"/>
                <w:sz w:val="21"/>
                <w:lang w:eastAsia="zh-CN"/>
              </w:rPr>
              <w:t>F2-2</w:t>
            </w:r>
            <w:r>
              <w:rPr>
                <w:rFonts w:ascii="Times New Roman"/>
                <w:sz w:val="21"/>
                <w:lang w:eastAsia="en-US"/>
              </w:rPr>
              <w:t>096-20</w:t>
            </w:r>
            <w:r>
              <w:rPr>
                <w:rFonts w:hint="eastAsia" w:ascii="Times New Roman"/>
                <w:sz w:val="21"/>
                <w:lang w:val="en-US" w:eastAsia="zh-CN"/>
              </w:rPr>
              <w:t>21</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49"/>
              <w:ind w:left="902"/>
              <w:rPr>
                <w:sz w:val="21"/>
                <w:lang w:eastAsia="en-US"/>
              </w:rPr>
            </w:pPr>
            <w:r>
              <w:rPr>
                <w:sz w:val="21"/>
                <w:lang w:eastAsia="en-US"/>
              </w:rPr>
              <w:t>《声环境质量标准》</w:t>
            </w:r>
          </w:p>
        </w:tc>
        <w:tc>
          <w:tcPr>
            <w:tcW w:w="1790" w:type="dxa"/>
            <w:tcBorders>
              <w:top w:val="single" w:color="000000" w:sz="4" w:space="0"/>
              <w:left w:val="single" w:color="000000" w:sz="4" w:space="0"/>
              <w:bottom w:val="single" w:color="000000" w:sz="4" w:space="0"/>
            </w:tcBorders>
          </w:tcPr>
          <w:p>
            <w:pPr>
              <w:pStyle w:val="64"/>
              <w:spacing w:before="49"/>
              <w:ind w:left="150" w:right="109"/>
              <w:jc w:val="center"/>
              <w:rPr>
                <w:rFonts w:eastAsiaTheme="minorEastAsia"/>
                <w:sz w:val="21"/>
                <w:lang w:eastAsia="zh-CN"/>
              </w:rPr>
            </w:pPr>
            <w:r>
              <w:rPr>
                <w:rFonts w:hint="eastAsia" w:ascii="Times New Roman" w:eastAsiaTheme="minorEastAsia"/>
                <w:sz w:val="21"/>
                <w:lang w:eastAsia="zh-CN"/>
              </w:rPr>
              <w:t>3</w:t>
            </w:r>
            <w:r>
              <w:rPr>
                <w:rFonts w:ascii="Times New Roman" w:eastAsia="Times New Roman"/>
                <w:sz w:val="21"/>
                <w:lang w:eastAsia="en-US"/>
              </w:rPr>
              <w:t xml:space="preserve"> </w:t>
            </w:r>
            <w:r>
              <w:rPr>
                <w:sz w:val="21"/>
                <w:lang w:eastAsia="en-US"/>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6" w:hRule="atLeast"/>
          <w:jc w:val="center"/>
        </w:trPr>
        <w:tc>
          <w:tcPr>
            <w:tcW w:w="1236" w:type="dxa"/>
            <w:vMerge w:val="restart"/>
            <w:tcBorders>
              <w:top w:val="single" w:color="000000" w:sz="4" w:space="0"/>
              <w:right w:val="single" w:color="000000" w:sz="4" w:space="0"/>
            </w:tcBorders>
          </w:tcPr>
          <w:p>
            <w:pPr>
              <w:pStyle w:val="64"/>
              <w:rPr>
                <w:rFonts w:ascii="楷体"/>
                <w:b/>
                <w:sz w:val="20"/>
                <w:lang w:eastAsia="en-US"/>
              </w:rPr>
            </w:pPr>
          </w:p>
          <w:p>
            <w:pPr>
              <w:pStyle w:val="64"/>
              <w:rPr>
                <w:rFonts w:ascii="楷体"/>
                <w:b/>
                <w:sz w:val="20"/>
                <w:lang w:eastAsia="en-US"/>
              </w:rPr>
            </w:pPr>
          </w:p>
          <w:p>
            <w:pPr>
              <w:pStyle w:val="64"/>
              <w:rPr>
                <w:rFonts w:ascii="楷体"/>
                <w:b/>
                <w:sz w:val="20"/>
                <w:lang w:eastAsia="en-US"/>
              </w:rPr>
            </w:pPr>
          </w:p>
          <w:p>
            <w:pPr>
              <w:pStyle w:val="64"/>
              <w:rPr>
                <w:rFonts w:ascii="楷体"/>
                <w:b/>
                <w:sz w:val="20"/>
                <w:lang w:eastAsia="en-US"/>
              </w:rPr>
            </w:pPr>
            <w:r>
              <w:rPr>
                <w:rFonts w:ascii="楷体"/>
                <w:b/>
                <w:sz w:val="20"/>
                <w:lang w:val="en-US" w:eastAsia="en-US" w:bidi="ar-SA"/>
              </w:rPr>
              <mc:AlternateContent>
                <mc:Choice Requires="wps">
                  <w:drawing>
                    <wp:anchor distT="0" distB="0" distL="114300" distR="114300" simplePos="0" relativeHeight="251660288" behindDoc="0" locked="0" layoutInCell="1" allowOverlap="1">
                      <wp:simplePos x="0" y="0"/>
                      <wp:positionH relativeFrom="column">
                        <wp:posOffset>-1905</wp:posOffset>
                      </wp:positionH>
                      <wp:positionV relativeFrom="paragraph">
                        <wp:posOffset>3175</wp:posOffset>
                      </wp:positionV>
                      <wp:extent cx="781050" cy="0"/>
                      <wp:effectExtent l="0" t="9525" r="0" b="9525"/>
                      <wp:wrapNone/>
                      <wp:docPr id="44" name="自选图形 249"/>
                      <wp:cNvGraphicFramePr/>
                      <a:graphic xmlns:a="http://schemas.openxmlformats.org/drawingml/2006/main">
                        <a:graphicData uri="http://schemas.microsoft.com/office/word/2010/wordprocessingShape">
                          <wps:wsp>
                            <wps:cNvCnPr/>
                            <wps:spPr>
                              <a:xfrm flipH="1">
                                <a:off x="0" y="0"/>
                                <a:ext cx="781050" cy="0"/>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w:pict>
                    <v:shape id="自选图形 249" o:spid="_x0000_s1026" o:spt="32" type="#_x0000_t32" style="position:absolute;left:0pt;flip:x;margin-left:-0.15pt;margin-top:0.25pt;height:0pt;width:61.5pt;z-index:251660288;mso-width-relative:page;mso-height-relative:page;" filled="f" stroked="t" coordsize="21600,21600" o:gfxdata="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LPATqHSAAAAAwEAAA8AAAAAAAAAAQAgAAAAIgAAAGRycy9kb3ducmV2LnhtbFBL&#10;AQIUABQAAAAIAIdO4kAKlROh/AEAAPADAAAOAAAAAAAAAAEAIAAAACEBAABkcnMvZTJvRG9jLnht&#10;bFBLBQYAAAAABgAGAFkBAACPBQAAAAA=&#10;">
                      <v:fill on="f" focussize="0,0"/>
                      <v:stroke weight="1.5pt" color="#000000" joinstyle="round"/>
                      <v:imagedata o:title=""/>
                      <o:lock v:ext="edit" aspectratio="f"/>
                    </v:shape>
                  </w:pict>
                </mc:Fallback>
              </mc:AlternateContent>
            </w:r>
          </w:p>
          <w:p>
            <w:pPr>
              <w:pStyle w:val="64"/>
              <w:spacing w:before="159" w:line="242" w:lineRule="auto"/>
              <w:ind w:left="301" w:right="175" w:hanging="106"/>
              <w:rPr>
                <w:sz w:val="21"/>
                <w:lang w:eastAsia="en-US"/>
              </w:rPr>
            </w:pPr>
            <w:r>
              <w:rPr>
                <w:sz w:val="21"/>
                <w:lang w:eastAsia="en-US"/>
              </w:rPr>
              <w:t>污染物排放标准</w:t>
            </w: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55"/>
              <w:ind w:left="342" w:right="311"/>
              <w:jc w:val="center"/>
              <w:rPr>
                <w:rFonts w:hint="default" w:ascii="Times New Roman" w:eastAsia="宋体"/>
                <w:sz w:val="21"/>
                <w:lang w:val="en-US" w:eastAsia="zh-CN"/>
              </w:rPr>
            </w:pPr>
            <w:r>
              <w:rPr>
                <w:rFonts w:ascii="Times New Roman"/>
                <w:sz w:val="21"/>
                <w:lang w:eastAsia="en-US"/>
              </w:rPr>
              <w:t>GB</w:t>
            </w:r>
            <w:r>
              <w:rPr>
                <w:rFonts w:hint="eastAsia" w:ascii="Times New Roman"/>
                <w:sz w:val="21"/>
                <w:lang w:val="en-US" w:eastAsia="zh-CN"/>
              </w:rPr>
              <w:t>90</w:t>
            </w:r>
            <w:r>
              <w:rPr>
                <w:rFonts w:ascii="Times New Roman"/>
                <w:sz w:val="21"/>
                <w:lang w:eastAsia="en-US"/>
              </w:rPr>
              <w:t>78-</w:t>
            </w:r>
            <w:r>
              <w:rPr>
                <w:rFonts w:hint="eastAsia" w:ascii="Times New Roman"/>
                <w:sz w:val="21"/>
                <w:lang w:val="en-US" w:eastAsia="zh-CN"/>
              </w:rPr>
              <w:t>2022</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49"/>
              <w:ind w:left="799"/>
              <w:rPr>
                <w:sz w:val="21"/>
                <w:lang w:eastAsia="zh-CN"/>
              </w:rPr>
            </w:pPr>
            <w:r>
              <w:rPr>
                <w:sz w:val="21"/>
                <w:lang w:eastAsia="zh-CN"/>
              </w:rPr>
              <w:t>《污水综合排放标准》</w:t>
            </w:r>
          </w:p>
        </w:tc>
        <w:tc>
          <w:tcPr>
            <w:tcW w:w="1790" w:type="dxa"/>
            <w:tcBorders>
              <w:top w:val="single" w:color="000000" w:sz="4" w:space="0"/>
              <w:left w:val="single" w:color="000000" w:sz="4" w:space="0"/>
              <w:bottom w:val="single" w:color="000000" w:sz="4" w:space="0"/>
            </w:tcBorders>
          </w:tcPr>
          <w:p>
            <w:pPr>
              <w:pStyle w:val="64"/>
              <w:spacing w:before="49"/>
              <w:ind w:left="150" w:right="106"/>
              <w:jc w:val="center"/>
              <w:rPr>
                <w:sz w:val="21"/>
                <w:lang w:eastAsia="en-US"/>
              </w:rPr>
            </w:pPr>
            <w:r>
              <w:rPr>
                <w:rFonts w:hint="eastAsia"/>
                <w:sz w:val="21"/>
                <w:lang w:eastAsia="zh-CN"/>
              </w:rPr>
              <w:t>表4 三</w:t>
            </w:r>
            <w:r>
              <w:rPr>
                <w:sz w:val="21"/>
                <w:lang w:eastAsia="en-US"/>
              </w:rPr>
              <w:t>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jc w:val="center"/>
        </w:trPr>
        <w:tc>
          <w:tcPr>
            <w:tcW w:w="1236" w:type="dxa"/>
            <w:vMerge w:val="continue"/>
            <w:tcBorders>
              <w:top w:val="nil"/>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48"/>
              <w:ind w:left="342" w:right="314"/>
              <w:jc w:val="center"/>
              <w:rPr>
                <w:rFonts w:ascii="Times New Roman"/>
                <w:sz w:val="21"/>
                <w:lang w:eastAsia="en-US"/>
              </w:rPr>
            </w:pPr>
            <w:r>
              <w:rPr>
                <w:rFonts w:ascii="Times New Roman"/>
                <w:sz w:val="21"/>
                <w:lang w:eastAsia="en-US"/>
              </w:rPr>
              <w:t>GB16297-1996</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41"/>
              <w:ind w:left="482"/>
              <w:rPr>
                <w:sz w:val="21"/>
                <w:lang w:eastAsia="zh-CN"/>
              </w:rPr>
            </w:pPr>
            <w:r>
              <w:rPr>
                <w:sz w:val="21"/>
                <w:lang w:eastAsia="zh-CN"/>
              </w:rPr>
              <w:t>《大气污染物综合排放标准》</w:t>
            </w:r>
          </w:p>
        </w:tc>
        <w:tc>
          <w:tcPr>
            <w:tcW w:w="1790" w:type="dxa"/>
            <w:tcBorders>
              <w:top w:val="single" w:color="000000" w:sz="4" w:space="0"/>
              <w:left w:val="single" w:color="000000" w:sz="4" w:space="0"/>
              <w:bottom w:val="single" w:color="000000" w:sz="4" w:space="0"/>
            </w:tcBorders>
          </w:tcPr>
          <w:p>
            <w:pPr>
              <w:pStyle w:val="64"/>
              <w:spacing w:before="41"/>
              <w:ind w:left="150" w:right="109"/>
              <w:jc w:val="center"/>
              <w:rPr>
                <w:sz w:val="21"/>
                <w:lang w:eastAsia="en-US"/>
              </w:rPr>
            </w:pPr>
            <w:r>
              <w:rPr>
                <w:sz w:val="21"/>
                <w:lang w:eastAsia="en-US"/>
              </w:rPr>
              <w:t xml:space="preserve">表 </w:t>
            </w:r>
            <w:r>
              <w:rPr>
                <w:rFonts w:ascii="Times New Roman" w:eastAsia="Times New Roman"/>
                <w:sz w:val="21"/>
                <w:lang w:eastAsia="en-US"/>
              </w:rPr>
              <w:t xml:space="preserve">2 </w:t>
            </w:r>
            <w:r>
              <w:rPr>
                <w:sz w:val="21"/>
                <w:lang w:eastAsia="en-US"/>
              </w:rPr>
              <w:t>二级标准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jc w:val="center"/>
        </w:trPr>
        <w:tc>
          <w:tcPr>
            <w:tcW w:w="1236" w:type="dxa"/>
            <w:vMerge w:val="continue"/>
            <w:tcBorders>
              <w:top w:val="nil"/>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48"/>
              <w:ind w:left="342" w:right="314"/>
              <w:jc w:val="center"/>
              <w:rPr>
                <w:rFonts w:ascii="Times New Roman"/>
                <w:sz w:val="21"/>
                <w:lang w:eastAsia="en-US"/>
              </w:rPr>
            </w:pPr>
            <w:r>
              <w:rPr>
                <w:rFonts w:ascii="Times New Roman"/>
                <w:sz w:val="21"/>
                <w:lang w:eastAsia="en-US"/>
              </w:rPr>
              <w:t>GB18483-2001</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39"/>
              <w:ind w:left="273"/>
              <w:rPr>
                <w:sz w:val="21"/>
                <w:lang w:eastAsia="zh-CN"/>
              </w:rPr>
            </w:pPr>
            <w:r>
              <w:rPr>
                <w:sz w:val="21"/>
                <w:lang w:eastAsia="zh-CN"/>
              </w:rPr>
              <w:t>《饮食业油烟排放标准（试行）》</w:t>
            </w:r>
          </w:p>
        </w:tc>
        <w:tc>
          <w:tcPr>
            <w:tcW w:w="1790" w:type="dxa"/>
            <w:tcBorders>
              <w:top w:val="single" w:color="000000" w:sz="4" w:space="0"/>
              <w:left w:val="single" w:color="000000" w:sz="4" w:space="0"/>
              <w:bottom w:val="single" w:color="000000" w:sz="4" w:space="0"/>
            </w:tcBorders>
          </w:tcPr>
          <w:p>
            <w:pPr>
              <w:pStyle w:val="64"/>
              <w:spacing w:before="39"/>
              <w:ind w:left="150" w:right="109"/>
              <w:jc w:val="center"/>
              <w:rPr>
                <w:sz w:val="21"/>
                <w:lang w:eastAsia="en-US"/>
              </w:rPr>
            </w:pPr>
            <w:r>
              <w:rPr>
                <w:sz w:val="21"/>
                <w:lang w:eastAsia="en-US"/>
              </w:rPr>
              <w:t xml:space="preserve">表 </w:t>
            </w:r>
            <w:r>
              <w:rPr>
                <w:rFonts w:ascii="Times New Roman" w:eastAsia="Times New Roman"/>
                <w:sz w:val="21"/>
                <w:lang w:eastAsia="en-US"/>
              </w:rPr>
              <w:t xml:space="preserve">2 </w:t>
            </w:r>
            <w:r>
              <w:rPr>
                <w:sz w:val="21"/>
                <w:lang w:eastAsia="en-US"/>
              </w:rPr>
              <w:t>小型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6" w:hRule="atLeast"/>
          <w:jc w:val="center"/>
        </w:trPr>
        <w:tc>
          <w:tcPr>
            <w:tcW w:w="1236" w:type="dxa"/>
            <w:vMerge w:val="continue"/>
            <w:tcBorders>
              <w:top w:val="nil"/>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45"/>
              <w:ind w:left="342" w:right="314"/>
              <w:jc w:val="center"/>
              <w:rPr>
                <w:rFonts w:ascii="Times New Roman"/>
                <w:sz w:val="21"/>
                <w:lang w:eastAsia="en-US"/>
              </w:rPr>
            </w:pPr>
            <w:r>
              <w:rPr>
                <w:rFonts w:ascii="Times New Roman"/>
                <w:sz w:val="21"/>
                <w:lang w:eastAsia="en-US"/>
              </w:rPr>
              <w:t>GB12348-2008</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39"/>
              <w:ind w:left="167"/>
              <w:rPr>
                <w:sz w:val="21"/>
                <w:lang w:eastAsia="zh-CN"/>
              </w:rPr>
            </w:pPr>
            <w:r>
              <w:rPr>
                <w:sz w:val="21"/>
                <w:lang w:eastAsia="zh-CN"/>
              </w:rPr>
              <w:t>《工业企业厂界环境噪声排放标准》</w:t>
            </w:r>
          </w:p>
        </w:tc>
        <w:tc>
          <w:tcPr>
            <w:tcW w:w="1790" w:type="dxa"/>
            <w:tcBorders>
              <w:top w:val="single" w:color="000000" w:sz="4" w:space="0"/>
              <w:left w:val="single" w:color="000000" w:sz="4" w:space="0"/>
              <w:bottom w:val="single" w:color="000000" w:sz="4" w:space="0"/>
            </w:tcBorders>
          </w:tcPr>
          <w:p>
            <w:pPr>
              <w:pStyle w:val="64"/>
              <w:spacing w:before="39"/>
              <w:ind w:left="150" w:right="109"/>
              <w:jc w:val="center"/>
              <w:rPr>
                <w:sz w:val="21"/>
                <w:lang w:eastAsia="en-US"/>
              </w:rPr>
            </w:pPr>
            <w:r>
              <w:rPr>
                <w:rFonts w:hint="eastAsia" w:ascii="Times New Roman" w:eastAsiaTheme="minorEastAsia"/>
                <w:sz w:val="21"/>
                <w:lang w:val="en-US" w:eastAsia="zh-CN"/>
              </w:rPr>
              <w:t>2</w:t>
            </w:r>
            <w:r>
              <w:rPr>
                <w:sz w:val="21"/>
                <w:lang w:eastAsia="en-US"/>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1" w:hRule="atLeast"/>
          <w:jc w:val="center"/>
        </w:trPr>
        <w:tc>
          <w:tcPr>
            <w:tcW w:w="1236" w:type="dxa"/>
            <w:vMerge w:val="continue"/>
            <w:tcBorders>
              <w:top w:val="nil"/>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185"/>
              <w:ind w:left="342" w:right="314"/>
              <w:jc w:val="center"/>
              <w:rPr>
                <w:rFonts w:hint="default" w:ascii="Times New Roman" w:eastAsia="宋体"/>
                <w:sz w:val="21"/>
                <w:lang w:val="en-US" w:eastAsia="zh-CN"/>
              </w:rPr>
            </w:pPr>
            <w:r>
              <w:rPr>
                <w:rFonts w:ascii="Times New Roman"/>
                <w:sz w:val="21"/>
                <w:lang w:eastAsia="en-US"/>
              </w:rPr>
              <w:t>GB1</w:t>
            </w:r>
            <w:r>
              <w:rPr>
                <w:rFonts w:hint="eastAsia" w:ascii="Times New Roman"/>
                <w:sz w:val="21"/>
                <w:lang w:val="en-US" w:eastAsia="zh-CN"/>
              </w:rPr>
              <w:t>8599</w:t>
            </w:r>
            <w:r>
              <w:rPr>
                <w:rFonts w:ascii="Times New Roman"/>
                <w:sz w:val="21"/>
                <w:lang w:eastAsia="en-US"/>
              </w:rPr>
              <w:t>-20</w:t>
            </w:r>
            <w:r>
              <w:rPr>
                <w:rFonts w:hint="eastAsia" w:ascii="Times New Roman"/>
                <w:sz w:val="21"/>
                <w:lang w:val="en-US" w:eastAsia="zh-CN"/>
              </w:rPr>
              <w:t>20</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39" w:line="244" w:lineRule="auto"/>
              <w:ind w:left="1219" w:right="133" w:hanging="1052"/>
              <w:rPr>
                <w:sz w:val="21"/>
                <w:lang w:eastAsia="zh-CN"/>
              </w:rPr>
            </w:pPr>
            <w:r>
              <w:rPr>
                <w:sz w:val="21"/>
                <w:lang w:eastAsia="zh-CN"/>
              </w:rPr>
              <w:t>《一般工业固体废物储存、处置场污染控制标准》</w:t>
            </w:r>
          </w:p>
        </w:tc>
        <w:tc>
          <w:tcPr>
            <w:tcW w:w="1790" w:type="dxa"/>
            <w:tcBorders>
              <w:top w:val="single" w:color="000000" w:sz="4" w:space="0"/>
              <w:left w:val="single" w:color="000000" w:sz="4" w:space="0"/>
              <w:bottom w:val="single" w:color="000000" w:sz="4" w:space="0"/>
            </w:tcBorders>
          </w:tcPr>
          <w:p>
            <w:pPr>
              <w:pStyle w:val="64"/>
              <w:spacing w:before="185"/>
              <w:ind w:left="42"/>
              <w:jc w:val="center"/>
              <w:rPr>
                <w:rFonts w:ascii="Times New Roman"/>
                <w:sz w:val="21"/>
                <w:lang w:eastAsia="en-US"/>
              </w:rPr>
            </w:pPr>
            <w:r>
              <w:rPr>
                <w:rFonts w:ascii="Times New Roman"/>
                <w:sz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jc w:val="center"/>
        </w:trPr>
        <w:tc>
          <w:tcPr>
            <w:tcW w:w="1236" w:type="dxa"/>
            <w:vMerge w:val="continue"/>
            <w:tcBorders>
              <w:top w:val="nil"/>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bottom w:val="single" w:color="000000" w:sz="4" w:space="0"/>
              <w:right w:val="single" w:color="000000" w:sz="4" w:space="0"/>
            </w:tcBorders>
          </w:tcPr>
          <w:p>
            <w:pPr>
              <w:pStyle w:val="64"/>
              <w:spacing w:before="48"/>
              <w:ind w:left="342" w:right="314"/>
              <w:jc w:val="center"/>
              <w:rPr>
                <w:rFonts w:ascii="Times New Roman"/>
                <w:sz w:val="21"/>
                <w:lang w:eastAsia="en-US"/>
              </w:rPr>
            </w:pPr>
            <w:r>
              <w:rPr>
                <w:rFonts w:ascii="Times New Roman"/>
                <w:sz w:val="21"/>
                <w:lang w:eastAsia="en-US"/>
              </w:rPr>
              <w:t>GB16889-2008</w:t>
            </w:r>
          </w:p>
        </w:tc>
        <w:tc>
          <w:tcPr>
            <w:tcW w:w="3679" w:type="dxa"/>
            <w:tcBorders>
              <w:top w:val="single" w:color="000000" w:sz="4" w:space="0"/>
              <w:left w:val="single" w:color="000000" w:sz="4" w:space="0"/>
              <w:bottom w:val="single" w:color="000000" w:sz="4" w:space="0"/>
              <w:right w:val="single" w:color="000000" w:sz="4" w:space="0"/>
            </w:tcBorders>
          </w:tcPr>
          <w:p>
            <w:pPr>
              <w:pStyle w:val="64"/>
              <w:spacing w:before="41"/>
              <w:ind w:left="273"/>
              <w:rPr>
                <w:sz w:val="21"/>
                <w:lang w:eastAsia="zh-CN"/>
              </w:rPr>
            </w:pPr>
            <w:r>
              <w:rPr>
                <w:sz w:val="21"/>
                <w:lang w:eastAsia="zh-CN"/>
              </w:rPr>
              <w:t>《生活垃圾填埋场污染控制标准》</w:t>
            </w:r>
          </w:p>
        </w:tc>
        <w:tc>
          <w:tcPr>
            <w:tcW w:w="1790" w:type="dxa"/>
            <w:tcBorders>
              <w:top w:val="single" w:color="000000" w:sz="4" w:space="0"/>
              <w:left w:val="single" w:color="000000" w:sz="4" w:space="0"/>
              <w:bottom w:val="single" w:color="000000" w:sz="4" w:space="0"/>
            </w:tcBorders>
          </w:tcPr>
          <w:p>
            <w:pPr>
              <w:pStyle w:val="64"/>
              <w:spacing w:before="48"/>
              <w:ind w:left="42"/>
              <w:jc w:val="center"/>
              <w:rPr>
                <w:rFonts w:ascii="Times New Roman"/>
                <w:sz w:val="21"/>
                <w:lang w:eastAsia="en-US"/>
              </w:rPr>
            </w:pPr>
            <w:r>
              <w:rPr>
                <w:rFonts w:ascii="Times New Roman"/>
                <w:sz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6" w:hRule="atLeast"/>
          <w:jc w:val="center"/>
        </w:trPr>
        <w:tc>
          <w:tcPr>
            <w:tcW w:w="1236" w:type="dxa"/>
            <w:vMerge w:val="continue"/>
            <w:tcBorders>
              <w:top w:val="nil"/>
              <w:right w:val="single" w:color="000000" w:sz="4" w:space="0"/>
            </w:tcBorders>
          </w:tcPr>
          <w:p>
            <w:pPr>
              <w:autoSpaceDE w:val="0"/>
              <w:autoSpaceDN w:val="0"/>
              <w:rPr>
                <w:kern w:val="0"/>
                <w:sz w:val="2"/>
                <w:szCs w:val="2"/>
                <w:lang w:eastAsia="en-US"/>
              </w:rPr>
            </w:pPr>
          </w:p>
        </w:tc>
        <w:tc>
          <w:tcPr>
            <w:tcW w:w="2014" w:type="dxa"/>
            <w:tcBorders>
              <w:top w:val="single" w:color="000000" w:sz="4" w:space="0"/>
              <w:left w:val="single" w:color="000000" w:sz="4" w:space="0"/>
              <w:right w:val="single" w:color="000000" w:sz="4" w:space="0"/>
            </w:tcBorders>
          </w:tcPr>
          <w:p>
            <w:pPr>
              <w:pStyle w:val="64"/>
              <w:spacing w:before="48"/>
              <w:ind w:left="342" w:right="314"/>
              <w:jc w:val="center"/>
              <w:rPr>
                <w:rFonts w:hint="default" w:ascii="Times New Roman"/>
                <w:sz w:val="21"/>
                <w:lang w:val="en-US" w:eastAsia="en-US"/>
              </w:rPr>
            </w:pPr>
            <w:r>
              <w:rPr>
                <w:rFonts w:ascii="Times New Roman"/>
                <w:sz w:val="21"/>
                <w:lang w:eastAsia="en-US"/>
              </w:rPr>
              <w:t>GB18597-20</w:t>
            </w:r>
            <w:r>
              <w:rPr>
                <w:rFonts w:hint="eastAsia" w:ascii="Times New Roman"/>
                <w:sz w:val="21"/>
                <w:lang w:val="en-US" w:eastAsia="zh-CN"/>
              </w:rPr>
              <w:t>23</w:t>
            </w:r>
          </w:p>
        </w:tc>
        <w:tc>
          <w:tcPr>
            <w:tcW w:w="3679" w:type="dxa"/>
            <w:tcBorders>
              <w:top w:val="single" w:color="000000" w:sz="4" w:space="0"/>
              <w:left w:val="single" w:color="000000" w:sz="4" w:space="0"/>
              <w:right w:val="single" w:color="000000" w:sz="4" w:space="0"/>
            </w:tcBorders>
          </w:tcPr>
          <w:p>
            <w:pPr>
              <w:pStyle w:val="64"/>
              <w:spacing w:before="39"/>
              <w:ind w:left="117"/>
              <w:rPr>
                <w:sz w:val="21"/>
                <w:lang w:eastAsia="zh-CN"/>
              </w:rPr>
            </w:pPr>
            <w:r>
              <w:rPr>
                <w:sz w:val="21"/>
                <w:lang w:eastAsia="zh-CN"/>
              </w:rPr>
              <w:t>《危险废物贮存污染控制标准》</w:t>
            </w:r>
          </w:p>
        </w:tc>
        <w:tc>
          <w:tcPr>
            <w:tcW w:w="1790" w:type="dxa"/>
            <w:tcBorders>
              <w:top w:val="single" w:color="000000" w:sz="4" w:space="0"/>
              <w:left w:val="single" w:color="000000" w:sz="4" w:space="0"/>
            </w:tcBorders>
          </w:tcPr>
          <w:p>
            <w:pPr>
              <w:pStyle w:val="64"/>
              <w:spacing w:before="48"/>
              <w:ind w:left="42"/>
              <w:jc w:val="center"/>
              <w:rPr>
                <w:rFonts w:ascii="Times New Roman"/>
                <w:sz w:val="21"/>
                <w:lang w:eastAsia="en-US"/>
              </w:rPr>
            </w:pPr>
            <w:r>
              <w:rPr>
                <w:rFonts w:ascii="Times New Roman"/>
                <w:sz w:val="21"/>
                <w:lang w:eastAsia="en-US"/>
              </w:rPr>
              <w:t>/</w:t>
            </w:r>
          </w:p>
        </w:tc>
      </w:tr>
    </w:tbl>
    <w:p>
      <w:pPr>
        <w:bidi w:val="0"/>
      </w:pPr>
    </w:p>
    <w:p>
      <w:pPr>
        <w:pStyle w:val="6"/>
        <w:keepLines w:val="0"/>
        <w:widowControl w:val="0"/>
        <w:adjustRightInd/>
        <w:snapToGrid/>
        <w:spacing w:before="0" w:after="0" w:line="360" w:lineRule="auto"/>
        <w:rPr>
          <w:rFonts w:ascii="Times New Roman" w:hAnsi="Times New Roman"/>
          <w:bCs w:val="0"/>
          <w:sz w:val="24"/>
        </w:rPr>
      </w:pPr>
      <w:r>
        <w:rPr>
          <w:rFonts w:hint="eastAsia" w:ascii="Times New Roman" w:hAnsi="Times New Roman"/>
          <w:bCs w:val="0"/>
          <w:sz w:val="24"/>
        </w:rPr>
        <w:t>3.2.3.2污染总控控制及在线监测情况</w:t>
      </w:r>
    </w:p>
    <w:p>
      <w:pPr>
        <w:spacing w:line="360" w:lineRule="auto"/>
        <w:ind w:firstLine="480" w:firstLineChars="200"/>
        <w:rPr>
          <w:rFonts w:hint="default" w:ascii="Times New Roman" w:hAnsi="Times New Roman" w:eastAsia="宋体"/>
          <w:sz w:val="24"/>
          <w:szCs w:val="24"/>
          <w:vertAlign w:val="baseline"/>
          <w:lang w:val="en-US"/>
        </w:rPr>
      </w:pPr>
      <w:r>
        <w:rPr>
          <w:rFonts w:hint="eastAsia" w:ascii="Times New Roman" w:hAnsi="Times New Roman" w:eastAsia="宋体"/>
          <w:sz w:val="24"/>
          <w:szCs w:val="24"/>
        </w:rPr>
        <w:t>根据</w:t>
      </w:r>
      <w:r>
        <w:rPr>
          <w:rFonts w:hint="eastAsia" w:ascii="Times New Roman" w:hAnsi="Times New Roman" w:eastAsia="宋体"/>
          <w:sz w:val="24"/>
          <w:szCs w:val="24"/>
          <w:lang w:val="en-US" w:eastAsia="zh-CN"/>
        </w:rPr>
        <w:t>株洲</w:t>
      </w:r>
      <w:r>
        <w:rPr>
          <w:rFonts w:hint="eastAsia" w:ascii="Times New Roman" w:hAnsi="Times New Roman" w:eastAsia="宋体"/>
          <w:sz w:val="24"/>
          <w:szCs w:val="24"/>
        </w:rPr>
        <w:t>市生态环境保护局</w:t>
      </w:r>
      <w:r>
        <w:rPr>
          <w:rFonts w:hint="eastAsia" w:ascii="Times New Roman" w:hAnsi="Times New Roman" w:eastAsia="宋体"/>
          <w:sz w:val="24"/>
          <w:szCs w:val="24"/>
          <w:lang w:val="en-US" w:eastAsia="zh-CN"/>
        </w:rPr>
        <w:t>考核确定企业不在排污名录，不需要申请排污许可证，只做了排污登记；</w:t>
      </w:r>
      <w:r>
        <w:rPr>
          <w:rFonts w:hint="eastAsia" w:ascii="Times New Roman" w:hAnsi="Times New Roman" w:eastAsia="宋体"/>
          <w:sz w:val="24"/>
          <w:szCs w:val="24"/>
          <w:vertAlign w:val="baseline"/>
          <w:lang w:val="en-US" w:eastAsia="zh-CN"/>
        </w:rPr>
        <w:t>符合排放要求。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同时，结合企业生产现场查看，企业建立了较为完善的污染防治措施，建设了废水、废气、固废、噪声等环保措施，生活污水外排</w:t>
      </w:r>
      <w:r>
        <w:rPr>
          <w:rFonts w:hint="eastAsia" w:ascii="Times New Roman" w:hAnsi="Times New Roman" w:eastAsia="宋体"/>
          <w:sz w:val="24"/>
          <w:szCs w:val="24"/>
          <w:lang w:val="en-US" w:eastAsia="zh-CN"/>
        </w:rPr>
        <w:t>管网进入污水处理站</w:t>
      </w:r>
      <w:r>
        <w:rPr>
          <w:rFonts w:ascii="Times New Roman" w:hAnsi="Times New Roman" w:eastAsia="宋体"/>
          <w:sz w:val="24"/>
          <w:szCs w:val="24"/>
        </w:rPr>
        <w:t>。产生的固体废弃物分类收集储存，分类处置，去向明确，不会造成二次污染。根据排污现状监测，企业各污染物排放基本能达标排放，说明企业采取的污染防治措施基本可行。</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企业不属于《湖南省污染源自动监控管理办法》中规定的需要安装自动监控设备及其配套设施的企业：(一)拥有向大气排放烟尘、二氧化硫、氮氧化物等污染物，额定蒸发量在20吨以上的燃煤锅炉的；(二)拥有有组织向大气排放烟尘、二氧化硫、氮氧化物等污染物，排放量相当于额定蒸发量在20吨以上燃煤锅炉的工业炉窑和固体废物焚烧炉的；(三)日排放含有二类污染物的废水1000吨以上的；(四)日排放含有一类污染物或者病毒、病菌的废水100吨以上的；(五)其他拥有影响公共利益，按照环境保护法律法规的规定，须重点监管的污染源的。</w:t>
      </w:r>
    </w:p>
    <w:p>
      <w:pPr>
        <w:pStyle w:val="6"/>
        <w:keepLines w:val="0"/>
        <w:widowControl w:val="0"/>
        <w:adjustRightInd/>
        <w:snapToGrid/>
        <w:spacing w:beforeLines="50" w:after="0" w:line="360" w:lineRule="auto"/>
        <w:rPr>
          <w:rFonts w:ascii="Times New Roman" w:hAnsi="Times New Roman"/>
          <w:bCs w:val="0"/>
          <w:sz w:val="24"/>
          <w:lang w:bidi="en-US"/>
        </w:rPr>
      </w:pPr>
      <w:r>
        <w:rPr>
          <w:rFonts w:hint="eastAsia" w:ascii="Times New Roman" w:hAnsi="Times New Roman"/>
          <w:bCs w:val="0"/>
          <w:sz w:val="24"/>
          <w:lang w:bidi="en-US"/>
        </w:rPr>
        <w:t>3.2.3.3重大污染物事故及风险防范措施</w:t>
      </w:r>
    </w:p>
    <w:p>
      <w:pPr>
        <w:spacing w:line="360" w:lineRule="auto"/>
        <w:ind w:firstLine="480" w:firstLineChars="200"/>
        <w:rPr>
          <w:rFonts w:ascii="Times New Roman" w:hAnsi="Times New Roman" w:eastAsia="宋体"/>
          <w:sz w:val="24"/>
          <w:szCs w:val="24"/>
          <w:lang w:bidi="en-US"/>
        </w:rPr>
      </w:pPr>
      <w:r>
        <w:rPr>
          <w:rFonts w:ascii="Times New Roman" w:hAnsi="Times New Roman" w:eastAsia="宋体"/>
          <w:sz w:val="24"/>
          <w:szCs w:val="24"/>
          <w:lang w:bidi="en-US"/>
        </w:rPr>
        <w:t>企业近年无重大污染事故</w:t>
      </w:r>
      <w:r>
        <w:rPr>
          <w:rFonts w:hint="eastAsia" w:ascii="Times New Roman" w:hAnsi="Times New Roman" w:eastAsia="宋体"/>
          <w:sz w:val="24"/>
          <w:szCs w:val="24"/>
          <w:lang w:bidi="en-US"/>
        </w:rPr>
        <w:t>发生。</w:t>
      </w:r>
      <w:r>
        <w:rPr>
          <w:rFonts w:ascii="Times New Roman" w:hAnsi="Times New Roman" w:eastAsia="宋体"/>
          <w:sz w:val="24"/>
          <w:szCs w:val="24"/>
          <w:lang w:bidi="en-US"/>
        </w:rPr>
        <w:t>企业主要是进行简单的</w:t>
      </w:r>
      <w:r>
        <w:rPr>
          <w:rFonts w:hint="eastAsia" w:ascii="Times New Roman" w:hAnsi="Times New Roman" w:eastAsia="宋体"/>
          <w:sz w:val="24"/>
          <w:szCs w:val="24"/>
          <w:lang w:val="en-US" w:eastAsia="zh-CN" w:bidi="en-US"/>
        </w:rPr>
        <w:t>工厂机械</w:t>
      </w:r>
      <w:r>
        <w:rPr>
          <w:rFonts w:hint="eastAsia" w:ascii="Times New Roman" w:hAnsi="Times New Roman" w:eastAsia="宋体"/>
          <w:sz w:val="24"/>
          <w:szCs w:val="24"/>
          <w:lang w:bidi="en-US"/>
        </w:rPr>
        <w:t>生产</w:t>
      </w:r>
      <w:r>
        <w:rPr>
          <w:rFonts w:ascii="Times New Roman" w:hAnsi="Times New Roman" w:eastAsia="宋体"/>
          <w:sz w:val="24"/>
          <w:szCs w:val="24"/>
          <w:lang w:bidi="en-US"/>
        </w:rPr>
        <w:t>，生产过程中三废排放少，无重大突发环境事故隐患</w:t>
      </w:r>
      <w:r>
        <w:rPr>
          <w:rFonts w:hint="eastAsia" w:ascii="Times New Roman" w:hAnsi="Times New Roman" w:eastAsia="宋体"/>
          <w:sz w:val="24"/>
          <w:szCs w:val="24"/>
          <w:lang w:bidi="en-US"/>
        </w:rPr>
        <w:t>。</w:t>
      </w:r>
    </w:p>
    <w:p>
      <w:pPr>
        <w:pStyle w:val="3"/>
        <w:widowControl w:val="0"/>
        <w:adjustRightInd/>
        <w:snapToGrid/>
        <w:spacing w:beforeLines="50" w:after="0" w:line="360" w:lineRule="auto"/>
        <w:rPr>
          <w:rFonts w:ascii="Times New Roman" w:hAnsi="Times New Roman"/>
          <w:sz w:val="30"/>
          <w:szCs w:val="30"/>
        </w:rPr>
      </w:pPr>
      <w:bookmarkStart w:id="103" w:name="_Toc13630"/>
      <w:bookmarkStart w:id="104" w:name="_Toc525138389"/>
      <w:bookmarkStart w:id="105" w:name="_Toc499903467"/>
      <w:bookmarkStart w:id="106" w:name="_Toc525138245"/>
      <w:r>
        <w:rPr>
          <w:rFonts w:hint="eastAsia" w:ascii="Times New Roman" w:hAnsi="Times New Roman"/>
          <w:sz w:val="30"/>
          <w:szCs w:val="30"/>
        </w:rPr>
        <w:t>3.3企业的管理状况</w:t>
      </w:r>
      <w:bookmarkEnd w:id="103"/>
      <w:bookmarkEnd w:id="104"/>
      <w:bookmarkEnd w:id="105"/>
      <w:bookmarkEnd w:id="106"/>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加强管理是企业永恒的主题，好的管理制度能够极大地提高工作效率、促进目标的完成，所以企业管理制度是否健全，特别是涉及生产、用能、环保、统计等方面制度的健全程度，也是清洁生产审核需要关注的方面。</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为此审核小组对</w:t>
      </w:r>
      <w:r>
        <w:rPr>
          <w:rFonts w:hint="eastAsia" w:ascii="Times New Roman" w:hAnsi="Times New Roman" w:eastAsia="宋体"/>
          <w:sz w:val="24"/>
          <w:szCs w:val="24"/>
        </w:rPr>
        <w:t>企业</w:t>
      </w:r>
      <w:r>
        <w:rPr>
          <w:rFonts w:ascii="Times New Roman" w:hAnsi="Times New Roman" w:eastAsia="宋体"/>
          <w:sz w:val="24"/>
          <w:szCs w:val="24"/>
        </w:rPr>
        <w:t>现有的能源、安全环境及质量管理制度进行了统计调查</w:t>
      </w:r>
      <w:r>
        <w:rPr>
          <w:rFonts w:hint="eastAsia" w:ascii="Times New Roman" w:hAnsi="Times New Roman" w:eastAsia="宋体"/>
          <w:sz w:val="24"/>
          <w:szCs w:val="24"/>
        </w:rPr>
        <w:t>。结果表明，企业生产</w:t>
      </w:r>
      <w:r>
        <w:rPr>
          <w:rFonts w:ascii="Times New Roman" w:hAnsi="Times New Roman" w:eastAsia="宋体"/>
          <w:sz w:val="24"/>
          <w:szCs w:val="24"/>
        </w:rPr>
        <w:t>质量管理制度体系基本完善，明确了各部门各车间的管理制度，明确了各岗位的职责与操作规程。</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目前公司已全面导入质量管理体系，不断改进生产技术，提高产品质量。</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以质量方针为公司质量管理的核心，它代表公司总的质量宗旨和质量方向，由公司总经理制订。为确保公司的质量方针被有效执行，各级相关部门均建立各自的质量目标，作为展开质量活动的依据和方向，各层级部门的质量目标与公司质量方针和持续改善相连贯。产品的性能指标作为质量目标的重要织成部分，也包括所有满足产品和服务要求所需完成的各项主要工作。</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公司根据实际工作需求设立组织架构，保证质量管理体系发挥预定功效。并且制定各管理层岗位职责及各部门工作职责,制定《岗位职责汇编》和质量管理体系职能分配表。</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公司建立产品质量管理体系时，确定了各相关环节，各个过程的质量控制，实现对产品质量的控制，对影响产品质量的各个环节，如：进料、工艺、成品及出货加以控制，确保产品质量满足客户需求。</w:t>
      </w:r>
    </w:p>
    <w:p>
      <w:pPr>
        <w:pStyle w:val="3"/>
        <w:widowControl w:val="0"/>
        <w:adjustRightInd/>
        <w:snapToGrid/>
        <w:spacing w:beforeLines="50" w:after="0" w:line="360" w:lineRule="auto"/>
        <w:rPr>
          <w:rFonts w:ascii="Times New Roman" w:hAnsi="Times New Roman"/>
          <w:color w:val="000000" w:themeColor="text1"/>
          <w:sz w:val="30"/>
          <w:szCs w:val="30"/>
        </w:rPr>
      </w:pPr>
      <w:bookmarkStart w:id="107" w:name="_Toc499903468"/>
      <w:bookmarkStart w:id="108" w:name="_Toc525138390"/>
      <w:bookmarkStart w:id="109" w:name="_Toc525138246"/>
      <w:bookmarkStart w:id="110" w:name="_Toc23045"/>
      <w:r>
        <w:rPr>
          <w:rFonts w:hint="eastAsia" w:ascii="Times New Roman" w:hAnsi="Times New Roman"/>
          <w:color w:val="000000" w:themeColor="text1"/>
          <w:sz w:val="30"/>
          <w:szCs w:val="30"/>
        </w:rPr>
        <w:t>3.4清洁生产水平</w:t>
      </w:r>
      <w:bookmarkEnd w:id="107"/>
      <w:bookmarkEnd w:id="108"/>
      <w:bookmarkEnd w:id="109"/>
      <w:r>
        <w:rPr>
          <w:rFonts w:hint="eastAsia" w:ascii="Times New Roman" w:hAnsi="Times New Roman"/>
          <w:color w:val="000000" w:themeColor="text1"/>
          <w:sz w:val="30"/>
          <w:szCs w:val="30"/>
        </w:rPr>
        <w:t>评估（审核前）</w:t>
      </w:r>
      <w:bookmarkEnd w:id="110"/>
    </w:p>
    <w:p>
      <w:pPr>
        <w:pStyle w:val="4"/>
        <w:widowControl w:val="0"/>
        <w:spacing w:beforeLines="50" w:after="0" w:line="360" w:lineRule="auto"/>
        <w:rPr>
          <w:rFonts w:ascii="Times New Roman" w:hAnsi="Times New Roman" w:eastAsia="宋体" w:cs="Courier New"/>
          <w:color w:val="000000" w:themeColor="text1"/>
          <w:sz w:val="28"/>
          <w:szCs w:val="30"/>
        </w:rPr>
      </w:pPr>
      <w:bookmarkStart w:id="111" w:name="_Toc525138247"/>
      <w:bookmarkStart w:id="112" w:name="_Toc17737"/>
      <w:bookmarkStart w:id="113" w:name="_Toc525138391"/>
      <w:bookmarkStart w:id="114" w:name="_Toc499903469"/>
      <w:r>
        <w:rPr>
          <w:rFonts w:hint="eastAsia" w:ascii="Times New Roman" w:hAnsi="Times New Roman" w:eastAsia="宋体" w:cs="Courier New"/>
          <w:color w:val="000000" w:themeColor="text1"/>
          <w:sz w:val="28"/>
          <w:szCs w:val="30"/>
        </w:rPr>
        <w:t>3.4</w:t>
      </w:r>
      <w:r>
        <w:rPr>
          <w:rFonts w:ascii="Times New Roman" w:hAnsi="Times New Roman" w:eastAsia="宋体" w:cs="Courier New"/>
          <w:color w:val="000000" w:themeColor="text1"/>
          <w:sz w:val="28"/>
          <w:szCs w:val="30"/>
        </w:rPr>
        <w:t>.1</w:t>
      </w:r>
      <w:r>
        <w:rPr>
          <w:rFonts w:hint="eastAsia" w:ascii="Times New Roman" w:hAnsi="Times New Roman" w:eastAsia="宋体" w:cs="Courier New"/>
          <w:color w:val="000000" w:themeColor="text1"/>
          <w:sz w:val="28"/>
          <w:szCs w:val="30"/>
        </w:rPr>
        <w:t>政策符合性分析</w:t>
      </w:r>
      <w:bookmarkEnd w:id="111"/>
      <w:bookmarkEnd w:id="112"/>
      <w:bookmarkEnd w:id="113"/>
      <w:bookmarkEnd w:id="114"/>
    </w:p>
    <w:p>
      <w:pPr>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sz w:val="24"/>
          <w:szCs w:val="24"/>
        </w:rPr>
        <w:t>根据中华人民共和国国家发展和改革委员会</w:t>
      </w:r>
      <w:r>
        <w:rPr>
          <w:rFonts w:hint="eastAsia" w:ascii="Times New Roman" w:hAnsi="Times New Roman" w:eastAsia="宋体"/>
          <w:sz w:val="24"/>
          <w:szCs w:val="24"/>
          <w:lang w:val="en-US" w:eastAsia="zh-CN"/>
        </w:rPr>
        <w:t>2023</w:t>
      </w:r>
      <w:r>
        <w:rPr>
          <w:rFonts w:hint="eastAsia" w:ascii="Times New Roman" w:hAnsi="Times New Roman" w:eastAsia="宋体"/>
          <w:sz w:val="24"/>
          <w:szCs w:val="24"/>
        </w:rPr>
        <w:t>第</w:t>
      </w:r>
      <w:r>
        <w:rPr>
          <w:rFonts w:hint="eastAsia" w:ascii="Times New Roman" w:hAnsi="Times New Roman" w:eastAsia="宋体"/>
          <w:sz w:val="24"/>
          <w:szCs w:val="24"/>
          <w:lang w:val="en-US" w:eastAsia="zh-CN"/>
        </w:rPr>
        <w:t>7</w:t>
      </w:r>
      <w:r>
        <w:rPr>
          <w:rFonts w:hint="eastAsia" w:ascii="Times New Roman" w:hAnsi="Times New Roman" w:eastAsia="宋体"/>
          <w:sz w:val="24"/>
          <w:szCs w:val="24"/>
        </w:rPr>
        <w:t>号</w:t>
      </w:r>
      <w:r>
        <w:rPr>
          <w:rFonts w:hint="eastAsia" w:ascii="Times New Roman" w:hAnsi="Times New Roman" w:eastAsia="宋体"/>
          <w:sz w:val="24"/>
          <w:szCs w:val="24"/>
          <w:lang w:val="en-US" w:eastAsia="zh-CN"/>
        </w:rPr>
        <w:t>令</w:t>
      </w:r>
      <w:r>
        <w:rPr>
          <w:rFonts w:hint="eastAsia" w:ascii="Times New Roman" w:hAnsi="Times New Roman" w:eastAsia="宋体"/>
          <w:sz w:val="24"/>
          <w:szCs w:val="24"/>
        </w:rPr>
        <w:t>《产业结构调整指导目录（20</w:t>
      </w:r>
      <w:r>
        <w:rPr>
          <w:rFonts w:hint="eastAsia" w:ascii="Times New Roman" w:hAnsi="Times New Roman" w:eastAsia="宋体"/>
          <w:sz w:val="24"/>
          <w:szCs w:val="24"/>
          <w:lang w:val="en-US" w:eastAsia="zh-CN"/>
        </w:rPr>
        <w:t>24</w:t>
      </w:r>
      <w:r>
        <w:rPr>
          <w:rFonts w:hint="eastAsia" w:ascii="Times New Roman" w:hAnsi="Times New Roman" w:eastAsia="宋体"/>
          <w:sz w:val="24"/>
          <w:szCs w:val="24"/>
        </w:rPr>
        <w:t>年本征求意见稿）》可知，</w:t>
      </w:r>
      <w:r>
        <w:rPr>
          <w:rFonts w:hint="eastAsia" w:ascii="Times New Roman" w:hAnsi="Times New Roman" w:eastAsia="宋体" w:cs="Times New Roman"/>
          <w:kern w:val="2"/>
          <w:sz w:val="24"/>
          <w:szCs w:val="24"/>
        </w:rPr>
        <w:t>本项目不属于政策中的鼓励类、限制类和淘汰类，为允许类项目；因此本项目符合国家产业政策要求</w:t>
      </w:r>
      <w:r>
        <w:rPr>
          <w:rFonts w:hint="eastAsia" w:ascii="Times New Roman" w:hAnsi="Times New Roman" w:eastAsia="宋体"/>
          <w:sz w:val="24"/>
          <w:szCs w:val="24"/>
        </w:rPr>
        <w:t>。</w:t>
      </w:r>
    </w:p>
    <w:p>
      <w:pPr>
        <w:pStyle w:val="4"/>
        <w:widowControl w:val="0"/>
        <w:spacing w:beforeLines="50" w:after="0" w:line="360" w:lineRule="auto"/>
        <w:rPr>
          <w:rFonts w:ascii="Times New Roman" w:hAnsi="Times New Roman" w:eastAsia="宋体" w:cs="Courier New"/>
          <w:sz w:val="28"/>
          <w:szCs w:val="30"/>
        </w:rPr>
      </w:pPr>
      <w:bookmarkStart w:id="115" w:name="_Toc525142379"/>
      <w:bookmarkStart w:id="116" w:name="_Toc499903470"/>
      <w:bookmarkStart w:id="117" w:name="_Toc6820"/>
      <w:r>
        <w:rPr>
          <w:rFonts w:hint="eastAsia" w:ascii="Times New Roman" w:hAnsi="Times New Roman" w:eastAsia="宋体" w:cs="Courier New"/>
          <w:sz w:val="28"/>
          <w:szCs w:val="30"/>
        </w:rPr>
        <w:t>3.4</w:t>
      </w:r>
      <w:r>
        <w:rPr>
          <w:rFonts w:ascii="Times New Roman" w:hAnsi="Times New Roman" w:eastAsia="宋体" w:cs="Courier New"/>
          <w:sz w:val="28"/>
          <w:szCs w:val="30"/>
        </w:rPr>
        <w:t>.</w:t>
      </w:r>
      <w:r>
        <w:rPr>
          <w:rFonts w:hint="eastAsia" w:ascii="Times New Roman" w:hAnsi="Times New Roman" w:eastAsia="宋体" w:cs="Courier New"/>
          <w:sz w:val="28"/>
          <w:szCs w:val="30"/>
        </w:rPr>
        <w:t>2清洁生产水平评价</w:t>
      </w:r>
      <w:bookmarkEnd w:id="115"/>
      <w:bookmarkEnd w:id="116"/>
      <w:bookmarkEnd w:id="117"/>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根据国家发展和改革委员会制定和发布的</w:t>
      </w:r>
      <w:r>
        <w:rPr>
          <w:rFonts w:hint="eastAsia" w:ascii="Times New Roman" w:hAnsi="Times New Roman" w:eastAsia="宋体"/>
          <w:sz w:val="24"/>
          <w:szCs w:val="24"/>
          <w:lang w:val="en-US" w:eastAsia="zh-CN"/>
        </w:rPr>
        <w:t>清洁生产行业评价指标体系，暂时还没有汽车零部件加工生产清洁生产评价指标，</w:t>
      </w:r>
      <w:r>
        <w:rPr>
          <w:rFonts w:hint="eastAsia" w:ascii="Times New Roman" w:hAnsi="Times New Roman" w:eastAsia="宋体"/>
          <w:sz w:val="24"/>
          <w:szCs w:val="24"/>
        </w:rPr>
        <w:t>清洁生产审核小组按照企业生产过程的原材料、技术工艺、设备、过程控制、管理、员工、产品及废弃物等8个方面，对公司的产污排污情况进行了全面调查分析，情况如下：</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（1）原材料方面</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生产所需原材料为塑料颗粒</w:t>
      </w:r>
      <w:r>
        <w:rPr>
          <w:rFonts w:hint="eastAsia" w:ascii="Times New Roman" w:hAnsi="Times New Roman" w:eastAsia="宋体"/>
          <w:sz w:val="24"/>
          <w:szCs w:val="24"/>
          <w:lang w:val="en-US" w:eastAsia="zh-CN"/>
        </w:rPr>
        <w:t>和管材</w:t>
      </w:r>
      <w:r>
        <w:rPr>
          <w:rFonts w:hint="eastAsia" w:ascii="Times New Roman" w:hAnsi="Times New Roman" w:eastAsia="宋体"/>
          <w:sz w:val="24"/>
          <w:szCs w:val="24"/>
        </w:rPr>
        <w:t>，公司对所有进厂原材料进行了有效的检验，减少了不合格原材料的流入，材料的领用贯彻了先入先出原则，减少了材料的报废。</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（2）工艺技术方面</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 xml:space="preserve"> 公司总体工艺成熟稳定。但在审核中发现，下料等设备生产时可通过工艺改善提高原材料利用率和降低能源使用量，建议在本轮清洁生产审核中加以改善。</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（3）设备方面</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 xml:space="preserve"> 使用的主要设备状况比较良好，未使用国家明令淘汰的设备，但设备能源消耗大，存在明显的清洁生产机会。同时部分设备还存在“跑、冒、滴、漏”现象，缺乏维修保养计划、维修台账等基础资料，应加强设备的定期维护和检修管理。建议设立设备点检表，要求操作员工及维修工每日按照规定内容进行设备维护与保养，以提高设备运行效率与运行周期。</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（4）过程控制</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目前公司用电有二级计量用水仅为一级计量，应强化和完善计量，建议在重点用电的设备和生产线都安装计量装置，由车间计量向生产线及重点设备改进。并对生产一线员工加强清洁生产与工艺条件、操作规范方面的培训。</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（5）管理方面</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公司管理总体架构齐全，职责分工明确，各项管理制度比较健全，但需要加强监督和控制。公司在能源管理上计量与考核仍有缺陷，应规范停开机管理，完善设备档案，同时公司在安全培训、激励机制上需要加强，建立清洁生产管理考核制度等，提高全员参与的积极性和主动性。</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（6）员工素质</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新员工和转岗员工清洁生产意识需要加强，员工需进一步提高操作技能。要提高员工积极性和进取精神，这样才能减少废物产生。员工必须提高节能降耗意识。同时审核中发现产品使用过程中因操作人员的素质参差不齐，导致设备使用寿命较低，建议对产品使用人员加强培训，提高产品的使用寿命降低维修成本。</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（7）产品方面</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产品无有害成分，但需进一步规范产品使用说明的内容，以提高产品的正确使用率。同时，应积极提升产品高技术含量，提高产品附加值，从而降低单位产品消耗，提高产品市场价值。</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（8）废弃物</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 xml:space="preserve"> 废弃物本身所具有的特性和所处的状态直接关系到它是否可现场再用和循环使用。“废弃物”只有当其离开生产过程时才称其为废弃物，否则仍为生产过程中的有用材料和物质。审核中发现目前各工段产生的废弃物均堆放在各工段，可完善废物储存间，将废物按类别分类堆放，便于收集回收利用。</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根据公司的行业属性，公司清洁生产水平可参考同类行业清洁生产评价体系，对公司主要生产指标进行评价，从生产工艺与装备要求、资源能源利用指标、产品指标、污染物产生指标、废物回收利用指标、环境管理要求等进行具体评价，并将未达到清洁生产技术标准的项目改善作为清洁生产方案之一。</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根据清洁生产的原则要求和指标的可度量性，为了综合考核企业清洁生产的总体水平，对企业进行了定量化评价指标和定性化评价指标考核评分，将这两类指标的考核得分按不同权重（</w:t>
      </w:r>
      <w:r>
        <w:rPr>
          <w:rFonts w:hint="eastAsia" w:ascii="Times New Roman" w:hAnsi="Times New Roman" w:eastAsia="宋体"/>
          <w:sz w:val="24"/>
          <w:szCs w:val="24"/>
          <w:lang w:val="en-US" w:eastAsia="zh-CN"/>
        </w:rPr>
        <w:t>汽车零部件</w:t>
      </w:r>
      <w:r>
        <w:rPr>
          <w:rFonts w:hint="eastAsia" w:ascii="Times New Roman" w:hAnsi="Times New Roman" w:eastAsia="宋体"/>
          <w:sz w:val="24"/>
          <w:szCs w:val="24"/>
        </w:rPr>
        <w:t>行业暂以定性化评价指标为主，以定量化评价指标为辅）予以综合，得出该企业的清洁生产综合评价指数(P)。</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综合评价指数是描述和评价被考核企业在考核年度内清洁生产总体水平的一项综合指标，指数的高低体现了企业不同的清洁生产水平，综合评价指数的计算公式为：</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P=0.4P1+0.6P2</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式中：</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P——企业清洁生产的综合评价指数，其值在 0～100 之间；</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P1、P2——分别为定量评价指标和定性评价指标中各考核总分值。</w:t>
      </w:r>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根据综合评价指数，可将</w:t>
      </w:r>
      <w:r>
        <w:rPr>
          <w:rFonts w:hint="eastAsia" w:ascii="Times New Roman" w:hAnsi="Times New Roman" w:eastAsia="宋体"/>
          <w:sz w:val="24"/>
          <w:szCs w:val="24"/>
          <w:lang w:val="en-US" w:eastAsia="zh-CN"/>
        </w:rPr>
        <w:t>汽车零部件</w:t>
      </w:r>
      <w:r>
        <w:rPr>
          <w:rFonts w:hint="eastAsia" w:ascii="Times New Roman" w:hAnsi="Times New Roman" w:eastAsia="宋体"/>
          <w:sz w:val="24"/>
          <w:szCs w:val="24"/>
        </w:rPr>
        <w:t>制造</w:t>
      </w:r>
      <w:r>
        <w:rPr>
          <w:rFonts w:ascii="Times New Roman" w:hAnsi="Times New Roman" w:eastAsia="宋体"/>
          <w:sz w:val="24"/>
          <w:szCs w:val="24"/>
        </w:rPr>
        <w:t>行业企业清洁生产水平划分为两级，即国内清洁生产先进水平和国内清洁生产一般水平。对于综合评价指数（分值）≥9</w:t>
      </w:r>
      <w:r>
        <w:rPr>
          <w:rFonts w:hint="eastAsia" w:ascii="Times New Roman" w:hAnsi="Times New Roman" w:eastAsia="宋体"/>
          <w:sz w:val="24"/>
          <w:szCs w:val="24"/>
        </w:rPr>
        <w:t>0</w:t>
      </w:r>
      <w:r>
        <w:rPr>
          <w:rFonts w:ascii="Times New Roman" w:hAnsi="Times New Roman" w:eastAsia="宋体"/>
          <w:sz w:val="24"/>
          <w:szCs w:val="24"/>
        </w:rPr>
        <w:t xml:space="preserve"> 的企业，可评定为清洁生产先进企业；对于综合评价指数值（分值）处于 8</w:t>
      </w:r>
      <w:r>
        <w:rPr>
          <w:rFonts w:hint="eastAsia" w:ascii="Times New Roman" w:hAnsi="Times New Roman" w:eastAsia="宋体"/>
          <w:sz w:val="24"/>
          <w:szCs w:val="24"/>
        </w:rPr>
        <w:t>0</w:t>
      </w:r>
      <w:r>
        <w:rPr>
          <w:rFonts w:ascii="Times New Roman" w:hAnsi="Times New Roman" w:eastAsia="宋体"/>
          <w:sz w:val="24"/>
          <w:szCs w:val="24"/>
        </w:rPr>
        <w:t>≤P&lt;9</w:t>
      </w:r>
      <w:r>
        <w:rPr>
          <w:rFonts w:hint="eastAsia" w:ascii="Times New Roman" w:hAnsi="Times New Roman" w:eastAsia="宋体"/>
          <w:sz w:val="24"/>
          <w:szCs w:val="24"/>
        </w:rPr>
        <w:t>0</w:t>
      </w:r>
      <w:r>
        <w:rPr>
          <w:rFonts w:ascii="Times New Roman" w:hAnsi="Times New Roman" w:eastAsia="宋体"/>
          <w:sz w:val="24"/>
          <w:szCs w:val="24"/>
        </w:rPr>
        <w:t xml:space="preserve"> 的企业， 可评为清洁生产企业；对于清洁生产综合评价指数（分值）&lt;8</w:t>
      </w:r>
      <w:r>
        <w:rPr>
          <w:rFonts w:hint="eastAsia" w:ascii="Times New Roman" w:hAnsi="Times New Roman" w:eastAsia="宋体"/>
          <w:sz w:val="24"/>
          <w:szCs w:val="24"/>
        </w:rPr>
        <w:t>0</w:t>
      </w:r>
      <w:r>
        <w:rPr>
          <w:rFonts w:ascii="Times New Roman" w:hAnsi="Times New Roman" w:eastAsia="宋体"/>
          <w:sz w:val="24"/>
          <w:szCs w:val="24"/>
        </w:rPr>
        <w:t xml:space="preserve"> 的企业，应类比本行业清洁生产先进企业，积极推行清洁生产，加大技术改造力度，强化全面管理， 提高清洁生产水平。</w:t>
      </w:r>
    </w:p>
    <w:p>
      <w:pPr>
        <w:spacing w:line="360" w:lineRule="auto"/>
        <w:jc w:val="center"/>
        <w:rPr>
          <w:rFonts w:ascii="Times New Roman" w:hAnsi="Times New Roman" w:eastAsia="宋体" w:cs="Times New Roman"/>
          <w:kern w:val="2"/>
          <w:sz w:val="24"/>
          <w:szCs w:val="24"/>
        </w:rPr>
      </w:pPr>
      <w:r>
        <w:rPr>
          <w:rFonts w:ascii="Times New Roman" w:hAnsi="Times New Roman" w:eastAsia="宋体" w:cs="Times New Roman"/>
          <w:kern w:val="2"/>
          <w:sz w:val="24"/>
          <w:szCs w:val="24"/>
        </w:rPr>
        <w:t>表</w:t>
      </w:r>
      <w:r>
        <w:rPr>
          <w:rFonts w:hint="eastAsia" w:ascii="Times New Roman" w:hAnsi="Times New Roman" w:eastAsia="宋体" w:cs="Times New Roman"/>
          <w:kern w:val="2"/>
          <w:sz w:val="24"/>
          <w:szCs w:val="24"/>
          <w:lang w:val="en-US" w:eastAsia="zh-CN"/>
        </w:rPr>
        <w:t>3</w:t>
      </w:r>
      <w:r>
        <w:rPr>
          <w:rFonts w:ascii="Times New Roman" w:hAnsi="Times New Roman" w:eastAsia="宋体" w:cs="Times New Roman"/>
          <w:kern w:val="2"/>
          <w:sz w:val="24"/>
          <w:szCs w:val="24"/>
        </w:rPr>
        <w:t>-</w:t>
      </w:r>
      <w:r>
        <w:rPr>
          <w:rFonts w:hint="eastAsia" w:ascii="Times New Roman" w:hAnsi="Times New Roman" w:eastAsia="宋体" w:cs="Times New Roman"/>
          <w:kern w:val="2"/>
          <w:sz w:val="24"/>
          <w:szCs w:val="24"/>
          <w:lang w:val="en-US" w:eastAsia="zh-CN"/>
        </w:rPr>
        <w:t>20</w:t>
      </w:r>
      <w:r>
        <w:rPr>
          <w:rFonts w:hint="eastAsia" w:ascii="Times New Roman" w:hAnsi="Times New Roman" w:eastAsia="宋体" w:cs="Times New Roman"/>
          <w:kern w:val="2"/>
          <w:sz w:val="24"/>
          <w:szCs w:val="24"/>
        </w:rPr>
        <w:t xml:space="preserve">  机械</w:t>
      </w:r>
      <w:r>
        <w:rPr>
          <w:rFonts w:ascii="Times New Roman" w:hAnsi="Times New Roman" w:eastAsia="宋体" w:cs="Times New Roman"/>
          <w:kern w:val="2"/>
          <w:sz w:val="24"/>
          <w:szCs w:val="24"/>
        </w:rPr>
        <w:t>行业</w:t>
      </w:r>
      <w:r>
        <w:rPr>
          <w:rFonts w:hint="eastAsia" w:ascii="Times New Roman" w:hAnsi="Times New Roman" w:eastAsia="宋体" w:cs="Times New Roman"/>
          <w:kern w:val="2"/>
          <w:sz w:val="24"/>
          <w:szCs w:val="24"/>
        </w:rPr>
        <w:t>企业</w:t>
      </w:r>
      <w:r>
        <w:rPr>
          <w:rFonts w:ascii="Times New Roman" w:hAnsi="Times New Roman" w:eastAsia="宋体" w:cs="Times New Roman"/>
          <w:kern w:val="2"/>
          <w:sz w:val="24"/>
          <w:szCs w:val="24"/>
        </w:rPr>
        <w:t>清洁生产等级划分标准</w:t>
      </w:r>
    </w:p>
    <w:tbl>
      <w:tblPr>
        <w:tblStyle w:val="62"/>
        <w:tblW w:w="8524"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263"/>
        <w:gridCol w:w="426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4263" w:type="dxa"/>
            <w:tcBorders>
              <w:bottom w:val="single" w:color="000000" w:sz="6" w:space="0"/>
              <w:right w:val="single" w:color="000000" w:sz="6" w:space="0"/>
            </w:tcBorders>
          </w:tcPr>
          <w:p>
            <w:pPr>
              <w:pStyle w:val="64"/>
              <w:spacing w:before="120"/>
              <w:ind w:left="1269" w:right="1251"/>
              <w:jc w:val="center"/>
              <w:rPr>
                <w:sz w:val="21"/>
                <w:lang w:eastAsia="en-US"/>
              </w:rPr>
            </w:pPr>
            <w:r>
              <w:rPr>
                <w:sz w:val="21"/>
                <w:lang w:eastAsia="en-US"/>
              </w:rPr>
              <w:t>清洁生产企业等级</w:t>
            </w:r>
          </w:p>
        </w:tc>
        <w:tc>
          <w:tcPr>
            <w:tcW w:w="4261" w:type="dxa"/>
            <w:tcBorders>
              <w:left w:val="single" w:color="000000" w:sz="6" w:space="0"/>
              <w:bottom w:val="single" w:color="000000" w:sz="6" w:space="0"/>
            </w:tcBorders>
          </w:tcPr>
          <w:p>
            <w:pPr>
              <w:pStyle w:val="64"/>
              <w:spacing w:before="120"/>
              <w:ind w:left="1065" w:right="1032"/>
              <w:jc w:val="center"/>
              <w:rPr>
                <w:sz w:val="21"/>
                <w:lang w:eastAsia="zh-CN"/>
              </w:rPr>
            </w:pPr>
            <w:r>
              <w:rPr>
                <w:sz w:val="21"/>
                <w:lang w:eastAsia="zh-CN"/>
              </w:rPr>
              <w:t>清洁生产综合评价指数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4263" w:type="dxa"/>
            <w:tcBorders>
              <w:top w:val="single" w:color="000000" w:sz="6" w:space="0"/>
              <w:bottom w:val="single" w:color="000000" w:sz="6" w:space="0"/>
              <w:right w:val="single" w:color="000000" w:sz="6" w:space="0"/>
            </w:tcBorders>
          </w:tcPr>
          <w:p>
            <w:pPr>
              <w:pStyle w:val="64"/>
              <w:spacing w:before="121"/>
              <w:ind w:left="1269" w:right="1251"/>
              <w:jc w:val="center"/>
              <w:rPr>
                <w:sz w:val="21"/>
                <w:lang w:eastAsia="zh-CN"/>
              </w:rPr>
            </w:pPr>
            <w:r>
              <w:rPr>
                <w:rFonts w:hint="eastAsia"/>
                <w:sz w:val="21"/>
                <w:lang w:eastAsia="zh-CN"/>
              </w:rPr>
              <w:t>国内</w:t>
            </w:r>
            <w:r>
              <w:rPr>
                <w:sz w:val="21"/>
                <w:lang w:eastAsia="zh-CN"/>
              </w:rPr>
              <w:t>清洁生产先进企业</w:t>
            </w:r>
          </w:p>
        </w:tc>
        <w:tc>
          <w:tcPr>
            <w:tcW w:w="4261" w:type="dxa"/>
            <w:tcBorders>
              <w:top w:val="single" w:color="000000" w:sz="6" w:space="0"/>
              <w:left w:val="single" w:color="000000" w:sz="6" w:space="0"/>
              <w:bottom w:val="single" w:color="000000" w:sz="6" w:space="0"/>
            </w:tcBorders>
          </w:tcPr>
          <w:p>
            <w:pPr>
              <w:pStyle w:val="64"/>
              <w:spacing w:before="135"/>
              <w:ind w:left="1063" w:right="1032"/>
              <w:jc w:val="center"/>
              <w:rPr>
                <w:rFonts w:ascii="Times New Roman" w:hAnsi="Times New Roman"/>
                <w:sz w:val="21"/>
                <w:lang w:eastAsia="zh-CN"/>
              </w:rPr>
            </w:pPr>
            <w:r>
              <w:rPr>
                <w:rFonts w:ascii="Times New Roman" w:hAnsi="Times New Roman"/>
                <w:sz w:val="21"/>
                <w:lang w:eastAsia="en-US"/>
              </w:rPr>
              <w:t>P≥9</w:t>
            </w:r>
            <w:r>
              <w:rPr>
                <w:rFonts w:hint="eastAsia" w:ascii="Times New Roman" w:hAnsi="Times New Roman"/>
                <w:sz w:val="21"/>
                <w:lang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4263" w:type="dxa"/>
            <w:tcBorders>
              <w:top w:val="single" w:color="000000" w:sz="6" w:space="0"/>
              <w:right w:val="single" w:color="000000" w:sz="6" w:space="0"/>
            </w:tcBorders>
          </w:tcPr>
          <w:p>
            <w:pPr>
              <w:pStyle w:val="64"/>
              <w:spacing w:before="121"/>
              <w:ind w:left="1269" w:right="1249"/>
              <w:jc w:val="center"/>
              <w:rPr>
                <w:sz w:val="21"/>
                <w:lang w:eastAsia="en-US"/>
              </w:rPr>
            </w:pPr>
            <w:r>
              <w:rPr>
                <w:rFonts w:hint="eastAsia"/>
                <w:sz w:val="21"/>
                <w:lang w:eastAsia="zh-CN"/>
              </w:rPr>
              <w:t>国内</w:t>
            </w:r>
            <w:r>
              <w:rPr>
                <w:sz w:val="21"/>
                <w:lang w:eastAsia="en-US"/>
              </w:rPr>
              <w:t>清洁生产企业</w:t>
            </w:r>
          </w:p>
        </w:tc>
        <w:tc>
          <w:tcPr>
            <w:tcW w:w="4261" w:type="dxa"/>
            <w:tcBorders>
              <w:top w:val="single" w:color="000000" w:sz="6" w:space="0"/>
              <w:left w:val="single" w:color="000000" w:sz="6" w:space="0"/>
            </w:tcBorders>
          </w:tcPr>
          <w:p>
            <w:pPr>
              <w:pStyle w:val="64"/>
              <w:spacing w:before="121"/>
              <w:ind w:left="1065" w:right="1032"/>
              <w:jc w:val="center"/>
              <w:rPr>
                <w:rFonts w:ascii="Times New Roman" w:hAnsi="Times New Roman" w:eastAsiaTheme="minorEastAsia"/>
                <w:sz w:val="21"/>
                <w:lang w:eastAsia="zh-CN"/>
              </w:rPr>
            </w:pPr>
            <w:r>
              <w:rPr>
                <w:rFonts w:ascii="Times New Roman" w:hAnsi="Times New Roman" w:eastAsia="Times New Roman"/>
                <w:sz w:val="21"/>
                <w:lang w:eastAsia="en-US"/>
              </w:rPr>
              <w:t>8</w:t>
            </w:r>
            <w:r>
              <w:rPr>
                <w:rFonts w:hint="eastAsia" w:ascii="Times New Roman" w:hAnsi="Times New Roman" w:eastAsiaTheme="minorEastAsia"/>
                <w:sz w:val="21"/>
                <w:lang w:eastAsia="zh-CN"/>
              </w:rPr>
              <w:t>0</w:t>
            </w:r>
            <w:r>
              <w:rPr>
                <w:rFonts w:ascii="Times New Roman" w:hAnsi="Times New Roman" w:eastAsia="Times New Roman"/>
                <w:sz w:val="21"/>
                <w:lang w:eastAsia="en-US"/>
              </w:rPr>
              <w:t>≤P</w:t>
            </w:r>
            <w:r>
              <w:rPr>
                <w:sz w:val="21"/>
                <w:lang w:eastAsia="en-US"/>
              </w:rPr>
              <w:t>＜</w:t>
            </w:r>
            <w:r>
              <w:rPr>
                <w:rFonts w:ascii="Times New Roman" w:hAnsi="Times New Roman" w:eastAsia="Times New Roman"/>
                <w:sz w:val="21"/>
                <w:lang w:eastAsia="en-US"/>
              </w:rPr>
              <w:t>9</w:t>
            </w:r>
            <w:r>
              <w:rPr>
                <w:rFonts w:hint="eastAsia" w:ascii="Times New Roman" w:hAnsi="Times New Roman" w:eastAsiaTheme="minorEastAsia"/>
                <w:sz w:val="21"/>
                <w:lang w:eastAsia="zh-CN"/>
              </w:rPr>
              <w:t>0</w:t>
            </w:r>
          </w:p>
        </w:tc>
      </w:tr>
    </w:tbl>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现阶段清洁生产水平状况评价见表3-2</w:t>
      </w:r>
      <w:r>
        <w:rPr>
          <w:rFonts w:hint="eastAsia" w:ascii="Times New Roman" w:hAnsi="Times New Roman" w:eastAsia="宋体"/>
          <w:sz w:val="24"/>
          <w:szCs w:val="24"/>
          <w:lang w:val="en-US" w:eastAsia="zh-CN"/>
        </w:rPr>
        <w:t>1</w:t>
      </w:r>
      <w:r>
        <w:rPr>
          <w:rFonts w:hint="eastAsia" w:ascii="Times New Roman" w:hAnsi="Times New Roman" w:eastAsia="宋体"/>
          <w:sz w:val="24"/>
          <w:szCs w:val="24"/>
        </w:rPr>
        <w:t>和表3-2</w:t>
      </w:r>
      <w:r>
        <w:rPr>
          <w:rFonts w:hint="eastAsia" w:ascii="Times New Roman" w:hAnsi="Times New Roman" w:eastAsia="宋体"/>
          <w:sz w:val="24"/>
          <w:szCs w:val="24"/>
          <w:lang w:val="en-US" w:eastAsia="zh-CN"/>
        </w:rPr>
        <w:t>2</w:t>
      </w:r>
      <w:r>
        <w:rPr>
          <w:rFonts w:hint="eastAsia" w:ascii="Times New Roman" w:hAnsi="Times New Roman" w:eastAsia="宋体"/>
          <w:sz w:val="24"/>
          <w:szCs w:val="24"/>
        </w:rPr>
        <w:t>。</w:t>
      </w:r>
    </w:p>
    <w:p>
      <w:pPr>
        <w:spacing w:after="0" w:line="360" w:lineRule="auto"/>
        <w:ind w:firstLine="480" w:firstLineChars="200"/>
        <w:jc w:val="center"/>
        <w:rPr>
          <w:rFonts w:ascii="Times New Roman" w:hAnsi="Times New Roman" w:eastAsia="宋体" w:cs="Times New Roman"/>
          <w:kern w:val="2"/>
          <w:sz w:val="24"/>
          <w:szCs w:val="24"/>
        </w:rPr>
      </w:pPr>
    </w:p>
    <w:p>
      <w:pPr>
        <w:spacing w:after="0" w:line="360" w:lineRule="auto"/>
        <w:ind w:firstLine="480" w:firstLineChars="200"/>
        <w:jc w:val="center"/>
        <w:rPr>
          <w:rFonts w:ascii="Times New Roman" w:hAnsi="Times New Roman" w:eastAsia="宋体" w:cs="Times New Roman"/>
          <w:kern w:val="2"/>
          <w:sz w:val="24"/>
          <w:szCs w:val="24"/>
        </w:rPr>
      </w:pPr>
    </w:p>
    <w:p>
      <w:pPr>
        <w:spacing w:after="0" w:line="360" w:lineRule="auto"/>
        <w:ind w:firstLine="480" w:firstLineChars="200"/>
        <w:jc w:val="center"/>
        <w:rPr>
          <w:rFonts w:ascii="Times New Roman" w:hAnsi="Times New Roman" w:eastAsia="宋体" w:cs="Times New Roman"/>
          <w:kern w:val="2"/>
          <w:sz w:val="24"/>
          <w:szCs w:val="24"/>
        </w:rPr>
      </w:pPr>
      <w:r>
        <w:rPr>
          <w:rFonts w:ascii="Times New Roman" w:hAnsi="Times New Roman" w:eastAsia="宋体" w:cs="Times New Roman"/>
          <w:kern w:val="2"/>
          <w:sz w:val="24"/>
          <w:szCs w:val="24"/>
        </w:rPr>
        <w:t>表</w:t>
      </w:r>
      <w:r>
        <w:rPr>
          <w:rFonts w:hint="eastAsia" w:ascii="Times New Roman" w:hAnsi="Times New Roman" w:eastAsia="宋体" w:cs="Times New Roman"/>
          <w:kern w:val="2"/>
          <w:sz w:val="24"/>
          <w:szCs w:val="24"/>
          <w:lang w:val="en-US" w:eastAsia="zh-CN"/>
        </w:rPr>
        <w:t>3-21</w:t>
      </w:r>
      <w:r>
        <w:rPr>
          <w:rFonts w:hint="eastAsia" w:ascii="Times New Roman" w:hAnsi="Times New Roman" w:eastAsia="宋体" w:cs="Times New Roman"/>
          <w:kern w:val="2"/>
          <w:sz w:val="24"/>
          <w:szCs w:val="24"/>
        </w:rPr>
        <w:t xml:space="preserve"> </w:t>
      </w:r>
      <w:r>
        <w:rPr>
          <w:rFonts w:ascii="Times New Roman" w:hAnsi="Times New Roman" w:eastAsia="宋体" w:cs="Times New Roman"/>
          <w:kern w:val="2"/>
          <w:sz w:val="24"/>
          <w:szCs w:val="24"/>
        </w:rPr>
        <w:t>企业清洁生产定量评价指标项目</w:t>
      </w:r>
    </w:p>
    <w:tbl>
      <w:tblPr>
        <w:tblStyle w:val="27"/>
        <w:tblW w:w="8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626"/>
        <w:gridCol w:w="2187"/>
        <w:gridCol w:w="899"/>
        <w:gridCol w:w="555"/>
        <w:gridCol w:w="992"/>
        <w:gridCol w:w="992"/>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Align w:val="center"/>
          </w:tcPr>
          <w:p>
            <w:pPr>
              <w:pStyle w:val="45"/>
              <w:rPr>
                <w:rFonts w:ascii="宋体"/>
                <w:b/>
                <w:bCs/>
                <w:kern w:val="0"/>
                <w:szCs w:val="21"/>
              </w:rPr>
            </w:pPr>
            <w:r>
              <w:rPr>
                <w:rFonts w:hint="eastAsia" w:ascii="宋体"/>
                <w:b/>
                <w:bCs/>
                <w:szCs w:val="21"/>
              </w:rPr>
              <w:t>一级指标</w:t>
            </w:r>
          </w:p>
        </w:tc>
        <w:tc>
          <w:tcPr>
            <w:tcW w:w="626" w:type="dxa"/>
            <w:vAlign w:val="center"/>
          </w:tcPr>
          <w:p>
            <w:pPr>
              <w:pStyle w:val="45"/>
              <w:rPr>
                <w:rFonts w:ascii="宋体"/>
                <w:b/>
                <w:bCs/>
                <w:kern w:val="0"/>
                <w:szCs w:val="21"/>
              </w:rPr>
            </w:pPr>
            <w:r>
              <w:rPr>
                <w:rFonts w:hint="eastAsia" w:ascii="宋体"/>
                <w:b/>
                <w:bCs/>
                <w:szCs w:val="21"/>
              </w:rPr>
              <w:t>权重值</w:t>
            </w:r>
          </w:p>
        </w:tc>
        <w:tc>
          <w:tcPr>
            <w:tcW w:w="2187" w:type="dxa"/>
            <w:vAlign w:val="center"/>
          </w:tcPr>
          <w:p>
            <w:pPr>
              <w:pStyle w:val="45"/>
              <w:rPr>
                <w:rFonts w:ascii="宋体"/>
                <w:b/>
                <w:bCs/>
                <w:kern w:val="0"/>
                <w:szCs w:val="21"/>
              </w:rPr>
            </w:pPr>
            <w:r>
              <w:rPr>
                <w:rFonts w:hint="eastAsia" w:ascii="宋体"/>
                <w:b/>
                <w:bCs/>
                <w:szCs w:val="21"/>
              </w:rPr>
              <w:t>二级指标</w:t>
            </w:r>
          </w:p>
        </w:tc>
        <w:tc>
          <w:tcPr>
            <w:tcW w:w="899" w:type="dxa"/>
            <w:vAlign w:val="center"/>
          </w:tcPr>
          <w:p>
            <w:pPr>
              <w:pStyle w:val="45"/>
              <w:rPr>
                <w:rFonts w:ascii="宋体"/>
                <w:b/>
                <w:bCs/>
                <w:kern w:val="0"/>
                <w:szCs w:val="21"/>
              </w:rPr>
            </w:pPr>
            <w:r>
              <w:rPr>
                <w:rFonts w:hint="eastAsia" w:ascii="宋体"/>
                <w:b/>
                <w:bCs/>
                <w:szCs w:val="21"/>
              </w:rPr>
              <w:t>单位</w:t>
            </w:r>
          </w:p>
        </w:tc>
        <w:tc>
          <w:tcPr>
            <w:tcW w:w="555" w:type="dxa"/>
            <w:vAlign w:val="center"/>
          </w:tcPr>
          <w:p>
            <w:pPr>
              <w:pStyle w:val="45"/>
              <w:rPr>
                <w:rFonts w:ascii="宋体" w:eastAsia="宋体"/>
                <w:b/>
                <w:bCs/>
                <w:kern w:val="0"/>
                <w:szCs w:val="21"/>
              </w:rPr>
            </w:pPr>
            <w:r>
              <w:rPr>
                <w:rFonts w:hint="eastAsia" w:ascii="宋体"/>
                <w:b/>
                <w:bCs/>
                <w:szCs w:val="21"/>
              </w:rPr>
              <w:t>权重</w:t>
            </w:r>
          </w:p>
          <w:p>
            <w:pPr>
              <w:pStyle w:val="45"/>
              <w:rPr>
                <w:rFonts w:ascii="宋体"/>
                <w:b/>
                <w:bCs/>
                <w:kern w:val="0"/>
                <w:szCs w:val="21"/>
              </w:rPr>
            </w:pPr>
            <w:r>
              <w:rPr>
                <w:rFonts w:hint="eastAsia" w:ascii="宋体"/>
                <w:b/>
                <w:bCs/>
                <w:szCs w:val="21"/>
              </w:rPr>
              <w:t>分值</w:t>
            </w:r>
          </w:p>
        </w:tc>
        <w:tc>
          <w:tcPr>
            <w:tcW w:w="992" w:type="dxa"/>
            <w:vAlign w:val="center"/>
          </w:tcPr>
          <w:p>
            <w:pPr>
              <w:pStyle w:val="45"/>
              <w:rPr>
                <w:rFonts w:ascii="宋体" w:eastAsia="宋体"/>
                <w:b/>
                <w:bCs/>
                <w:kern w:val="0"/>
                <w:szCs w:val="21"/>
              </w:rPr>
            </w:pPr>
            <w:r>
              <w:rPr>
                <w:rFonts w:hint="eastAsia" w:ascii="宋体"/>
                <w:b/>
                <w:bCs/>
                <w:szCs w:val="21"/>
              </w:rPr>
              <w:t>评价</w:t>
            </w:r>
          </w:p>
          <w:p>
            <w:pPr>
              <w:pStyle w:val="45"/>
              <w:rPr>
                <w:rFonts w:ascii="宋体"/>
                <w:b/>
                <w:bCs/>
                <w:kern w:val="0"/>
                <w:szCs w:val="21"/>
              </w:rPr>
            </w:pPr>
            <w:r>
              <w:rPr>
                <w:rFonts w:hint="eastAsia" w:ascii="宋体"/>
                <w:b/>
                <w:bCs/>
                <w:szCs w:val="21"/>
              </w:rPr>
              <w:t>基准值</w:t>
            </w:r>
          </w:p>
        </w:tc>
        <w:tc>
          <w:tcPr>
            <w:tcW w:w="992" w:type="dxa"/>
            <w:vAlign w:val="center"/>
          </w:tcPr>
          <w:p>
            <w:pPr>
              <w:pStyle w:val="45"/>
              <w:rPr>
                <w:rFonts w:ascii="宋体"/>
                <w:b/>
                <w:bCs/>
                <w:kern w:val="0"/>
                <w:szCs w:val="21"/>
              </w:rPr>
            </w:pPr>
            <w:r>
              <w:rPr>
                <w:rFonts w:hint="eastAsia" w:ascii="宋体"/>
                <w:b/>
                <w:bCs/>
                <w:szCs w:val="21"/>
              </w:rPr>
              <w:t>实际值</w:t>
            </w:r>
          </w:p>
        </w:tc>
        <w:tc>
          <w:tcPr>
            <w:tcW w:w="992" w:type="dxa"/>
            <w:vAlign w:val="center"/>
          </w:tcPr>
          <w:p>
            <w:pPr>
              <w:pStyle w:val="45"/>
              <w:rPr>
                <w:rFonts w:ascii="宋体"/>
                <w:b/>
                <w:bCs/>
                <w:kern w:val="0"/>
                <w:szCs w:val="21"/>
              </w:rPr>
            </w:pPr>
            <w:r>
              <w:rPr>
                <w:rFonts w:hint="eastAsia" w:ascii="宋体"/>
                <w:b/>
                <w:bCs/>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（一）资源与能源消耗指标</w:t>
            </w:r>
          </w:p>
        </w:tc>
        <w:tc>
          <w:tcPr>
            <w:tcW w:w="626" w:type="dxa"/>
            <w:vMerge w:val="restart"/>
            <w:vAlign w:val="center"/>
          </w:tcPr>
          <w:p>
            <w:pPr>
              <w:pStyle w:val="45"/>
              <w:rPr>
                <w:rFonts w:ascii="宋体"/>
                <w:kern w:val="0"/>
                <w:szCs w:val="21"/>
              </w:rPr>
            </w:pPr>
            <w:r>
              <w:rPr>
                <w:rFonts w:hint="eastAsia" w:ascii="宋体"/>
                <w:szCs w:val="21"/>
              </w:rPr>
              <w:t>30</w:t>
            </w:r>
          </w:p>
        </w:tc>
        <w:tc>
          <w:tcPr>
            <w:tcW w:w="2187" w:type="dxa"/>
            <w:vAlign w:val="center"/>
          </w:tcPr>
          <w:p>
            <w:pPr>
              <w:pStyle w:val="45"/>
              <w:rPr>
                <w:rFonts w:ascii="宋体"/>
                <w:kern w:val="0"/>
                <w:szCs w:val="21"/>
              </w:rPr>
            </w:pPr>
            <w:r>
              <w:rPr>
                <w:rFonts w:hint="eastAsia" w:ascii="宋体"/>
                <w:szCs w:val="21"/>
              </w:rPr>
              <w:t>原辅材料利用率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98</w:t>
            </w:r>
          </w:p>
        </w:tc>
        <w:tc>
          <w:tcPr>
            <w:tcW w:w="992" w:type="dxa"/>
            <w:vAlign w:val="center"/>
          </w:tcPr>
          <w:p>
            <w:pPr>
              <w:pStyle w:val="45"/>
              <w:rPr>
                <w:rFonts w:ascii="宋体"/>
                <w:szCs w:val="21"/>
              </w:rPr>
            </w:pPr>
            <w:r>
              <w:rPr>
                <w:rFonts w:hint="eastAsia" w:ascii="宋体"/>
                <w:szCs w:val="21"/>
              </w:rPr>
              <w:t>96</w:t>
            </w:r>
          </w:p>
        </w:tc>
        <w:tc>
          <w:tcPr>
            <w:tcW w:w="992" w:type="dxa"/>
            <w:vAlign w:val="center"/>
          </w:tcPr>
          <w:p>
            <w:pPr>
              <w:pStyle w:val="45"/>
              <w:rPr>
                <w:rFonts w:ascii="宋体" w:eastAsia="宋体"/>
                <w:kern w:val="2"/>
                <w:szCs w:val="21"/>
              </w:rPr>
            </w:pPr>
            <w:r>
              <w:rPr>
                <w:rFonts w:hint="eastAsia" w:ascii="宋体"/>
                <w:szCs w:val="21"/>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单位产品新鲜水耗</w:t>
            </w:r>
          </w:p>
        </w:tc>
        <w:tc>
          <w:tcPr>
            <w:tcW w:w="899" w:type="dxa"/>
            <w:vAlign w:val="center"/>
          </w:tcPr>
          <w:p>
            <w:pPr>
              <w:pStyle w:val="45"/>
              <w:rPr>
                <w:rFonts w:ascii="宋体"/>
                <w:kern w:val="0"/>
                <w:szCs w:val="21"/>
              </w:rPr>
            </w:pPr>
            <w:r>
              <w:rPr>
                <w:rFonts w:hint="eastAsia" w:ascii="宋体"/>
                <w:szCs w:val="21"/>
              </w:rPr>
              <w:t>m</w:t>
            </w:r>
            <w:r>
              <w:rPr>
                <w:rFonts w:hint="eastAsia" w:ascii="宋体"/>
                <w:szCs w:val="21"/>
                <w:vertAlign w:val="superscript"/>
              </w:rPr>
              <w:t>3</w:t>
            </w:r>
            <w:r>
              <w:rPr>
                <w:rFonts w:hint="eastAsia" w:ascii="宋体"/>
                <w:szCs w:val="21"/>
              </w:rPr>
              <w:t>/t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0.30</w:t>
            </w:r>
          </w:p>
        </w:tc>
        <w:tc>
          <w:tcPr>
            <w:tcW w:w="992" w:type="dxa"/>
            <w:vAlign w:val="center"/>
          </w:tcPr>
          <w:p>
            <w:pPr>
              <w:pStyle w:val="45"/>
              <w:rPr>
                <w:rFonts w:hint="default" w:ascii="宋体" w:eastAsia="宋体"/>
                <w:kern w:val="2"/>
                <w:szCs w:val="21"/>
                <w:lang w:val="en-US" w:eastAsia="zh-CN"/>
              </w:rPr>
            </w:pPr>
            <w:r>
              <w:rPr>
                <w:rFonts w:hint="eastAsia" w:ascii="宋体" w:eastAsia="宋体"/>
                <w:szCs w:val="21"/>
                <w:lang w:val="en-US" w:eastAsia="zh-CN"/>
              </w:rPr>
              <w:t>0.01</w:t>
            </w:r>
          </w:p>
        </w:tc>
        <w:tc>
          <w:tcPr>
            <w:tcW w:w="992" w:type="dxa"/>
            <w:vAlign w:val="center"/>
          </w:tcPr>
          <w:p>
            <w:pPr>
              <w:pStyle w:val="45"/>
              <w:rPr>
                <w:rFonts w:hint="default" w:ascii="宋体" w:eastAsia="宋体"/>
                <w:kern w:val="2"/>
                <w:szCs w:val="21"/>
                <w:lang w:val="en-US" w:eastAsia="zh-CN"/>
              </w:rPr>
            </w:pPr>
            <w:r>
              <w:rPr>
                <w:rFonts w:hint="eastAsia" w:ascii="宋体" w:eastAsia="宋体"/>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单位产品电能消耗</w:t>
            </w:r>
          </w:p>
        </w:tc>
        <w:tc>
          <w:tcPr>
            <w:tcW w:w="899" w:type="dxa"/>
            <w:vAlign w:val="center"/>
          </w:tcPr>
          <w:p>
            <w:pPr>
              <w:pStyle w:val="45"/>
              <w:rPr>
                <w:rFonts w:ascii="宋体"/>
                <w:kern w:val="0"/>
                <w:szCs w:val="21"/>
              </w:rPr>
            </w:pPr>
            <w:r>
              <w:rPr>
                <w:rFonts w:hint="eastAsia" w:ascii="宋体"/>
                <w:szCs w:val="21"/>
              </w:rPr>
              <w:t>kwh/t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350</w:t>
            </w:r>
          </w:p>
        </w:tc>
        <w:tc>
          <w:tcPr>
            <w:tcW w:w="992" w:type="dxa"/>
            <w:vAlign w:val="center"/>
          </w:tcPr>
          <w:p>
            <w:pPr>
              <w:pStyle w:val="45"/>
              <w:rPr>
                <w:rFonts w:hint="default" w:ascii="宋体" w:eastAsia="宋体"/>
                <w:kern w:val="2"/>
                <w:szCs w:val="21"/>
                <w:lang w:val="en-US" w:eastAsia="zh-CN"/>
              </w:rPr>
            </w:pPr>
            <w:r>
              <w:rPr>
                <w:rFonts w:hint="eastAsia" w:ascii="宋体" w:eastAsia="宋体"/>
                <w:szCs w:val="21"/>
                <w:lang w:val="en-US" w:eastAsia="zh-CN"/>
              </w:rPr>
              <w:t>10.69</w:t>
            </w:r>
          </w:p>
        </w:tc>
        <w:tc>
          <w:tcPr>
            <w:tcW w:w="992" w:type="dxa"/>
            <w:vAlign w:val="center"/>
          </w:tcPr>
          <w:p>
            <w:pPr>
              <w:pStyle w:val="45"/>
              <w:rPr>
                <w:rFonts w:ascii="宋体" w:eastAsia="宋体"/>
                <w:kern w:val="2"/>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（二）污染物产生指标</w:t>
            </w:r>
          </w:p>
        </w:tc>
        <w:tc>
          <w:tcPr>
            <w:tcW w:w="626" w:type="dxa"/>
            <w:vMerge w:val="restart"/>
            <w:vAlign w:val="center"/>
          </w:tcPr>
          <w:p>
            <w:pPr>
              <w:pStyle w:val="45"/>
              <w:rPr>
                <w:rFonts w:ascii="宋体"/>
                <w:kern w:val="0"/>
                <w:szCs w:val="21"/>
              </w:rPr>
            </w:pPr>
            <w:r>
              <w:rPr>
                <w:rFonts w:hint="eastAsia" w:ascii="宋体"/>
                <w:szCs w:val="21"/>
              </w:rPr>
              <w:t>20</w:t>
            </w:r>
          </w:p>
        </w:tc>
        <w:tc>
          <w:tcPr>
            <w:tcW w:w="2187" w:type="dxa"/>
            <w:vAlign w:val="center"/>
          </w:tcPr>
          <w:p>
            <w:pPr>
              <w:pStyle w:val="45"/>
              <w:rPr>
                <w:rFonts w:ascii="宋体"/>
                <w:kern w:val="0"/>
                <w:szCs w:val="21"/>
              </w:rPr>
            </w:pPr>
            <w:r>
              <w:rPr>
                <w:rFonts w:hint="eastAsia" w:ascii="宋体"/>
                <w:szCs w:val="21"/>
              </w:rPr>
              <w:t>颗粒物浓度</w:t>
            </w:r>
          </w:p>
        </w:tc>
        <w:tc>
          <w:tcPr>
            <w:tcW w:w="899" w:type="dxa"/>
            <w:vAlign w:val="center"/>
          </w:tcPr>
          <w:p>
            <w:pPr>
              <w:pStyle w:val="45"/>
              <w:rPr>
                <w:rFonts w:ascii="宋体"/>
                <w:kern w:val="0"/>
                <w:szCs w:val="21"/>
              </w:rPr>
            </w:pPr>
            <w:r>
              <w:rPr>
                <w:rFonts w:hint="eastAsia" w:ascii="宋体"/>
                <w:szCs w:val="21"/>
              </w:rPr>
              <w:t>mg/m</w:t>
            </w:r>
            <w:r>
              <w:rPr>
                <w:rFonts w:hint="eastAsia" w:ascii="宋体"/>
                <w:szCs w:val="21"/>
                <w:vertAlign w:val="superscript"/>
              </w:rPr>
              <w:t>3</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ascii="Arial" w:hAnsi="Arial" w:cs="Arial"/>
                <w:color w:val="333333"/>
                <w:szCs w:val="21"/>
                <w:shd w:val="clear" w:color="auto" w:fill="FFFFFF"/>
              </w:rPr>
              <w:t>≤</w:t>
            </w:r>
            <w:r>
              <w:rPr>
                <w:rFonts w:hint="eastAsia" w:ascii="宋体"/>
                <w:szCs w:val="21"/>
              </w:rPr>
              <w:t>1</w:t>
            </w:r>
          </w:p>
        </w:tc>
        <w:tc>
          <w:tcPr>
            <w:tcW w:w="992" w:type="dxa"/>
            <w:vAlign w:val="center"/>
          </w:tcPr>
          <w:p>
            <w:pPr>
              <w:pStyle w:val="45"/>
              <w:rPr>
                <w:rFonts w:hint="default" w:ascii="宋体" w:eastAsiaTheme="minorEastAsia"/>
                <w:kern w:val="2"/>
                <w:szCs w:val="21"/>
                <w:lang w:val="en-US" w:eastAsia="zh-CN"/>
              </w:rPr>
            </w:pPr>
            <w:r>
              <w:rPr>
                <w:rFonts w:hint="eastAsia" w:ascii="宋体"/>
                <w:szCs w:val="21"/>
              </w:rPr>
              <w:t>0.</w:t>
            </w:r>
            <w:r>
              <w:rPr>
                <w:rFonts w:hint="eastAsia" w:ascii="宋体"/>
                <w:szCs w:val="21"/>
                <w:lang w:val="en-US" w:eastAsia="zh-CN"/>
              </w:rPr>
              <w:t>002</w:t>
            </w:r>
          </w:p>
        </w:tc>
        <w:tc>
          <w:tcPr>
            <w:tcW w:w="992" w:type="dxa"/>
            <w:vAlign w:val="center"/>
          </w:tcPr>
          <w:p>
            <w:pPr>
              <w:pStyle w:val="45"/>
              <w:rPr>
                <w:rFonts w:ascii="宋体" w:eastAsia="宋体"/>
                <w:kern w:val="2"/>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非甲烷总烃浓度</w:t>
            </w:r>
          </w:p>
        </w:tc>
        <w:tc>
          <w:tcPr>
            <w:tcW w:w="899" w:type="dxa"/>
            <w:vAlign w:val="center"/>
          </w:tcPr>
          <w:p>
            <w:pPr>
              <w:pStyle w:val="45"/>
              <w:rPr>
                <w:rFonts w:ascii="宋体"/>
                <w:kern w:val="0"/>
                <w:szCs w:val="21"/>
              </w:rPr>
            </w:pPr>
            <w:r>
              <w:rPr>
                <w:rFonts w:hint="eastAsia" w:ascii="宋体"/>
                <w:szCs w:val="21"/>
              </w:rPr>
              <w:t>mg/m</w:t>
            </w:r>
            <w:r>
              <w:rPr>
                <w:rFonts w:hint="eastAsia" w:ascii="宋体"/>
                <w:szCs w:val="21"/>
                <w:vertAlign w:val="superscript"/>
              </w:rPr>
              <w:t>3</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ascii="Arial" w:hAnsi="Arial" w:cs="Arial"/>
                <w:color w:val="333333"/>
                <w:szCs w:val="21"/>
                <w:shd w:val="clear" w:color="auto" w:fill="FFFFFF"/>
              </w:rPr>
              <w:t>≤</w:t>
            </w:r>
            <w:r>
              <w:rPr>
                <w:rFonts w:hint="eastAsia" w:ascii="宋体"/>
                <w:szCs w:val="21"/>
              </w:rPr>
              <w:t>4</w:t>
            </w:r>
          </w:p>
        </w:tc>
        <w:tc>
          <w:tcPr>
            <w:tcW w:w="992" w:type="dxa"/>
            <w:vAlign w:val="center"/>
          </w:tcPr>
          <w:p>
            <w:pPr>
              <w:pStyle w:val="45"/>
              <w:rPr>
                <w:rFonts w:hint="default" w:ascii="宋体" w:eastAsia="宋体"/>
                <w:kern w:val="2"/>
                <w:szCs w:val="21"/>
                <w:lang w:val="en-US" w:eastAsia="zh-CN"/>
              </w:rPr>
            </w:pPr>
            <w:r>
              <w:rPr>
                <w:rFonts w:hint="eastAsia" w:ascii="宋体" w:eastAsia="宋体"/>
                <w:kern w:val="2"/>
                <w:szCs w:val="21"/>
                <w:lang w:val="en-US" w:eastAsia="zh-CN"/>
              </w:rPr>
              <w:t>1.16</w:t>
            </w:r>
          </w:p>
        </w:tc>
        <w:tc>
          <w:tcPr>
            <w:tcW w:w="992" w:type="dxa"/>
            <w:vAlign w:val="center"/>
          </w:tcPr>
          <w:p>
            <w:pPr>
              <w:pStyle w:val="45"/>
              <w:rPr>
                <w:rFonts w:ascii="宋体"/>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（三）产品特征指标</w:t>
            </w:r>
          </w:p>
        </w:tc>
        <w:tc>
          <w:tcPr>
            <w:tcW w:w="626" w:type="dxa"/>
            <w:vMerge w:val="restart"/>
            <w:vAlign w:val="center"/>
          </w:tcPr>
          <w:p>
            <w:pPr>
              <w:pStyle w:val="45"/>
              <w:rPr>
                <w:rFonts w:ascii="宋体"/>
                <w:kern w:val="0"/>
                <w:szCs w:val="21"/>
              </w:rPr>
            </w:pPr>
            <w:r>
              <w:rPr>
                <w:rFonts w:hint="eastAsia" w:ascii="宋体"/>
                <w:szCs w:val="21"/>
              </w:rPr>
              <w:t>30</w:t>
            </w:r>
          </w:p>
        </w:tc>
        <w:tc>
          <w:tcPr>
            <w:tcW w:w="2187" w:type="dxa"/>
            <w:vAlign w:val="center"/>
          </w:tcPr>
          <w:p>
            <w:pPr>
              <w:pStyle w:val="45"/>
              <w:rPr>
                <w:rFonts w:ascii="宋体"/>
                <w:kern w:val="0"/>
                <w:szCs w:val="21"/>
              </w:rPr>
            </w:pPr>
            <w:r>
              <w:rPr>
                <w:rFonts w:hint="eastAsia" w:ascii="宋体"/>
                <w:szCs w:val="21"/>
              </w:rPr>
              <w:t>一次物理性能合格率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98</w:t>
            </w:r>
          </w:p>
        </w:tc>
        <w:tc>
          <w:tcPr>
            <w:tcW w:w="992" w:type="dxa"/>
            <w:vAlign w:val="center"/>
          </w:tcPr>
          <w:p>
            <w:pPr>
              <w:pStyle w:val="45"/>
              <w:rPr>
                <w:rFonts w:ascii="宋体" w:eastAsia="宋体"/>
                <w:kern w:val="2"/>
                <w:szCs w:val="21"/>
              </w:rPr>
            </w:pPr>
            <w:r>
              <w:rPr>
                <w:rFonts w:hint="eastAsia" w:ascii="宋体"/>
                <w:szCs w:val="21"/>
              </w:rPr>
              <w:t>95.13</w:t>
            </w:r>
          </w:p>
        </w:tc>
        <w:tc>
          <w:tcPr>
            <w:tcW w:w="992" w:type="dxa"/>
            <w:vAlign w:val="center"/>
          </w:tcPr>
          <w:p>
            <w:pPr>
              <w:pStyle w:val="45"/>
              <w:rPr>
                <w:rFonts w:ascii="宋体"/>
                <w:szCs w:val="21"/>
              </w:rPr>
            </w:pPr>
            <w:r>
              <w:rPr>
                <w:rFonts w:hint="eastAsia" w:ascii="宋体"/>
                <w:szCs w:val="21"/>
              </w:rPr>
              <w:t>5.82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一次外观合格率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95</w:t>
            </w:r>
          </w:p>
        </w:tc>
        <w:tc>
          <w:tcPr>
            <w:tcW w:w="992" w:type="dxa"/>
            <w:vAlign w:val="center"/>
          </w:tcPr>
          <w:p>
            <w:pPr>
              <w:pStyle w:val="45"/>
              <w:rPr>
                <w:rFonts w:ascii="宋体"/>
                <w:szCs w:val="21"/>
              </w:rPr>
            </w:pPr>
            <w:r>
              <w:rPr>
                <w:rFonts w:hint="eastAsia" w:ascii="宋体"/>
                <w:szCs w:val="21"/>
              </w:rPr>
              <w:t>97.77</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产品异形率</w:t>
            </w:r>
          </w:p>
        </w:tc>
        <w:tc>
          <w:tcPr>
            <w:tcW w:w="899" w:type="dxa"/>
            <w:vAlign w:val="center"/>
          </w:tcPr>
          <w:p>
            <w:pPr>
              <w:pStyle w:val="45"/>
              <w:rPr>
                <w:rFonts w:ascii="宋体"/>
                <w:kern w:val="0"/>
                <w:szCs w:val="21"/>
              </w:rPr>
            </w:pPr>
            <w:r>
              <w:rPr>
                <w:rFonts w:hint="eastAsia" w:ascii="宋体"/>
                <w:szCs w:val="21"/>
              </w:rPr>
              <w:t>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ascii="Arial" w:hAnsi="Arial" w:cs="Arial"/>
                <w:color w:val="333333"/>
                <w:szCs w:val="21"/>
                <w:shd w:val="clear" w:color="auto" w:fill="FFFFFF"/>
              </w:rPr>
              <w:t>≤</w:t>
            </w:r>
            <w:r>
              <w:rPr>
                <w:rFonts w:hint="eastAsia" w:ascii="宋体"/>
                <w:szCs w:val="21"/>
              </w:rPr>
              <w:t>0.5</w:t>
            </w:r>
          </w:p>
        </w:tc>
        <w:tc>
          <w:tcPr>
            <w:tcW w:w="992" w:type="dxa"/>
            <w:vAlign w:val="center"/>
          </w:tcPr>
          <w:p>
            <w:pPr>
              <w:pStyle w:val="45"/>
              <w:rPr>
                <w:rFonts w:ascii="宋体"/>
                <w:szCs w:val="21"/>
              </w:rPr>
            </w:pPr>
            <w:r>
              <w:rPr>
                <w:rFonts w:hint="eastAsia" w:ascii="宋体"/>
                <w:szCs w:val="21"/>
              </w:rPr>
              <w:t>0.5</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产品灰分</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21</w:t>
            </w:r>
          </w:p>
        </w:tc>
        <w:tc>
          <w:tcPr>
            <w:tcW w:w="992" w:type="dxa"/>
            <w:vAlign w:val="center"/>
          </w:tcPr>
          <w:p>
            <w:pPr>
              <w:pStyle w:val="45"/>
              <w:rPr>
                <w:rFonts w:hint="default" w:ascii="宋体" w:eastAsiaTheme="minorEastAsia"/>
                <w:szCs w:val="21"/>
                <w:lang w:val="en-US" w:eastAsia="zh-CN"/>
              </w:rPr>
            </w:pPr>
            <w:r>
              <w:rPr>
                <w:rFonts w:hint="eastAsia" w:ascii="宋体"/>
                <w:szCs w:val="21"/>
                <w:lang w:val="en-US" w:eastAsia="zh-CN"/>
              </w:rPr>
              <w:t>--</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产品拉伸强度</w:t>
            </w:r>
          </w:p>
        </w:tc>
        <w:tc>
          <w:tcPr>
            <w:tcW w:w="899" w:type="dxa"/>
            <w:vAlign w:val="center"/>
          </w:tcPr>
          <w:p>
            <w:pPr>
              <w:pStyle w:val="45"/>
              <w:rPr>
                <w:rFonts w:ascii="宋体"/>
                <w:kern w:val="0"/>
                <w:szCs w:val="21"/>
              </w:rPr>
            </w:pPr>
            <w:r>
              <w:rPr>
                <w:rFonts w:hint="eastAsia" w:ascii="宋体"/>
                <w:szCs w:val="21"/>
              </w:rPr>
              <w:t>MPa</w:t>
            </w:r>
            <w:r>
              <w:rPr>
                <w:rFonts w:hint="eastAsia" w:ascii="宋体"/>
                <w:szCs w:val="21"/>
                <w:vertAlign w:val="superscript"/>
              </w:rPr>
              <w:t>3</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120</w:t>
            </w:r>
          </w:p>
        </w:tc>
        <w:tc>
          <w:tcPr>
            <w:tcW w:w="992" w:type="dxa"/>
            <w:vAlign w:val="center"/>
          </w:tcPr>
          <w:p>
            <w:pPr>
              <w:pStyle w:val="45"/>
              <w:rPr>
                <w:rFonts w:ascii="宋体"/>
                <w:szCs w:val="21"/>
              </w:rPr>
            </w:pPr>
            <w:r>
              <w:rPr>
                <w:rFonts w:hint="eastAsia" w:ascii="宋体"/>
                <w:szCs w:val="21"/>
              </w:rPr>
              <w:t>120</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（四）资源综合利用指标</w:t>
            </w:r>
          </w:p>
        </w:tc>
        <w:tc>
          <w:tcPr>
            <w:tcW w:w="626" w:type="dxa"/>
            <w:vMerge w:val="restart"/>
            <w:vAlign w:val="center"/>
          </w:tcPr>
          <w:p>
            <w:pPr>
              <w:pStyle w:val="45"/>
              <w:rPr>
                <w:rFonts w:ascii="宋体"/>
                <w:kern w:val="0"/>
                <w:szCs w:val="21"/>
              </w:rPr>
            </w:pPr>
            <w:r>
              <w:rPr>
                <w:rFonts w:hint="eastAsia" w:ascii="宋体"/>
                <w:szCs w:val="21"/>
              </w:rPr>
              <w:t>20</w:t>
            </w:r>
          </w:p>
        </w:tc>
        <w:tc>
          <w:tcPr>
            <w:tcW w:w="2187" w:type="dxa"/>
            <w:vAlign w:val="center"/>
          </w:tcPr>
          <w:p>
            <w:pPr>
              <w:pStyle w:val="45"/>
              <w:rPr>
                <w:rFonts w:ascii="宋体"/>
                <w:kern w:val="0"/>
                <w:szCs w:val="21"/>
              </w:rPr>
            </w:pPr>
            <w:r>
              <w:rPr>
                <w:rFonts w:hint="eastAsia" w:ascii="宋体"/>
                <w:szCs w:val="21"/>
              </w:rPr>
              <w:t>全厂生产用水重复利用率指标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95</w:t>
            </w:r>
          </w:p>
        </w:tc>
        <w:tc>
          <w:tcPr>
            <w:tcW w:w="992" w:type="dxa"/>
            <w:vAlign w:val="center"/>
          </w:tcPr>
          <w:p>
            <w:pPr>
              <w:pStyle w:val="45"/>
              <w:rPr>
                <w:rFonts w:hint="default" w:ascii="宋体" w:eastAsiaTheme="minorEastAsia"/>
                <w:szCs w:val="21"/>
                <w:lang w:val="en-US" w:eastAsia="zh-CN"/>
              </w:rPr>
            </w:pPr>
            <w:r>
              <w:rPr>
                <w:rFonts w:hint="eastAsia" w:ascii="宋体"/>
                <w:szCs w:val="21"/>
                <w:lang w:val="en-US" w:eastAsia="zh-CN"/>
              </w:rPr>
              <w:t>99</w:t>
            </w:r>
          </w:p>
        </w:tc>
        <w:tc>
          <w:tcPr>
            <w:tcW w:w="992" w:type="dxa"/>
            <w:vAlign w:val="center"/>
          </w:tcPr>
          <w:p>
            <w:pPr>
              <w:pStyle w:val="45"/>
              <w:rPr>
                <w:rFonts w:ascii="宋体"/>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固体废弃物再生利用率指标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90</w:t>
            </w:r>
          </w:p>
        </w:tc>
        <w:tc>
          <w:tcPr>
            <w:tcW w:w="992" w:type="dxa"/>
            <w:vAlign w:val="center"/>
          </w:tcPr>
          <w:p>
            <w:pPr>
              <w:pStyle w:val="45"/>
              <w:rPr>
                <w:rFonts w:ascii="宋体"/>
                <w:szCs w:val="21"/>
              </w:rPr>
            </w:pPr>
            <w:r>
              <w:rPr>
                <w:rFonts w:hint="eastAsia" w:ascii="宋体"/>
                <w:szCs w:val="21"/>
              </w:rPr>
              <w:t>0</w:t>
            </w:r>
          </w:p>
        </w:tc>
        <w:tc>
          <w:tcPr>
            <w:tcW w:w="992" w:type="dxa"/>
            <w:vAlign w:val="center"/>
          </w:tcPr>
          <w:p>
            <w:pPr>
              <w:pStyle w:val="45"/>
              <w:rPr>
                <w:rFonts w:ascii="宋体"/>
                <w:szCs w:val="21"/>
              </w:rPr>
            </w:pPr>
            <w:r>
              <w:rPr>
                <w:rFonts w:hint="eastAsia" w:ascii="宋体"/>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72" w:type="dxa"/>
            <w:gridSpan w:val="7"/>
            <w:vAlign w:val="center"/>
          </w:tcPr>
          <w:p>
            <w:pPr>
              <w:pStyle w:val="45"/>
              <w:rPr>
                <w:rFonts w:ascii="宋体"/>
                <w:kern w:val="0"/>
                <w:szCs w:val="21"/>
              </w:rPr>
            </w:pPr>
            <w:r>
              <w:rPr>
                <w:rFonts w:hint="eastAsia" w:ascii="宋体"/>
                <w:szCs w:val="21"/>
              </w:rPr>
              <w:t>总分</w:t>
            </w:r>
          </w:p>
        </w:tc>
        <w:tc>
          <w:tcPr>
            <w:tcW w:w="992" w:type="dxa"/>
            <w:vAlign w:val="center"/>
          </w:tcPr>
          <w:p>
            <w:pPr>
              <w:pStyle w:val="45"/>
              <w:rPr>
                <w:rFonts w:hint="default" w:ascii="宋体" w:eastAsiaTheme="minorEastAsia"/>
                <w:kern w:val="0"/>
                <w:szCs w:val="21"/>
                <w:lang w:val="en-US" w:eastAsia="zh-CN"/>
              </w:rPr>
            </w:pPr>
            <w:r>
              <w:rPr>
                <w:rFonts w:hint="eastAsia" w:ascii="宋体"/>
                <w:kern w:val="0"/>
                <w:szCs w:val="21"/>
                <w:lang w:val="en-US" w:eastAsia="zh-CN"/>
              </w:rPr>
              <w:t>89.62</w:t>
            </w:r>
          </w:p>
        </w:tc>
      </w:tr>
    </w:tbl>
    <w:p>
      <w:pPr>
        <w:pStyle w:val="82"/>
        <w:snapToGrid w:val="0"/>
        <w:spacing w:line="360" w:lineRule="auto"/>
        <w:jc w:val="center"/>
        <w:rPr>
          <w:rFonts w:ascii="Times New Roman" w:hAnsi="宋体" w:cs="Times New Roman"/>
          <w:kern w:val="2"/>
        </w:rPr>
      </w:pPr>
      <w:r>
        <w:rPr>
          <w:rFonts w:ascii="Times New Roman" w:hAnsi="宋体" w:cs="Times New Roman"/>
          <w:kern w:val="2"/>
        </w:rPr>
        <w:t>表</w:t>
      </w:r>
      <w:r>
        <w:rPr>
          <w:rFonts w:hint="eastAsia" w:ascii="Times New Roman" w:hAnsi="宋体" w:cs="Times New Roman"/>
          <w:kern w:val="2"/>
          <w:lang w:val="en-US" w:eastAsia="zh-CN"/>
        </w:rPr>
        <w:t>3</w:t>
      </w:r>
      <w:r>
        <w:rPr>
          <w:rFonts w:ascii="Times New Roman" w:hAnsi="宋体" w:cs="Times New Roman"/>
          <w:kern w:val="2"/>
        </w:rPr>
        <w:t>-</w:t>
      </w:r>
      <w:r>
        <w:rPr>
          <w:rFonts w:hint="eastAsia" w:ascii="Times New Roman" w:hAnsi="宋体" w:cs="Times New Roman"/>
          <w:kern w:val="2"/>
        </w:rPr>
        <w:t>2</w:t>
      </w:r>
      <w:r>
        <w:rPr>
          <w:rFonts w:hint="eastAsia" w:ascii="Times New Roman" w:hAnsi="宋体" w:cs="Times New Roman"/>
          <w:kern w:val="2"/>
          <w:lang w:val="en-US" w:eastAsia="zh-CN"/>
        </w:rPr>
        <w:t>2</w:t>
      </w:r>
      <w:r>
        <w:rPr>
          <w:rFonts w:hint="eastAsia" w:ascii="Times New Roman" w:hAnsi="宋体" w:cs="Times New Roman"/>
          <w:kern w:val="2"/>
        </w:rPr>
        <w:t xml:space="preserve"> </w:t>
      </w:r>
      <w:r>
        <w:rPr>
          <w:rFonts w:ascii="Times New Roman" w:hAnsi="宋体" w:cs="Times New Roman"/>
          <w:kern w:val="2"/>
        </w:rPr>
        <w:t>企业清洁生产定</w:t>
      </w:r>
      <w:r>
        <w:rPr>
          <w:rFonts w:hint="eastAsia" w:ascii="Times New Roman" w:hAnsi="宋体" w:cs="Times New Roman"/>
          <w:kern w:val="2"/>
        </w:rPr>
        <w:t>性</w:t>
      </w:r>
      <w:r>
        <w:rPr>
          <w:rFonts w:ascii="Times New Roman" w:hAnsi="宋体" w:cs="Times New Roman"/>
          <w:kern w:val="2"/>
        </w:rPr>
        <w:t>评价指标项目</w:t>
      </w:r>
    </w:p>
    <w:tbl>
      <w:tblPr>
        <w:tblStyle w:val="27"/>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653"/>
        <w:gridCol w:w="769"/>
        <w:gridCol w:w="3443"/>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Align w:val="center"/>
          </w:tcPr>
          <w:p>
            <w:pPr>
              <w:pStyle w:val="45"/>
              <w:rPr>
                <w:rFonts w:ascii="宋体"/>
                <w:b/>
                <w:bCs/>
                <w:kern w:val="0"/>
                <w:szCs w:val="21"/>
              </w:rPr>
            </w:pPr>
            <w:r>
              <w:rPr>
                <w:rFonts w:hint="eastAsia" w:ascii="宋体"/>
                <w:b/>
                <w:bCs/>
                <w:szCs w:val="21"/>
              </w:rPr>
              <w:t>一级指标</w:t>
            </w:r>
          </w:p>
        </w:tc>
        <w:tc>
          <w:tcPr>
            <w:tcW w:w="1653" w:type="dxa"/>
            <w:vAlign w:val="center"/>
          </w:tcPr>
          <w:p>
            <w:pPr>
              <w:pStyle w:val="45"/>
              <w:rPr>
                <w:rFonts w:ascii="宋体"/>
                <w:b/>
                <w:bCs/>
                <w:kern w:val="0"/>
                <w:szCs w:val="21"/>
              </w:rPr>
            </w:pPr>
            <w:r>
              <w:rPr>
                <w:rFonts w:hint="eastAsia" w:ascii="宋体"/>
                <w:b/>
                <w:bCs/>
                <w:szCs w:val="21"/>
              </w:rPr>
              <w:t>二级指标</w:t>
            </w:r>
          </w:p>
        </w:tc>
        <w:tc>
          <w:tcPr>
            <w:tcW w:w="769" w:type="dxa"/>
            <w:vAlign w:val="center"/>
          </w:tcPr>
          <w:p>
            <w:pPr>
              <w:pStyle w:val="45"/>
              <w:rPr>
                <w:rFonts w:ascii="宋体" w:eastAsia="宋体"/>
                <w:b/>
                <w:bCs/>
                <w:kern w:val="0"/>
                <w:szCs w:val="21"/>
              </w:rPr>
            </w:pPr>
            <w:r>
              <w:rPr>
                <w:rFonts w:hint="eastAsia" w:ascii="宋体"/>
                <w:b/>
                <w:bCs/>
                <w:szCs w:val="21"/>
              </w:rPr>
              <w:t>指标</w:t>
            </w:r>
          </w:p>
          <w:p>
            <w:pPr>
              <w:pStyle w:val="45"/>
              <w:rPr>
                <w:rFonts w:ascii="宋体"/>
                <w:b/>
                <w:bCs/>
                <w:kern w:val="0"/>
                <w:szCs w:val="21"/>
              </w:rPr>
            </w:pPr>
            <w:r>
              <w:rPr>
                <w:rFonts w:hint="eastAsia" w:ascii="宋体"/>
                <w:b/>
                <w:bCs/>
                <w:szCs w:val="21"/>
              </w:rPr>
              <w:t>分值</w:t>
            </w:r>
          </w:p>
        </w:tc>
        <w:tc>
          <w:tcPr>
            <w:tcW w:w="3443" w:type="dxa"/>
            <w:vAlign w:val="center"/>
          </w:tcPr>
          <w:p>
            <w:pPr>
              <w:pStyle w:val="45"/>
              <w:rPr>
                <w:rFonts w:ascii="宋体"/>
                <w:b/>
                <w:bCs/>
                <w:kern w:val="0"/>
                <w:szCs w:val="21"/>
              </w:rPr>
            </w:pPr>
            <w:r>
              <w:rPr>
                <w:rFonts w:hint="eastAsia" w:ascii="宋体"/>
                <w:b/>
                <w:bCs/>
                <w:szCs w:val="21"/>
              </w:rPr>
              <w:t>备注</w:t>
            </w:r>
          </w:p>
        </w:tc>
        <w:tc>
          <w:tcPr>
            <w:tcW w:w="1384" w:type="dxa"/>
            <w:vAlign w:val="center"/>
          </w:tcPr>
          <w:p>
            <w:pPr>
              <w:pStyle w:val="45"/>
              <w:rPr>
                <w:rFonts w:ascii="宋体"/>
                <w:b/>
                <w:bCs/>
                <w:kern w:val="0"/>
                <w:szCs w:val="21"/>
              </w:rPr>
            </w:pPr>
            <w:r>
              <w:rPr>
                <w:rFonts w:hint="eastAsia" w:ascii="宋体"/>
                <w:b/>
                <w:bCs/>
                <w:szCs w:val="21"/>
              </w:rPr>
              <w:t>审核前得分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kern w:val="0"/>
                <w:szCs w:val="21"/>
              </w:rPr>
            </w:pPr>
            <w:r>
              <w:rPr>
                <w:rFonts w:hint="eastAsia" w:ascii="宋体"/>
                <w:szCs w:val="21"/>
              </w:rPr>
              <w:t>原辅材料及产品特征指标</w:t>
            </w:r>
          </w:p>
        </w:tc>
        <w:tc>
          <w:tcPr>
            <w:tcW w:w="1653" w:type="dxa"/>
            <w:vAlign w:val="center"/>
          </w:tcPr>
          <w:p>
            <w:pPr>
              <w:pStyle w:val="45"/>
              <w:rPr>
                <w:rFonts w:ascii="宋体"/>
                <w:kern w:val="0"/>
                <w:szCs w:val="21"/>
              </w:rPr>
            </w:pPr>
            <w:r>
              <w:rPr>
                <w:rFonts w:hint="eastAsia" w:ascii="宋体"/>
                <w:szCs w:val="21"/>
              </w:rPr>
              <w:t>采用无毒、低毒原辅材料进行生产</w:t>
            </w:r>
          </w:p>
        </w:tc>
        <w:tc>
          <w:tcPr>
            <w:tcW w:w="769" w:type="dxa"/>
            <w:vAlign w:val="center"/>
          </w:tcPr>
          <w:p>
            <w:pPr>
              <w:pStyle w:val="45"/>
              <w:rPr>
                <w:rFonts w:ascii="宋体"/>
                <w:kern w:val="0"/>
                <w:szCs w:val="21"/>
              </w:rPr>
            </w:pPr>
            <w:r>
              <w:rPr>
                <w:rFonts w:hint="eastAsia" w:ascii="宋体"/>
                <w:szCs w:val="21"/>
              </w:rPr>
              <w:t>6</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产品使用寿命长，报废后可回收再生</w:t>
            </w:r>
          </w:p>
        </w:tc>
        <w:tc>
          <w:tcPr>
            <w:tcW w:w="769" w:type="dxa"/>
            <w:vAlign w:val="center"/>
          </w:tcPr>
          <w:p>
            <w:pPr>
              <w:pStyle w:val="45"/>
              <w:rPr>
                <w:rFonts w:ascii="宋体"/>
                <w:kern w:val="0"/>
                <w:szCs w:val="21"/>
              </w:rPr>
            </w:pPr>
            <w:r>
              <w:rPr>
                <w:rFonts w:hint="eastAsia" w:ascii="宋体"/>
                <w:szCs w:val="21"/>
              </w:rPr>
              <w:t>6</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kern w:val="0"/>
                <w:szCs w:val="21"/>
              </w:rPr>
            </w:pPr>
            <w:r>
              <w:rPr>
                <w:rFonts w:hint="eastAsia" w:ascii="宋体"/>
                <w:szCs w:val="21"/>
              </w:rPr>
              <w:t>污染物处理处置</w:t>
            </w:r>
          </w:p>
        </w:tc>
        <w:tc>
          <w:tcPr>
            <w:tcW w:w="1653" w:type="dxa"/>
            <w:vAlign w:val="center"/>
          </w:tcPr>
          <w:p>
            <w:pPr>
              <w:pStyle w:val="45"/>
              <w:rPr>
                <w:rFonts w:ascii="宋体"/>
                <w:kern w:val="0"/>
                <w:szCs w:val="21"/>
              </w:rPr>
            </w:pPr>
            <w:r>
              <w:rPr>
                <w:rFonts w:hint="eastAsia" w:ascii="宋体"/>
                <w:szCs w:val="21"/>
              </w:rPr>
              <w:t>一般固体废物按照GB18599相关规定处理</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危险废物严格按照GB18597相关规定执行</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eastAsia="宋体"/>
                <w:kern w:val="0"/>
                <w:szCs w:val="21"/>
              </w:rPr>
            </w:pPr>
          </w:p>
          <w:p>
            <w:pPr>
              <w:pStyle w:val="45"/>
              <w:rPr>
                <w:rFonts w:ascii="宋体"/>
                <w:szCs w:val="21"/>
              </w:rPr>
            </w:pPr>
          </w:p>
          <w:p>
            <w:pPr>
              <w:pStyle w:val="45"/>
              <w:rPr>
                <w:rFonts w:ascii="宋体"/>
                <w:szCs w:val="21"/>
              </w:rPr>
            </w:pPr>
          </w:p>
          <w:p>
            <w:pPr>
              <w:pStyle w:val="45"/>
              <w:rPr>
                <w:rFonts w:ascii="宋体"/>
                <w:kern w:val="0"/>
                <w:szCs w:val="21"/>
              </w:rPr>
            </w:pPr>
            <w:r>
              <w:rPr>
                <w:rFonts w:hint="eastAsia" w:ascii="宋体"/>
                <w:szCs w:val="21"/>
              </w:rPr>
              <w:t>（一）环境管理与劳动安全卫生</w:t>
            </w:r>
          </w:p>
        </w:tc>
        <w:tc>
          <w:tcPr>
            <w:tcW w:w="1653" w:type="dxa"/>
            <w:vAlign w:val="center"/>
          </w:tcPr>
          <w:p>
            <w:pPr>
              <w:pStyle w:val="45"/>
              <w:rPr>
                <w:rFonts w:ascii="宋体"/>
                <w:kern w:val="0"/>
                <w:szCs w:val="21"/>
              </w:rPr>
            </w:pPr>
            <w:r>
              <w:rPr>
                <w:rFonts w:hint="eastAsia" w:ascii="宋体"/>
                <w:szCs w:val="21"/>
              </w:rPr>
              <w:t>建立环境管理体系并通过认证</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只建立环境管理体系但尚未通过认证的则给5分，未建立环境管理体系的不给分。</w:t>
            </w:r>
          </w:p>
        </w:tc>
        <w:tc>
          <w:tcPr>
            <w:tcW w:w="1384" w:type="dxa"/>
            <w:vAlign w:val="center"/>
          </w:tcPr>
          <w:p>
            <w:pPr>
              <w:pStyle w:val="45"/>
              <w:rPr>
                <w:rFonts w:ascii="宋体"/>
                <w:kern w:val="0"/>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开展清洁生产审核</w:t>
            </w:r>
          </w:p>
        </w:tc>
        <w:tc>
          <w:tcPr>
            <w:tcW w:w="769" w:type="dxa"/>
            <w:vAlign w:val="center"/>
          </w:tcPr>
          <w:p>
            <w:pPr>
              <w:pStyle w:val="45"/>
              <w:rPr>
                <w:rFonts w:ascii="宋体"/>
                <w:kern w:val="0"/>
                <w:szCs w:val="21"/>
              </w:rPr>
            </w:pPr>
            <w:r>
              <w:rPr>
                <w:rFonts w:hint="eastAsia" w:ascii="宋体"/>
                <w:szCs w:val="21"/>
              </w:rPr>
              <w:t>8</w:t>
            </w:r>
          </w:p>
        </w:tc>
        <w:tc>
          <w:tcPr>
            <w:tcW w:w="3443" w:type="dxa"/>
            <w:vAlign w:val="center"/>
          </w:tcPr>
          <w:p>
            <w:pPr>
              <w:pStyle w:val="45"/>
              <w:rPr>
                <w:rFonts w:ascii="宋体"/>
                <w:kern w:val="0"/>
                <w:szCs w:val="21"/>
              </w:rPr>
            </w:pPr>
            <w:r>
              <w:rPr>
                <w:rFonts w:hint="eastAsia" w:ascii="宋体"/>
                <w:szCs w:val="21"/>
              </w:rPr>
              <w:t>正在开展</w:t>
            </w:r>
          </w:p>
        </w:tc>
        <w:tc>
          <w:tcPr>
            <w:tcW w:w="1384" w:type="dxa"/>
            <w:vAlign w:val="center"/>
          </w:tcPr>
          <w:p>
            <w:pPr>
              <w:pStyle w:val="45"/>
              <w:rPr>
                <w:rFonts w:ascii="宋体"/>
                <w:kern w:val="0"/>
                <w:szCs w:val="21"/>
              </w:rPr>
            </w:pPr>
            <w:r>
              <w:rPr>
                <w:rFonts w:hint="eastAsia" w:ascii="宋体"/>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建设项目“三同时”执行情况</w:t>
            </w:r>
          </w:p>
        </w:tc>
        <w:tc>
          <w:tcPr>
            <w:tcW w:w="769" w:type="dxa"/>
            <w:vAlign w:val="center"/>
          </w:tcPr>
          <w:p>
            <w:pPr>
              <w:pStyle w:val="45"/>
              <w:rPr>
                <w:rFonts w:ascii="宋体"/>
                <w:kern w:val="0"/>
                <w:szCs w:val="21"/>
              </w:rPr>
            </w:pPr>
            <w:r>
              <w:rPr>
                <w:rFonts w:hint="eastAsia" w:ascii="宋体"/>
                <w:szCs w:val="21"/>
              </w:rPr>
              <w:t>8</w:t>
            </w:r>
          </w:p>
        </w:tc>
        <w:tc>
          <w:tcPr>
            <w:tcW w:w="3443" w:type="dxa"/>
            <w:vAlign w:val="center"/>
          </w:tcPr>
          <w:p>
            <w:pPr>
              <w:pStyle w:val="45"/>
              <w:rPr>
                <w:rFonts w:ascii="宋体"/>
                <w:kern w:val="0"/>
                <w:szCs w:val="21"/>
              </w:rPr>
            </w:pPr>
            <w:r>
              <w:rPr>
                <w:rFonts w:hint="eastAsia" w:ascii="宋体"/>
                <w:szCs w:val="21"/>
              </w:rPr>
              <w:t>对建设项目环保“三同时”未能按要求完成的则不给分。</w:t>
            </w:r>
          </w:p>
        </w:tc>
        <w:tc>
          <w:tcPr>
            <w:tcW w:w="1384" w:type="dxa"/>
            <w:vAlign w:val="center"/>
          </w:tcPr>
          <w:p>
            <w:pPr>
              <w:pStyle w:val="45"/>
              <w:rPr>
                <w:rFonts w:ascii="宋体"/>
                <w:kern w:val="0"/>
                <w:szCs w:val="21"/>
              </w:rPr>
            </w:pPr>
            <w:r>
              <w:rPr>
                <w:rFonts w:hint="eastAsia" w:ascii="宋体"/>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老污染源限期治理完成情况</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老污染源限期治理指标未能按要求完成的则不给分；</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建设项目环境影响评价制度执行情况</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有任一违反建设项目环境影响评价制度的项目则不给分；</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污染物排放总量控制情况</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对水污染物和气污染物均有超总量控制要求的则不给分；凡仅有水污染物或气污染物中任一单项超总量控制要求的，则给4分。</w:t>
            </w:r>
          </w:p>
        </w:tc>
        <w:tc>
          <w:tcPr>
            <w:tcW w:w="1384" w:type="dxa"/>
            <w:vAlign w:val="center"/>
          </w:tcPr>
          <w:p>
            <w:pPr>
              <w:pStyle w:val="45"/>
              <w:rPr>
                <w:rFonts w:ascii="宋体"/>
                <w:kern w:val="0"/>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污染物达标情况</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凡水污染物和气污染物以及厂界噪声中任何一项不能达标的不给分</w:t>
            </w:r>
          </w:p>
        </w:tc>
        <w:tc>
          <w:tcPr>
            <w:tcW w:w="1384" w:type="dxa"/>
            <w:vAlign w:val="center"/>
          </w:tcPr>
          <w:p>
            <w:pPr>
              <w:pStyle w:val="45"/>
              <w:rPr>
                <w:rFonts w:ascii="宋体"/>
                <w:kern w:val="0"/>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kern w:val="0"/>
                <w:szCs w:val="21"/>
              </w:rPr>
            </w:pPr>
            <w:r>
              <w:rPr>
                <w:rFonts w:hint="eastAsia" w:ascii="宋体"/>
                <w:szCs w:val="21"/>
              </w:rPr>
              <w:t>（二）生产技术特征指标</w:t>
            </w:r>
          </w:p>
        </w:tc>
        <w:tc>
          <w:tcPr>
            <w:tcW w:w="1653" w:type="dxa"/>
            <w:vAlign w:val="center"/>
          </w:tcPr>
          <w:p>
            <w:pPr>
              <w:pStyle w:val="45"/>
              <w:rPr>
                <w:rFonts w:ascii="宋体"/>
                <w:kern w:val="0"/>
                <w:szCs w:val="21"/>
              </w:rPr>
            </w:pPr>
            <w:r>
              <w:rPr>
                <w:rFonts w:hint="eastAsia" w:ascii="宋体"/>
                <w:szCs w:val="21"/>
              </w:rPr>
              <w:t>建立节能、节材、 节水管理制度情况</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凡企业已制定颁布专项节能、节材、节水管理制度的，并已实施时间一年以上，有良好的执行效果的可得10分；已制定颁布专项节能、节材、节水管理制度的，实施时间一年以内，无明显良好的执行效果的可得6分；没有专项节能、节材、节水管理制度的不得分；缺少节能节水节材中任N项管理制度的，其得分值为相应分值乘以（1-N/10）；</w:t>
            </w:r>
          </w:p>
        </w:tc>
        <w:tc>
          <w:tcPr>
            <w:tcW w:w="1384" w:type="dxa"/>
            <w:vAlign w:val="center"/>
          </w:tcPr>
          <w:p>
            <w:pPr>
              <w:pStyle w:val="45"/>
              <w:rPr>
                <w:rFonts w:ascii="宋体"/>
                <w:kern w:val="0"/>
                <w:szCs w:val="21"/>
              </w:rPr>
            </w:pPr>
            <w:r>
              <w:rPr>
                <w:rFonts w:hint="eastAsia" w:ascii="宋体"/>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lang w:eastAsia="zh-CN"/>
              </w:rPr>
              <w:t>浇注</w:t>
            </w:r>
            <w:r>
              <w:rPr>
                <w:rFonts w:hint="eastAsia" w:ascii="宋体"/>
                <w:szCs w:val="21"/>
              </w:rPr>
              <w:t>过程全自动化生产</w:t>
            </w:r>
          </w:p>
        </w:tc>
        <w:tc>
          <w:tcPr>
            <w:tcW w:w="769" w:type="dxa"/>
            <w:vAlign w:val="center"/>
          </w:tcPr>
          <w:p>
            <w:pPr>
              <w:pStyle w:val="45"/>
              <w:rPr>
                <w:rFonts w:ascii="宋体"/>
                <w:kern w:val="0"/>
                <w:szCs w:val="21"/>
              </w:rPr>
            </w:pPr>
            <w:r>
              <w:rPr>
                <w:rFonts w:hint="eastAsia" w:ascii="宋体"/>
                <w:szCs w:val="21"/>
              </w:rPr>
              <w:t>6</w:t>
            </w:r>
          </w:p>
        </w:tc>
        <w:tc>
          <w:tcPr>
            <w:tcW w:w="3443" w:type="dxa"/>
            <w:vAlign w:val="center"/>
          </w:tcPr>
          <w:p>
            <w:pPr>
              <w:pStyle w:val="45"/>
              <w:rPr>
                <w:rFonts w:ascii="宋体"/>
                <w:kern w:val="0"/>
                <w:szCs w:val="21"/>
              </w:rPr>
            </w:pPr>
            <w:r>
              <w:rPr>
                <w:rFonts w:hint="eastAsia" w:ascii="宋体"/>
                <w:szCs w:val="21"/>
              </w:rPr>
              <w:t>使用全自动</w:t>
            </w:r>
            <w:r>
              <w:rPr>
                <w:rFonts w:hint="eastAsia" w:ascii="宋体"/>
                <w:szCs w:val="21"/>
                <w:lang w:eastAsia="zh-CN"/>
              </w:rPr>
              <w:t>浇注</w:t>
            </w:r>
            <w:r>
              <w:rPr>
                <w:rFonts w:hint="eastAsia" w:ascii="宋体"/>
                <w:szCs w:val="21"/>
              </w:rPr>
              <w:t>的，得6分，其他不计分</w:t>
            </w:r>
          </w:p>
        </w:tc>
        <w:tc>
          <w:tcPr>
            <w:tcW w:w="1384" w:type="dxa"/>
            <w:vAlign w:val="center"/>
          </w:tcPr>
          <w:p>
            <w:pPr>
              <w:pStyle w:val="45"/>
              <w:rPr>
                <w:rFonts w:ascii="宋体"/>
                <w:color w:val="FF0000"/>
                <w:kern w:val="0"/>
                <w:szCs w:val="21"/>
              </w:rPr>
            </w:pPr>
            <w:r>
              <w:rPr>
                <w:rFonts w:hint="eastAsia" w:ascii="宋体"/>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淘汰落后机电产品、生产工艺执行情况</w:t>
            </w:r>
          </w:p>
        </w:tc>
        <w:tc>
          <w:tcPr>
            <w:tcW w:w="769" w:type="dxa"/>
            <w:vAlign w:val="center"/>
          </w:tcPr>
          <w:p>
            <w:pPr>
              <w:pStyle w:val="45"/>
              <w:rPr>
                <w:rFonts w:ascii="宋体"/>
                <w:kern w:val="0"/>
                <w:szCs w:val="21"/>
              </w:rPr>
            </w:pPr>
            <w:r>
              <w:rPr>
                <w:rFonts w:hint="eastAsia" w:ascii="宋体"/>
                <w:szCs w:val="21"/>
              </w:rPr>
              <w:t>3</w:t>
            </w:r>
          </w:p>
        </w:tc>
        <w:tc>
          <w:tcPr>
            <w:tcW w:w="3443" w:type="dxa"/>
            <w:vAlign w:val="center"/>
          </w:tcPr>
          <w:p>
            <w:pPr>
              <w:pStyle w:val="45"/>
              <w:rPr>
                <w:rFonts w:ascii="宋体"/>
                <w:kern w:val="0"/>
                <w:szCs w:val="21"/>
              </w:rPr>
            </w:pPr>
            <w:r>
              <w:rPr>
                <w:rFonts w:hint="eastAsia" w:ascii="宋体"/>
                <w:szCs w:val="21"/>
              </w:rPr>
              <w:t>凡企业生产产品中有属于国家已经明令淘汰的机电产品的，不予评价为清洁生产企业和清洁生产先进企业；凡企业在生产中仍在使用国家已经明令淘汰的机电产品、生产工艺的，不得分；凡企业在既不生产， 也未在生产中仍在使用国家已经明令淘汰的机电产品的，得3分。</w:t>
            </w:r>
          </w:p>
        </w:tc>
        <w:tc>
          <w:tcPr>
            <w:tcW w:w="1384" w:type="dxa"/>
            <w:vAlign w:val="center"/>
          </w:tcPr>
          <w:p>
            <w:pPr>
              <w:pStyle w:val="45"/>
              <w:rPr>
                <w:rFonts w:ascii="宋体"/>
                <w:kern w:val="0"/>
                <w:szCs w:val="21"/>
              </w:rPr>
            </w:pPr>
            <w:r>
              <w:rPr>
                <w:rFonts w:hint="eastAsia" w:ascii="宋体"/>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生产中禁用淘汰材料执行情况</w:t>
            </w:r>
          </w:p>
        </w:tc>
        <w:tc>
          <w:tcPr>
            <w:tcW w:w="769" w:type="dxa"/>
            <w:vAlign w:val="center"/>
          </w:tcPr>
          <w:p>
            <w:pPr>
              <w:pStyle w:val="45"/>
              <w:rPr>
                <w:rFonts w:ascii="宋体"/>
                <w:kern w:val="0"/>
                <w:szCs w:val="21"/>
              </w:rPr>
            </w:pPr>
            <w:r>
              <w:rPr>
                <w:rFonts w:hint="eastAsia" w:ascii="宋体"/>
                <w:szCs w:val="21"/>
              </w:rPr>
              <w:t>3</w:t>
            </w:r>
          </w:p>
        </w:tc>
        <w:tc>
          <w:tcPr>
            <w:tcW w:w="3443" w:type="dxa"/>
            <w:vAlign w:val="center"/>
          </w:tcPr>
          <w:p>
            <w:pPr>
              <w:pStyle w:val="45"/>
              <w:rPr>
                <w:rFonts w:ascii="宋体"/>
                <w:kern w:val="0"/>
                <w:szCs w:val="21"/>
              </w:rPr>
            </w:pPr>
            <w:r>
              <w:rPr>
                <w:rFonts w:hint="eastAsia" w:ascii="宋体"/>
                <w:szCs w:val="21"/>
              </w:rPr>
              <w:t>产品生产中未使用国家明令限期淘汰的材料并未使用我国参加的国际议定书规定淘汰的材料的，得3分，否则不得分。</w:t>
            </w:r>
          </w:p>
        </w:tc>
        <w:tc>
          <w:tcPr>
            <w:tcW w:w="1384" w:type="dxa"/>
            <w:vAlign w:val="center"/>
          </w:tcPr>
          <w:p>
            <w:pPr>
              <w:pStyle w:val="45"/>
              <w:rPr>
                <w:rFonts w:ascii="宋体"/>
                <w:kern w:val="0"/>
                <w:szCs w:val="21"/>
              </w:rPr>
            </w:pPr>
            <w:r>
              <w:rPr>
                <w:rFonts w:hint="eastAsia" w:ascii="宋体"/>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371" w:type="dxa"/>
            <w:gridSpan w:val="4"/>
            <w:vAlign w:val="center"/>
          </w:tcPr>
          <w:p>
            <w:pPr>
              <w:pStyle w:val="45"/>
              <w:rPr>
                <w:rFonts w:ascii="宋体"/>
                <w:kern w:val="0"/>
                <w:szCs w:val="21"/>
              </w:rPr>
            </w:pPr>
            <w:r>
              <w:rPr>
                <w:rFonts w:hint="eastAsia" w:ascii="宋体"/>
                <w:szCs w:val="21"/>
              </w:rPr>
              <w:t>总分</w:t>
            </w:r>
          </w:p>
        </w:tc>
        <w:tc>
          <w:tcPr>
            <w:tcW w:w="1384" w:type="dxa"/>
            <w:vAlign w:val="center"/>
          </w:tcPr>
          <w:p>
            <w:pPr>
              <w:pStyle w:val="45"/>
              <w:rPr>
                <w:rFonts w:ascii="宋体"/>
                <w:kern w:val="0"/>
                <w:szCs w:val="21"/>
              </w:rPr>
            </w:pPr>
            <w:r>
              <w:rPr>
                <w:rFonts w:hint="eastAsia" w:ascii="宋体"/>
                <w:szCs w:val="21"/>
              </w:rPr>
              <w:t>84</w:t>
            </w:r>
          </w:p>
        </w:tc>
      </w:tr>
    </w:tbl>
    <w:p>
      <w:pPr>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sz w:val="24"/>
          <w:szCs w:val="24"/>
        </w:rPr>
        <w:t>根据表</w:t>
      </w:r>
      <w:r>
        <w:rPr>
          <w:rFonts w:hint="eastAsia" w:ascii="Times New Roman" w:hAnsi="Times New Roman" w:eastAsia="宋体"/>
          <w:sz w:val="24"/>
          <w:szCs w:val="24"/>
          <w:lang w:val="en-US" w:eastAsia="zh-CN"/>
        </w:rPr>
        <w:t>3-21</w:t>
      </w:r>
      <w:r>
        <w:rPr>
          <w:rFonts w:hint="eastAsia" w:ascii="Times New Roman" w:hAnsi="Times New Roman" w:eastAsia="宋体"/>
          <w:sz w:val="24"/>
          <w:szCs w:val="24"/>
        </w:rPr>
        <w:t>企业清洁生产定量评价指标中各考核总分值为</w:t>
      </w:r>
      <w:r>
        <w:rPr>
          <w:rFonts w:hint="eastAsia" w:ascii="Times New Roman" w:hAnsi="Times New Roman" w:eastAsia="宋体"/>
          <w:sz w:val="24"/>
          <w:szCs w:val="24"/>
          <w:lang w:val="en-US" w:eastAsia="zh-CN"/>
        </w:rPr>
        <w:t>89.62</w:t>
      </w:r>
      <w:r>
        <w:rPr>
          <w:rFonts w:hint="eastAsia" w:ascii="Times New Roman" w:hAnsi="Times New Roman" w:eastAsia="宋体"/>
          <w:sz w:val="24"/>
          <w:szCs w:val="24"/>
        </w:rPr>
        <w:t>；根据表</w:t>
      </w:r>
      <w:r>
        <w:rPr>
          <w:rFonts w:hint="eastAsia" w:ascii="Times New Roman" w:hAnsi="Times New Roman" w:eastAsia="宋体"/>
          <w:sz w:val="24"/>
          <w:szCs w:val="24"/>
          <w:lang w:val="en-US" w:eastAsia="zh-CN"/>
        </w:rPr>
        <w:t>3-22</w:t>
      </w:r>
      <w:r>
        <w:rPr>
          <w:rFonts w:hint="eastAsia" w:ascii="Times New Roman" w:hAnsi="Times New Roman" w:eastAsia="宋体"/>
          <w:sz w:val="24"/>
          <w:szCs w:val="24"/>
        </w:rPr>
        <w:t>企业清洁生产定性评价指标中各考核总分值为</w:t>
      </w:r>
      <w:r>
        <w:rPr>
          <w:rFonts w:hint="eastAsia" w:ascii="Times New Roman" w:hAnsi="Times New Roman" w:eastAsia="宋体"/>
          <w:sz w:val="24"/>
          <w:szCs w:val="24"/>
          <w:lang w:val="en-US" w:eastAsia="zh-CN"/>
        </w:rPr>
        <w:t>84</w:t>
      </w:r>
      <w:r>
        <w:rPr>
          <w:rFonts w:hint="eastAsia" w:ascii="Times New Roman" w:hAnsi="Times New Roman" w:eastAsia="宋体"/>
          <w:sz w:val="24"/>
          <w:szCs w:val="24"/>
        </w:rPr>
        <w:t>，因此根据综合评价指数（得分）计算公式，可知现阶段</w:t>
      </w:r>
      <w:r>
        <w:rPr>
          <w:rFonts w:hint="eastAsia" w:ascii="Times New Roman" w:hAnsi="Times New Roman" w:eastAsia="宋体"/>
          <w:sz w:val="24"/>
          <w:szCs w:val="24"/>
          <w:lang w:val="en-US" w:eastAsia="zh-CN"/>
        </w:rPr>
        <w:t>湖南光华荣昌汽车部件有限公司</w:t>
      </w:r>
      <w:r>
        <w:rPr>
          <w:rFonts w:hint="eastAsia" w:ascii="Times New Roman" w:hAnsi="Times New Roman" w:eastAsia="宋体"/>
          <w:sz w:val="24"/>
          <w:szCs w:val="24"/>
        </w:rPr>
        <w:t>清洁生产的综合评价指数（得分）</w:t>
      </w:r>
      <w:r>
        <w:rPr>
          <w:rFonts w:hint="eastAsia" w:ascii="Times New Roman" w:hAnsi="Times New Roman" w:eastAsia="宋体"/>
          <w:sz w:val="24"/>
          <w:szCs w:val="24"/>
          <w:lang w:val="en-US" w:eastAsia="zh-CN"/>
        </w:rPr>
        <w:t>86.248</w:t>
      </w:r>
      <w:r>
        <w:rPr>
          <w:rFonts w:hint="eastAsia" w:ascii="Times New Roman" w:hAnsi="Times New Roman" w:eastAsia="宋体"/>
          <w:sz w:val="24"/>
          <w:szCs w:val="24"/>
        </w:rPr>
        <w:t>，低于</w:t>
      </w:r>
      <w:r>
        <w:rPr>
          <w:rFonts w:hint="eastAsia" w:ascii="Times New Roman" w:hAnsi="Times New Roman" w:eastAsia="宋体"/>
          <w:sz w:val="24"/>
          <w:szCs w:val="24"/>
          <w:lang w:val="en-US" w:eastAsia="zh-CN"/>
        </w:rPr>
        <w:t>90</w:t>
      </w:r>
      <w:r>
        <w:rPr>
          <w:rFonts w:hint="eastAsia" w:ascii="Times New Roman" w:hAnsi="Times New Roman" w:eastAsia="宋体"/>
          <w:sz w:val="24"/>
          <w:szCs w:val="24"/>
        </w:rPr>
        <w:t>分</w:t>
      </w:r>
      <w:r>
        <w:rPr>
          <w:rFonts w:hint="eastAsia" w:ascii="Times New Roman" w:hAnsi="Times New Roman" w:eastAsia="宋体"/>
          <w:sz w:val="24"/>
          <w:szCs w:val="24"/>
          <w:lang w:val="en-US" w:eastAsia="zh-CN"/>
        </w:rPr>
        <w:t>高于80分</w:t>
      </w:r>
      <w:r>
        <w:rPr>
          <w:rFonts w:hint="eastAsia" w:ascii="Times New Roman" w:hAnsi="Times New Roman" w:eastAsia="宋体"/>
          <w:sz w:val="24"/>
          <w:szCs w:val="24"/>
        </w:rPr>
        <w:t>。根据评价指标体系，结合企业所处环境实际情况，清洁生产审核小组认为审核前企业清洁生产水</w:t>
      </w:r>
      <w:r>
        <w:rPr>
          <w:rFonts w:hint="eastAsia" w:ascii="Times New Roman" w:hAnsi="Times New Roman" w:eastAsia="宋体"/>
          <w:sz w:val="24"/>
          <w:szCs w:val="24"/>
          <w:lang w:val="en-US" w:eastAsia="zh-CN"/>
        </w:rPr>
        <w:t>平属于</w:t>
      </w:r>
      <w:r>
        <w:rPr>
          <w:rFonts w:hint="eastAsia" w:ascii="Times New Roman" w:hAnsi="Times New Roman" w:eastAsia="宋体"/>
          <w:sz w:val="24"/>
          <w:szCs w:val="24"/>
        </w:rPr>
        <w:t>国内清洁生产基本水平。</w:t>
      </w:r>
    </w:p>
    <w:p>
      <w:pPr>
        <w:pStyle w:val="4"/>
        <w:widowControl w:val="0"/>
        <w:spacing w:beforeLines="50" w:after="0" w:line="360" w:lineRule="auto"/>
        <w:rPr>
          <w:rFonts w:hint="eastAsia" w:ascii="Times New Roman" w:hAnsi="Times New Roman" w:eastAsia="宋体" w:cs="Courier New"/>
          <w:sz w:val="28"/>
          <w:szCs w:val="30"/>
        </w:rPr>
      </w:pPr>
      <w:bookmarkStart w:id="118" w:name="_Toc176255064"/>
      <w:bookmarkStart w:id="119" w:name="_Toc417652741"/>
      <w:bookmarkStart w:id="120" w:name="_Toc10574"/>
      <w:bookmarkStart w:id="121" w:name="_Toc427134694"/>
      <w:r>
        <w:rPr>
          <w:rFonts w:hint="eastAsia" w:ascii="Times New Roman" w:hAnsi="Times New Roman" w:eastAsia="宋体" w:cs="Courier New"/>
          <w:sz w:val="28"/>
          <w:szCs w:val="30"/>
        </w:rPr>
        <w:t>3.4.3清洁生产</w:t>
      </w:r>
      <w:bookmarkEnd w:id="118"/>
      <w:r>
        <w:rPr>
          <w:rFonts w:hint="eastAsia" w:ascii="Times New Roman" w:hAnsi="Times New Roman" w:eastAsia="宋体" w:cs="Courier New"/>
          <w:sz w:val="28"/>
          <w:szCs w:val="30"/>
        </w:rPr>
        <w:t>潜力分析</w:t>
      </w:r>
      <w:bookmarkEnd w:id="119"/>
      <w:bookmarkEnd w:id="120"/>
      <w:bookmarkEnd w:id="121"/>
    </w:p>
    <w:p>
      <w:pPr>
        <w:spacing w:line="360" w:lineRule="auto"/>
        <w:ind w:firstLine="480" w:firstLineChars="200"/>
        <w:rPr>
          <w:rFonts w:hint="default" w:ascii="Times New Roman" w:hAnsi="Times New Roman" w:eastAsia="宋体"/>
          <w:sz w:val="24"/>
          <w:szCs w:val="24"/>
          <w:lang w:val="en-US" w:eastAsia="zh-CN"/>
        </w:rPr>
      </w:pPr>
      <w:r>
        <w:rPr>
          <w:rFonts w:hint="eastAsia" w:ascii="Times New Roman" w:hAnsi="Times New Roman" w:eastAsia="宋体"/>
          <w:sz w:val="24"/>
          <w:szCs w:val="24"/>
          <w:lang w:val="zh-CN" w:eastAsia="zh-CN"/>
        </w:rPr>
        <w:t>从企业生产情况、环境保护以及清洁生产技术应用等情况可以看出，公司清洁生产水平</w:t>
      </w:r>
      <w:r>
        <w:rPr>
          <w:rFonts w:hint="eastAsia" w:ascii="Times New Roman" w:hAnsi="Times New Roman" w:eastAsia="宋体"/>
          <w:sz w:val="24"/>
          <w:szCs w:val="24"/>
          <w:lang w:val="en-US" w:eastAsia="zh-CN"/>
        </w:rPr>
        <w:t>达标基本水平，企业在环境管理以及员工清洁生产意识还有很大的上升空间。</w:t>
      </w:r>
    </w:p>
    <w:p>
      <w:pPr>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sz w:val="24"/>
          <w:szCs w:val="24"/>
        </w:rPr>
        <w:t>针对设备噪声，企业采取的主要对策是区域封闭式加工，以减轻噪声对周围环境的影响。通过采取以上措施，较好的控制了设备噪声对周围环境的影响。</w:t>
      </w:r>
    </w:p>
    <w:p>
      <w:pPr>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sz w:val="24"/>
          <w:szCs w:val="24"/>
        </w:rPr>
        <w:t>管理：公司的管理总体架构齐全，职责分工明确，各项管理制度比较健全，但需要加强监督和控制。需建立清洁生产管理制度，制定清洁生产激励政策，提高全员参与的积极性和主动性。</w:t>
      </w:r>
    </w:p>
    <w:p>
      <w:pPr>
        <w:pStyle w:val="3"/>
        <w:widowControl w:val="0"/>
        <w:adjustRightInd/>
        <w:snapToGrid/>
        <w:spacing w:beforeLines="50" w:afterLines="50" w:line="360" w:lineRule="auto"/>
        <w:rPr>
          <w:rFonts w:ascii="Times New Roman" w:hAnsi="Times New Roman"/>
          <w:sz w:val="30"/>
          <w:szCs w:val="30"/>
        </w:rPr>
      </w:pPr>
      <w:bookmarkStart w:id="122" w:name="_Toc30178"/>
      <w:bookmarkStart w:id="123" w:name="_Toc5266"/>
      <w:bookmarkStart w:id="124" w:name="_Toc176255065"/>
      <w:bookmarkStart w:id="125" w:name="_Toc525142380"/>
      <w:r>
        <w:rPr>
          <w:rFonts w:hint="eastAsia" w:ascii="Times New Roman" w:hAnsi="Times New Roman"/>
          <w:sz w:val="30"/>
          <w:szCs w:val="30"/>
        </w:rPr>
        <w:t>3.5</w:t>
      </w:r>
      <w:r>
        <w:rPr>
          <w:rFonts w:ascii="Times New Roman" w:hAnsi="Times New Roman"/>
          <w:sz w:val="30"/>
          <w:szCs w:val="30"/>
        </w:rPr>
        <w:t>确定审核重点</w:t>
      </w:r>
      <w:bookmarkEnd w:id="122"/>
      <w:bookmarkEnd w:id="123"/>
      <w:bookmarkEnd w:id="124"/>
      <w:bookmarkEnd w:id="125"/>
    </w:p>
    <w:p>
      <w:pPr>
        <w:pStyle w:val="4"/>
        <w:widowControl w:val="0"/>
        <w:spacing w:before="0" w:after="0" w:line="360" w:lineRule="auto"/>
        <w:rPr>
          <w:rFonts w:ascii="Times New Roman" w:hAnsi="Times New Roman" w:eastAsia="宋体" w:cs="Courier New"/>
          <w:sz w:val="28"/>
          <w:szCs w:val="30"/>
        </w:rPr>
      </w:pPr>
      <w:bookmarkStart w:id="126" w:name="_Toc525142381"/>
      <w:bookmarkStart w:id="127" w:name="_Toc427137650"/>
      <w:bookmarkStart w:id="128" w:name="_Toc15592"/>
      <w:bookmarkStart w:id="129" w:name="_Toc687"/>
      <w:r>
        <w:rPr>
          <w:rFonts w:hint="eastAsia" w:ascii="Times New Roman" w:hAnsi="Times New Roman" w:eastAsia="宋体" w:cs="Courier New"/>
          <w:sz w:val="28"/>
          <w:szCs w:val="30"/>
        </w:rPr>
        <w:t>3.5.</w:t>
      </w:r>
      <w:r>
        <w:rPr>
          <w:rFonts w:ascii="Times New Roman" w:hAnsi="Times New Roman" w:eastAsia="宋体" w:cs="Courier New"/>
          <w:sz w:val="28"/>
          <w:szCs w:val="30"/>
        </w:rPr>
        <w:t>1原则与依据</w:t>
      </w:r>
      <w:bookmarkEnd w:id="126"/>
      <w:bookmarkEnd w:id="127"/>
      <w:bookmarkEnd w:id="128"/>
      <w:bookmarkEnd w:id="129"/>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确定备选审核重点的原则及应考虑的因素：</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①污染物产生量大，排放量大、超标严重的环节；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②能源消耗量大，浪费严重，有明显清洁生产机会的环节；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③严重影响或威胁正常生产，构成生产“瓶颈”的环节；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④一旦采取措施，容易产生显著环境效益与经济效益的环节；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⑤物料进出口多，量大、控制较难的环节；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⑥存在的“老大难”问题；</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⑦污染毒性大、难于管理、处置的环节；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⑧公众反应强烈，投诉最多的问题；</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⑨在区域环境质量改善中起重大作用的环节。</w:t>
      </w:r>
    </w:p>
    <w:p>
      <w:pPr>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针对确定审核重点拟考虑的9个因素，我们逐个分析，第3、6、7、8、9项不存在很明显的问题。对于1、2和4和5项，我司确实存在改善的潜力，有明显的清洁生产机会。</w:t>
      </w:r>
    </w:p>
    <w:p>
      <w:pPr>
        <w:pStyle w:val="4"/>
        <w:widowControl w:val="0"/>
        <w:spacing w:beforeLines="50" w:after="0" w:line="360" w:lineRule="auto"/>
        <w:rPr>
          <w:rFonts w:ascii="Times New Roman" w:hAnsi="Times New Roman" w:eastAsia="宋体" w:cs="Courier New"/>
          <w:sz w:val="28"/>
          <w:szCs w:val="30"/>
        </w:rPr>
      </w:pPr>
      <w:bookmarkStart w:id="130" w:name="_Toc1927"/>
      <w:bookmarkStart w:id="131" w:name="_Toc525142382"/>
      <w:bookmarkStart w:id="132" w:name="_Toc499903473"/>
      <w:r>
        <w:rPr>
          <w:rFonts w:hint="eastAsia" w:ascii="Times New Roman" w:hAnsi="Times New Roman" w:eastAsia="宋体" w:cs="Courier New"/>
          <w:sz w:val="28"/>
          <w:szCs w:val="30"/>
        </w:rPr>
        <w:t>3.5</w:t>
      </w:r>
      <w:r>
        <w:rPr>
          <w:rFonts w:ascii="Times New Roman" w:hAnsi="Times New Roman" w:eastAsia="宋体" w:cs="Courier New"/>
          <w:sz w:val="28"/>
          <w:szCs w:val="30"/>
        </w:rPr>
        <w:t>.</w:t>
      </w:r>
      <w:r>
        <w:rPr>
          <w:rFonts w:hint="eastAsia" w:ascii="Times New Roman" w:hAnsi="Times New Roman" w:eastAsia="宋体" w:cs="Courier New"/>
          <w:sz w:val="28"/>
          <w:szCs w:val="30"/>
        </w:rPr>
        <w:t>2确定</w:t>
      </w:r>
      <w:r>
        <w:rPr>
          <w:rFonts w:ascii="Times New Roman" w:hAnsi="Times New Roman" w:eastAsia="宋体" w:cs="Courier New"/>
          <w:sz w:val="28"/>
          <w:szCs w:val="30"/>
        </w:rPr>
        <w:t>审核重点</w:t>
      </w:r>
      <w:bookmarkEnd w:id="130"/>
      <w:bookmarkEnd w:id="131"/>
      <w:bookmarkEnd w:id="132"/>
    </w:p>
    <w:p>
      <w:pPr>
        <w:spacing w:after="0" w:line="360" w:lineRule="auto"/>
        <w:ind w:firstLine="480" w:firstLineChars="200"/>
        <w:rPr>
          <w:rFonts w:ascii="Times New Roman" w:hAnsi="Times New Roman" w:eastAsia="宋体" w:cs="Times New Roman"/>
          <w:kern w:val="2"/>
          <w:sz w:val="24"/>
          <w:szCs w:val="24"/>
        </w:rPr>
      </w:pPr>
      <w:bookmarkStart w:id="133" w:name="_Toc31160"/>
      <w:bookmarkStart w:id="134" w:name="_Toc525142383"/>
      <w:r>
        <w:rPr>
          <w:rFonts w:hint="eastAsia" w:ascii="Times New Roman" w:hAnsi="Times New Roman" w:eastAsia="宋体" w:cs="Times New Roman"/>
          <w:kern w:val="2"/>
          <w:sz w:val="24"/>
          <w:szCs w:val="24"/>
        </w:rPr>
        <w:t>从原料的投入到最终产品的产出，各个生产车间承担着整个工艺生产过程中的不同任务，企业污染物主要以</w:t>
      </w:r>
      <w:r>
        <w:rPr>
          <w:rFonts w:hint="eastAsia" w:ascii="Times New Roman" w:hAnsi="Times New Roman" w:eastAsia="宋体" w:cs="Times New Roman"/>
          <w:kern w:val="2"/>
          <w:sz w:val="24"/>
          <w:szCs w:val="24"/>
          <w:lang w:val="en-US" w:eastAsia="zh-CN"/>
        </w:rPr>
        <w:t>废气</w:t>
      </w:r>
      <w:r>
        <w:rPr>
          <w:rFonts w:hint="eastAsia" w:ascii="Times New Roman" w:hAnsi="Times New Roman" w:eastAsia="宋体" w:cs="Times New Roman"/>
          <w:kern w:val="2"/>
          <w:sz w:val="24"/>
          <w:szCs w:val="24"/>
        </w:rPr>
        <w:t>、固废和噪声的形式产生。根据前述工艺分析，企业的主要物耗、能耗及产污环节主要是</w:t>
      </w:r>
      <w:r>
        <w:rPr>
          <w:rFonts w:hint="eastAsia" w:ascii="Times New Roman" w:hAnsi="Times New Roman" w:eastAsia="宋体" w:cs="Times New Roman"/>
          <w:kern w:val="2"/>
          <w:sz w:val="24"/>
          <w:szCs w:val="24"/>
          <w:lang w:val="en-US" w:eastAsia="zh-CN"/>
        </w:rPr>
        <w:t>浇注</w:t>
      </w:r>
      <w:r>
        <w:rPr>
          <w:rFonts w:hint="eastAsia" w:ascii="Times New Roman" w:hAnsi="Times New Roman" w:eastAsia="宋体" w:cs="Times New Roman"/>
          <w:kern w:val="2"/>
          <w:sz w:val="24"/>
          <w:szCs w:val="24"/>
        </w:rPr>
        <w:t>加工、焊接及</w:t>
      </w:r>
      <w:r>
        <w:rPr>
          <w:rFonts w:hint="eastAsia" w:ascii="Times New Roman" w:hAnsi="Times New Roman" w:eastAsia="宋体" w:cs="Times New Roman"/>
          <w:kern w:val="2"/>
          <w:sz w:val="24"/>
          <w:szCs w:val="24"/>
          <w:lang w:val="en-US" w:eastAsia="zh-CN"/>
        </w:rPr>
        <w:t>打磨</w:t>
      </w:r>
      <w:r>
        <w:rPr>
          <w:rFonts w:hint="eastAsia" w:ascii="Times New Roman" w:hAnsi="Times New Roman" w:eastAsia="宋体" w:cs="Times New Roman"/>
          <w:kern w:val="2"/>
          <w:sz w:val="24"/>
          <w:szCs w:val="24"/>
        </w:rPr>
        <w:t>环节，为此，审核小组决定将这三个环节作为本轮审核的审核重点。</w:t>
      </w:r>
    </w:p>
    <w:p>
      <w:pPr>
        <w:spacing w:beforeLines="50" w:line="360" w:lineRule="auto"/>
        <w:jc w:val="center"/>
        <w:rPr>
          <w:rFonts w:hint="eastAsia" w:ascii="Times New Roman" w:hAnsi="Times New Roman" w:eastAsia="宋体"/>
          <w:b/>
          <w:sz w:val="24"/>
          <w:szCs w:val="24"/>
        </w:rPr>
      </w:pPr>
      <w:r>
        <w:rPr>
          <w:rFonts w:hint="eastAsia" w:ascii="Times New Roman" w:hAnsi="Times New Roman" w:eastAsia="宋体"/>
          <w:b/>
          <w:sz w:val="24"/>
          <w:szCs w:val="24"/>
        </w:rPr>
        <w:t>表</w:t>
      </w:r>
      <w:r>
        <w:rPr>
          <w:rFonts w:hint="eastAsia" w:ascii="Times New Roman" w:hAnsi="Times New Roman" w:eastAsia="宋体"/>
          <w:b/>
          <w:sz w:val="24"/>
          <w:szCs w:val="24"/>
          <w:lang w:val="en-US" w:eastAsia="zh-CN"/>
        </w:rPr>
        <w:t>3-23</w:t>
      </w:r>
      <w:r>
        <w:rPr>
          <w:rFonts w:hint="eastAsia" w:ascii="Times New Roman" w:hAnsi="Times New Roman" w:eastAsia="宋体"/>
          <w:b/>
          <w:sz w:val="24"/>
          <w:szCs w:val="24"/>
        </w:rPr>
        <w:t xml:space="preserve">  审核重点一览表</w:t>
      </w:r>
    </w:p>
    <w:tbl>
      <w:tblPr>
        <w:tblStyle w:val="27"/>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59"/>
        <w:gridCol w:w="2126"/>
        <w:gridCol w:w="543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59" w:type="dxa"/>
            <w:vAlign w:val="center"/>
          </w:tcPr>
          <w:p>
            <w:pPr>
              <w:jc w:val="center"/>
              <w:rPr>
                <w:rFonts w:asciiTheme="minorEastAsia" w:hAnsiTheme="minorEastAsia" w:eastAsiaTheme="minorEastAsia"/>
                <w:sz w:val="21"/>
                <w:szCs w:val="21"/>
              </w:rPr>
            </w:pPr>
            <w:r>
              <w:rPr>
                <w:rFonts w:asciiTheme="minorEastAsia" w:hAnsiTheme="minorEastAsia" w:eastAsiaTheme="minorEastAsia"/>
                <w:sz w:val="21"/>
                <w:szCs w:val="21"/>
              </w:rPr>
              <w:t>序号</w:t>
            </w:r>
          </w:p>
        </w:tc>
        <w:tc>
          <w:tcPr>
            <w:tcW w:w="2126" w:type="dxa"/>
            <w:vAlign w:val="center"/>
          </w:tcPr>
          <w:p>
            <w:pPr>
              <w:jc w:val="center"/>
              <w:rPr>
                <w:rFonts w:asciiTheme="minorEastAsia" w:hAnsiTheme="minorEastAsia" w:eastAsiaTheme="minorEastAsia"/>
                <w:sz w:val="21"/>
                <w:szCs w:val="21"/>
              </w:rPr>
            </w:pPr>
            <w:r>
              <w:rPr>
                <w:rFonts w:asciiTheme="minorEastAsia" w:hAnsiTheme="minorEastAsia" w:eastAsiaTheme="minorEastAsia"/>
                <w:sz w:val="21"/>
                <w:szCs w:val="21"/>
              </w:rPr>
              <w:t>备选审核重点</w:t>
            </w:r>
          </w:p>
        </w:tc>
        <w:tc>
          <w:tcPr>
            <w:tcW w:w="5437" w:type="dxa"/>
            <w:vAlign w:val="center"/>
          </w:tcPr>
          <w:p>
            <w:pPr>
              <w:jc w:val="center"/>
              <w:rPr>
                <w:rFonts w:asciiTheme="minorEastAsia" w:hAnsiTheme="minorEastAsia" w:eastAsiaTheme="minorEastAsia"/>
                <w:sz w:val="21"/>
                <w:szCs w:val="21"/>
              </w:rPr>
            </w:pPr>
            <w:r>
              <w:rPr>
                <w:rFonts w:asciiTheme="minorEastAsia" w:hAnsiTheme="minorEastAsia" w:eastAsiaTheme="minorEastAsia"/>
                <w:sz w:val="21"/>
                <w:szCs w:val="21"/>
              </w:rPr>
              <w:t>原因</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59" w:type="dxa"/>
            <w:vAlign w:val="center"/>
          </w:tcPr>
          <w:p>
            <w:pPr>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w:t>
            </w:r>
          </w:p>
        </w:tc>
        <w:tc>
          <w:tcPr>
            <w:tcW w:w="2126" w:type="dxa"/>
            <w:vAlign w:val="center"/>
          </w:tcPr>
          <w:p>
            <w:pPr>
              <w:jc w:val="center"/>
              <w:rPr>
                <w:rFonts w:asciiTheme="minorEastAsia" w:hAnsiTheme="minorEastAsia" w:eastAsiaTheme="minorEastAsia"/>
                <w:sz w:val="21"/>
                <w:szCs w:val="21"/>
              </w:rPr>
            </w:pPr>
            <w:r>
              <w:rPr>
                <w:rFonts w:hint="eastAsia" w:asciiTheme="minorEastAsia" w:hAnsiTheme="minorEastAsia"/>
                <w:sz w:val="21"/>
                <w:szCs w:val="21"/>
                <w:lang w:val="en-US" w:eastAsia="zh-CN"/>
              </w:rPr>
              <w:t>浇注</w:t>
            </w:r>
            <w:r>
              <w:rPr>
                <w:rFonts w:asciiTheme="minorEastAsia" w:hAnsiTheme="minorEastAsia" w:eastAsiaTheme="minorEastAsia"/>
                <w:sz w:val="21"/>
                <w:szCs w:val="21"/>
              </w:rPr>
              <w:t>加工</w:t>
            </w:r>
          </w:p>
        </w:tc>
        <w:tc>
          <w:tcPr>
            <w:tcW w:w="5437" w:type="dxa"/>
            <w:vAlign w:val="center"/>
          </w:tcPr>
          <w:p>
            <w:pPr>
              <w:jc w:val="center"/>
              <w:rPr>
                <w:rFonts w:asciiTheme="minorEastAsia" w:hAnsiTheme="minorEastAsia" w:eastAsiaTheme="minorEastAsia"/>
                <w:sz w:val="21"/>
                <w:szCs w:val="21"/>
              </w:rPr>
            </w:pPr>
            <w:r>
              <w:rPr>
                <w:rFonts w:asciiTheme="minorEastAsia" w:hAnsiTheme="minorEastAsia" w:eastAsiaTheme="minorEastAsia"/>
                <w:sz w:val="21"/>
                <w:szCs w:val="21"/>
              </w:rPr>
              <w:t>物耗较多，</w:t>
            </w:r>
            <w:r>
              <w:rPr>
                <w:rFonts w:hint="eastAsia" w:asciiTheme="minorEastAsia" w:hAnsiTheme="minorEastAsia"/>
                <w:sz w:val="21"/>
                <w:szCs w:val="21"/>
                <w:lang w:val="en-US" w:eastAsia="zh-CN"/>
              </w:rPr>
              <w:t>废气</w:t>
            </w:r>
            <w:r>
              <w:rPr>
                <w:rFonts w:asciiTheme="minorEastAsia" w:hAnsiTheme="minorEastAsia" w:eastAsiaTheme="minorEastAsia"/>
                <w:sz w:val="21"/>
                <w:szCs w:val="21"/>
              </w:rPr>
              <w:t>、固废及噪声产生量较大，能耗较高</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59" w:type="dxa"/>
            <w:vAlign w:val="center"/>
          </w:tcPr>
          <w:p>
            <w:pPr>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w:t>
            </w:r>
          </w:p>
        </w:tc>
        <w:tc>
          <w:tcPr>
            <w:tcW w:w="2126" w:type="dxa"/>
            <w:vAlign w:val="center"/>
          </w:tcPr>
          <w:p>
            <w:pPr>
              <w:jc w:val="center"/>
              <w:rPr>
                <w:rFonts w:asciiTheme="minorEastAsia" w:hAnsiTheme="minorEastAsia" w:eastAsiaTheme="minorEastAsia"/>
                <w:sz w:val="21"/>
                <w:szCs w:val="21"/>
              </w:rPr>
            </w:pPr>
            <w:r>
              <w:rPr>
                <w:rFonts w:asciiTheme="minorEastAsia" w:hAnsiTheme="minorEastAsia" w:eastAsiaTheme="minorEastAsia"/>
                <w:sz w:val="21"/>
                <w:szCs w:val="21"/>
              </w:rPr>
              <w:t>焊接</w:t>
            </w:r>
          </w:p>
        </w:tc>
        <w:tc>
          <w:tcPr>
            <w:tcW w:w="5437" w:type="dxa"/>
            <w:vAlign w:val="center"/>
          </w:tcPr>
          <w:p>
            <w:pPr>
              <w:jc w:val="center"/>
              <w:rPr>
                <w:rFonts w:asciiTheme="minorEastAsia" w:hAnsiTheme="minorEastAsia" w:eastAsiaTheme="minorEastAsia"/>
                <w:sz w:val="21"/>
                <w:szCs w:val="21"/>
              </w:rPr>
            </w:pPr>
            <w:r>
              <w:rPr>
                <w:rFonts w:asciiTheme="minorEastAsia" w:hAnsiTheme="minorEastAsia" w:eastAsiaTheme="minorEastAsia"/>
                <w:sz w:val="21"/>
                <w:szCs w:val="21"/>
              </w:rPr>
              <w:t>焊接烟气、粉尘产量较多</w:t>
            </w:r>
          </w:p>
        </w:tc>
      </w:tr>
    </w:tbl>
    <w:p>
      <w:pPr>
        <w:pStyle w:val="4"/>
        <w:widowControl w:val="0"/>
        <w:spacing w:beforeLines="50" w:after="0" w:line="360" w:lineRule="auto"/>
        <w:rPr>
          <w:rFonts w:ascii="Times New Roman" w:hAnsi="Times New Roman" w:eastAsia="宋体" w:cs="Courier New"/>
          <w:sz w:val="28"/>
          <w:szCs w:val="30"/>
        </w:rPr>
      </w:pPr>
      <w:bookmarkStart w:id="135" w:name="_Toc11938"/>
      <w:r>
        <w:rPr>
          <w:rFonts w:hint="eastAsia" w:ascii="Times New Roman" w:hAnsi="Times New Roman" w:eastAsia="宋体" w:cs="Courier New"/>
          <w:sz w:val="28"/>
          <w:szCs w:val="30"/>
        </w:rPr>
        <w:t>3.5.3 确定审核重点因素</w:t>
      </w:r>
      <w:bookmarkEnd w:id="135"/>
    </w:p>
    <w:p>
      <w:pPr>
        <w:spacing w:line="360" w:lineRule="auto"/>
        <w:ind w:firstLine="482"/>
        <w:rPr>
          <w:rFonts w:hint="eastAsia" w:ascii="Times New Roman" w:hAnsi="宋体" w:eastAsia="宋体"/>
          <w:sz w:val="24"/>
          <w:szCs w:val="24"/>
        </w:rPr>
      </w:pPr>
      <w:r>
        <w:rPr>
          <w:rFonts w:hint="eastAsia" w:ascii="Times New Roman" w:hAnsi="宋体" w:eastAsia="宋体"/>
          <w:sz w:val="24"/>
          <w:szCs w:val="24"/>
        </w:rPr>
        <w:t>对选择的能源及原辅料消耗、清洁生产潜力、车间积极性、废弃物量和区域环境质量改善5个权重因素的赋值说明如下：</w:t>
      </w:r>
    </w:p>
    <w:p>
      <w:pPr>
        <w:spacing w:line="360" w:lineRule="auto"/>
        <w:ind w:firstLine="482"/>
        <w:rPr>
          <w:rFonts w:hint="eastAsia" w:ascii="Times New Roman" w:hAnsi="宋体" w:eastAsia="宋体"/>
          <w:sz w:val="24"/>
          <w:szCs w:val="24"/>
        </w:rPr>
      </w:pPr>
      <w:r>
        <w:rPr>
          <w:rFonts w:hint="eastAsia" w:ascii="Times New Roman" w:hAnsi="宋体" w:eastAsia="宋体"/>
          <w:sz w:val="24"/>
          <w:szCs w:val="24"/>
        </w:rPr>
        <w:t>能源及原辅料消耗W=10；物耗和能耗是影响企业生产成本最主要的因素，因此其权重取值为10；</w:t>
      </w:r>
    </w:p>
    <w:p>
      <w:pPr>
        <w:spacing w:line="360" w:lineRule="auto"/>
        <w:ind w:firstLine="482"/>
        <w:rPr>
          <w:rFonts w:hint="eastAsia" w:ascii="Times New Roman" w:hAnsi="宋体" w:eastAsia="宋体"/>
          <w:sz w:val="24"/>
          <w:szCs w:val="24"/>
        </w:rPr>
      </w:pPr>
      <w:r>
        <w:rPr>
          <w:rFonts w:hint="eastAsia" w:ascii="Times New Roman" w:hAnsi="宋体" w:eastAsia="宋体"/>
          <w:sz w:val="24"/>
          <w:szCs w:val="24"/>
        </w:rPr>
        <w:t>清洁生产潜力W=9；主要考虑车间目前的能耗物耗即污染物排放情况，以及通过清洁生产审核能带来效益，对企业有激励作用，将该因素的权重取值为9；</w:t>
      </w:r>
    </w:p>
    <w:p>
      <w:pPr>
        <w:spacing w:line="360" w:lineRule="auto"/>
        <w:ind w:firstLine="482"/>
        <w:rPr>
          <w:rFonts w:hint="eastAsia" w:ascii="Times New Roman" w:hAnsi="宋体" w:eastAsia="宋体"/>
          <w:sz w:val="24"/>
          <w:szCs w:val="24"/>
        </w:rPr>
      </w:pPr>
      <w:r>
        <w:rPr>
          <w:rFonts w:hint="eastAsia" w:ascii="Times New Roman" w:hAnsi="宋体" w:eastAsia="宋体"/>
          <w:sz w:val="24"/>
          <w:szCs w:val="24"/>
        </w:rPr>
        <w:t>车间积极性W=7；主要参考各车间的主管和员工的素质、参与清洁生产的积极性等方面，其对企业的节能减排起着重要作用，因此其权重取值为8。</w:t>
      </w:r>
    </w:p>
    <w:p>
      <w:pPr>
        <w:spacing w:line="360" w:lineRule="auto"/>
        <w:ind w:firstLine="482"/>
        <w:rPr>
          <w:rFonts w:hint="eastAsia" w:ascii="Times New Roman" w:hAnsi="宋体" w:eastAsia="宋体"/>
          <w:sz w:val="24"/>
          <w:szCs w:val="24"/>
        </w:rPr>
      </w:pPr>
      <w:r>
        <w:rPr>
          <w:rFonts w:hint="eastAsia" w:ascii="Times New Roman" w:hAnsi="宋体" w:eastAsia="宋体"/>
          <w:sz w:val="24"/>
          <w:szCs w:val="24"/>
        </w:rPr>
        <w:t>废弃物量W=8，污染物的排放不仅存在环境风险，还会对企业员工及周边居民身体健康造成一定的影响，因此其权重取值为8；</w:t>
      </w:r>
    </w:p>
    <w:p>
      <w:pPr>
        <w:spacing w:line="360" w:lineRule="auto"/>
        <w:ind w:firstLine="482"/>
        <w:rPr>
          <w:rFonts w:hint="eastAsia" w:ascii="Times New Roman" w:hAnsi="宋体" w:eastAsia="宋体"/>
          <w:sz w:val="24"/>
          <w:szCs w:val="24"/>
        </w:rPr>
      </w:pPr>
      <w:r>
        <w:rPr>
          <w:rFonts w:hint="eastAsia" w:ascii="Times New Roman" w:hAnsi="宋体" w:eastAsia="宋体"/>
          <w:sz w:val="24"/>
          <w:szCs w:val="24"/>
        </w:rPr>
        <w:t>区域环境质量改善W=8，产品在生产、运输和使用过程中产生的污染，不仅对生产企业员工造成影响，也对接触的人群的身体健康造成影响，因此企业在生产过程中从源头降低污染产生的机会，显得尤为重要，因此其权重取值为8。</w:t>
      </w:r>
    </w:p>
    <w:p>
      <w:pPr>
        <w:pStyle w:val="4"/>
        <w:widowControl w:val="0"/>
        <w:spacing w:beforeLines="50" w:after="0" w:line="360" w:lineRule="auto"/>
        <w:rPr>
          <w:rFonts w:ascii="Times New Roman" w:hAnsi="Times New Roman" w:eastAsia="宋体" w:cs="Courier New"/>
          <w:sz w:val="28"/>
          <w:szCs w:val="30"/>
        </w:rPr>
      </w:pPr>
      <w:bookmarkStart w:id="136" w:name="_Toc28377"/>
      <w:r>
        <w:rPr>
          <w:rFonts w:hint="eastAsia" w:ascii="Times New Roman" w:hAnsi="Times New Roman" w:eastAsia="宋体" w:cs="Courier New"/>
          <w:sz w:val="28"/>
          <w:szCs w:val="30"/>
        </w:rPr>
        <w:t>3.5.4 权重因素表征</w:t>
      </w:r>
      <w:bookmarkEnd w:id="136"/>
    </w:p>
    <w:p>
      <w:pPr>
        <w:spacing w:line="360" w:lineRule="auto"/>
        <w:ind w:firstLine="482"/>
        <w:rPr>
          <w:rFonts w:ascii="Times New Roman" w:hAnsi="宋体" w:eastAsia="宋体"/>
          <w:sz w:val="24"/>
          <w:szCs w:val="24"/>
        </w:rPr>
      </w:pPr>
      <w:r>
        <w:rPr>
          <w:rFonts w:hint="eastAsia" w:ascii="Times New Roman" w:hAnsi="宋体" w:eastAsia="宋体"/>
          <w:sz w:val="24"/>
          <w:szCs w:val="24"/>
        </w:rPr>
        <w:t>在确定各因素权重值后，审核小组还为各因数的表征和得分进行了讨论，并将结果列入表3-2</w:t>
      </w:r>
      <w:r>
        <w:rPr>
          <w:rFonts w:hint="eastAsia" w:ascii="Times New Roman" w:hAnsi="宋体" w:eastAsia="宋体"/>
          <w:sz w:val="24"/>
          <w:szCs w:val="24"/>
          <w:lang w:val="en-US" w:eastAsia="zh-CN"/>
        </w:rPr>
        <w:t>4</w:t>
      </w:r>
      <w:r>
        <w:rPr>
          <w:rFonts w:hint="eastAsia" w:ascii="Times New Roman" w:hAnsi="宋体" w:eastAsia="宋体"/>
          <w:sz w:val="24"/>
          <w:szCs w:val="24"/>
        </w:rPr>
        <w:t>。</w:t>
      </w:r>
    </w:p>
    <w:p>
      <w:pPr>
        <w:spacing w:beforeLines="50" w:line="360" w:lineRule="auto"/>
        <w:jc w:val="center"/>
        <w:rPr>
          <w:rFonts w:ascii="Times New Roman" w:hAnsi="Times New Roman" w:eastAsia="宋体"/>
          <w:b/>
          <w:sz w:val="24"/>
          <w:szCs w:val="24"/>
        </w:rPr>
      </w:pPr>
      <w:r>
        <w:rPr>
          <w:rFonts w:hint="eastAsia" w:ascii="Times New Roman" w:hAnsi="Times New Roman" w:eastAsia="宋体"/>
          <w:b/>
          <w:sz w:val="24"/>
          <w:szCs w:val="24"/>
        </w:rPr>
        <w:t>表3-</w:t>
      </w:r>
      <w:r>
        <w:rPr>
          <w:rFonts w:hint="eastAsia" w:ascii="Times New Roman" w:hAnsi="Times New Roman" w:eastAsia="宋体"/>
          <w:b/>
          <w:sz w:val="24"/>
          <w:szCs w:val="24"/>
          <w:lang w:val="en-US" w:eastAsia="zh-CN"/>
        </w:rPr>
        <w:t>24</w:t>
      </w:r>
      <w:r>
        <w:rPr>
          <w:rFonts w:hint="eastAsia" w:ascii="Times New Roman" w:hAnsi="Times New Roman" w:eastAsia="宋体"/>
          <w:b/>
          <w:sz w:val="24"/>
          <w:szCs w:val="24"/>
        </w:rPr>
        <w:t xml:space="preserve">  权重因素的表征和得分</w:t>
      </w:r>
    </w:p>
    <w:tbl>
      <w:tblPr>
        <w:tblStyle w:val="27"/>
        <w:tblW w:w="85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850"/>
        <w:gridCol w:w="2122"/>
        <w:gridCol w:w="1066"/>
        <w:gridCol w:w="972"/>
        <w:gridCol w:w="988"/>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556" w:type="dxa"/>
            <w:vMerge w:val="restart"/>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因素</w:t>
            </w:r>
          </w:p>
        </w:tc>
        <w:tc>
          <w:tcPr>
            <w:tcW w:w="850" w:type="dxa"/>
            <w:vMerge w:val="restart"/>
            <w:vAlign w:val="center"/>
          </w:tcPr>
          <w:p>
            <w:pPr>
              <w:jc w:val="center"/>
              <w:rPr>
                <w:rFonts w:ascii="宋体" w:eastAsia="宋体"/>
                <w:b/>
                <w:bCs/>
                <w:szCs w:val="21"/>
              </w:rPr>
            </w:pPr>
            <w:r>
              <w:rPr>
                <w:rFonts w:hint="eastAsia" w:ascii="宋体" w:eastAsia="宋体"/>
                <w:b/>
                <w:bCs/>
                <w:szCs w:val="21"/>
              </w:rPr>
              <w:t>权重</w:t>
            </w:r>
          </w:p>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（W）</w:t>
            </w:r>
          </w:p>
        </w:tc>
        <w:tc>
          <w:tcPr>
            <w:tcW w:w="2122" w:type="dxa"/>
            <w:vMerge w:val="restart"/>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表征</w:t>
            </w:r>
          </w:p>
        </w:tc>
        <w:tc>
          <w:tcPr>
            <w:tcW w:w="4023" w:type="dxa"/>
            <w:gridSpan w:val="4"/>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R分值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6" w:hRule="atLeast"/>
          <w:jc w:val="center"/>
        </w:trPr>
        <w:tc>
          <w:tcPr>
            <w:tcW w:w="1556" w:type="dxa"/>
            <w:vMerge w:val="continue"/>
            <w:vAlign w:val="center"/>
          </w:tcPr>
          <w:p>
            <w:pPr>
              <w:widowControl/>
              <w:jc w:val="left"/>
              <w:rPr>
                <w:rFonts w:ascii="宋体" w:eastAsia="宋体"/>
                <w:b/>
                <w:bCs/>
                <w:szCs w:val="21"/>
              </w:rPr>
            </w:pPr>
          </w:p>
        </w:tc>
        <w:tc>
          <w:tcPr>
            <w:tcW w:w="850" w:type="dxa"/>
            <w:vMerge w:val="continue"/>
            <w:vAlign w:val="center"/>
          </w:tcPr>
          <w:p>
            <w:pPr>
              <w:widowControl/>
              <w:jc w:val="left"/>
              <w:rPr>
                <w:rFonts w:ascii="宋体" w:eastAsia="宋体"/>
                <w:b/>
                <w:bCs/>
                <w:szCs w:val="21"/>
              </w:rPr>
            </w:pPr>
          </w:p>
        </w:tc>
        <w:tc>
          <w:tcPr>
            <w:tcW w:w="2122" w:type="dxa"/>
            <w:vMerge w:val="continue"/>
            <w:vAlign w:val="center"/>
          </w:tcPr>
          <w:p>
            <w:pPr>
              <w:widowControl/>
              <w:jc w:val="left"/>
              <w:rPr>
                <w:rFonts w:ascii="宋体" w:eastAsia="宋体"/>
                <w:b/>
                <w:bCs/>
                <w:szCs w:val="21"/>
              </w:rPr>
            </w:pPr>
          </w:p>
        </w:tc>
        <w:tc>
          <w:tcPr>
            <w:tcW w:w="1066"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9-10</w:t>
            </w:r>
          </w:p>
        </w:tc>
        <w:tc>
          <w:tcPr>
            <w:tcW w:w="972"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7-8</w:t>
            </w:r>
          </w:p>
        </w:tc>
        <w:tc>
          <w:tcPr>
            <w:tcW w:w="988"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5-6</w:t>
            </w:r>
          </w:p>
        </w:tc>
        <w:tc>
          <w:tcPr>
            <w:tcW w:w="997"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55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废物产生量</w:t>
            </w:r>
          </w:p>
        </w:tc>
        <w:tc>
          <w:tcPr>
            <w:tcW w:w="850"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10</w:t>
            </w:r>
          </w:p>
        </w:tc>
        <w:tc>
          <w:tcPr>
            <w:tcW w:w="212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产生量</w:t>
            </w:r>
          </w:p>
        </w:tc>
        <w:tc>
          <w:tcPr>
            <w:tcW w:w="106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多</w:t>
            </w:r>
          </w:p>
        </w:tc>
        <w:tc>
          <w:tcPr>
            <w:tcW w:w="97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较多</w:t>
            </w:r>
          </w:p>
        </w:tc>
        <w:tc>
          <w:tcPr>
            <w:tcW w:w="988"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少</w:t>
            </w:r>
          </w:p>
        </w:tc>
        <w:tc>
          <w:tcPr>
            <w:tcW w:w="997"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55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能源的消耗</w:t>
            </w:r>
          </w:p>
        </w:tc>
        <w:tc>
          <w:tcPr>
            <w:tcW w:w="850"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9</w:t>
            </w:r>
          </w:p>
        </w:tc>
        <w:tc>
          <w:tcPr>
            <w:tcW w:w="212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消耗量（tce）</w:t>
            </w:r>
          </w:p>
        </w:tc>
        <w:tc>
          <w:tcPr>
            <w:tcW w:w="106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≥200</w:t>
            </w:r>
          </w:p>
        </w:tc>
        <w:tc>
          <w:tcPr>
            <w:tcW w:w="97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100～200</w:t>
            </w:r>
          </w:p>
        </w:tc>
        <w:tc>
          <w:tcPr>
            <w:tcW w:w="988"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＜100</w:t>
            </w:r>
          </w:p>
        </w:tc>
        <w:tc>
          <w:tcPr>
            <w:tcW w:w="997"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55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清洁生产潜力</w:t>
            </w:r>
          </w:p>
        </w:tc>
        <w:tc>
          <w:tcPr>
            <w:tcW w:w="850" w:type="dxa"/>
            <w:vAlign w:val="center"/>
          </w:tcPr>
          <w:p>
            <w:pPr>
              <w:adjustRightInd w:val="0"/>
              <w:snapToGrid w:val="0"/>
              <w:spacing w:after="100" w:afterAutospacing="1" w:line="360" w:lineRule="auto"/>
              <w:jc w:val="center"/>
              <w:rPr>
                <w:rFonts w:hint="eastAsia" w:ascii="宋体" w:eastAsia="宋体"/>
                <w:szCs w:val="21"/>
                <w:lang w:eastAsia="zh-CN"/>
              </w:rPr>
            </w:pPr>
            <w:r>
              <w:rPr>
                <w:rFonts w:hint="eastAsia" w:ascii="宋体" w:eastAsia="宋体"/>
                <w:szCs w:val="21"/>
                <w:lang w:val="en-US" w:eastAsia="zh-CN"/>
              </w:rPr>
              <w:t>8</w:t>
            </w:r>
          </w:p>
        </w:tc>
        <w:tc>
          <w:tcPr>
            <w:tcW w:w="212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节能潜力/污染物消减潜力</w:t>
            </w:r>
          </w:p>
        </w:tc>
        <w:tc>
          <w:tcPr>
            <w:tcW w:w="106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很大</w:t>
            </w:r>
          </w:p>
        </w:tc>
        <w:tc>
          <w:tcPr>
            <w:tcW w:w="97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大</w:t>
            </w:r>
          </w:p>
        </w:tc>
        <w:tc>
          <w:tcPr>
            <w:tcW w:w="988"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一般</w:t>
            </w:r>
          </w:p>
        </w:tc>
        <w:tc>
          <w:tcPr>
            <w:tcW w:w="997"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55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发展前景</w:t>
            </w:r>
          </w:p>
        </w:tc>
        <w:tc>
          <w:tcPr>
            <w:tcW w:w="850" w:type="dxa"/>
            <w:vAlign w:val="center"/>
          </w:tcPr>
          <w:p>
            <w:pPr>
              <w:adjustRightInd w:val="0"/>
              <w:snapToGrid w:val="0"/>
              <w:spacing w:after="100" w:afterAutospacing="1" w:line="360" w:lineRule="auto"/>
              <w:jc w:val="center"/>
              <w:rPr>
                <w:rFonts w:hint="eastAsia" w:ascii="宋体" w:eastAsia="宋体"/>
                <w:szCs w:val="21"/>
                <w:lang w:eastAsia="zh-CN"/>
              </w:rPr>
            </w:pPr>
            <w:r>
              <w:rPr>
                <w:rFonts w:hint="eastAsia" w:ascii="宋体" w:eastAsia="宋体"/>
                <w:szCs w:val="21"/>
                <w:lang w:val="en-US" w:eastAsia="zh-CN"/>
              </w:rPr>
              <w:t>7</w:t>
            </w:r>
          </w:p>
        </w:tc>
        <w:tc>
          <w:tcPr>
            <w:tcW w:w="212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对企业的影响</w:t>
            </w:r>
          </w:p>
        </w:tc>
        <w:tc>
          <w:tcPr>
            <w:tcW w:w="106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好</w:t>
            </w:r>
          </w:p>
        </w:tc>
        <w:tc>
          <w:tcPr>
            <w:tcW w:w="97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较好</w:t>
            </w:r>
          </w:p>
        </w:tc>
        <w:tc>
          <w:tcPr>
            <w:tcW w:w="988"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一般</w:t>
            </w:r>
          </w:p>
        </w:tc>
        <w:tc>
          <w:tcPr>
            <w:tcW w:w="997"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55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车间积极性</w:t>
            </w:r>
          </w:p>
        </w:tc>
        <w:tc>
          <w:tcPr>
            <w:tcW w:w="850" w:type="dxa"/>
            <w:vAlign w:val="center"/>
          </w:tcPr>
          <w:p>
            <w:pPr>
              <w:adjustRightInd w:val="0"/>
              <w:snapToGrid w:val="0"/>
              <w:spacing w:after="100" w:afterAutospacing="1" w:line="360" w:lineRule="auto"/>
              <w:jc w:val="center"/>
              <w:rPr>
                <w:rFonts w:hint="eastAsia" w:ascii="宋体" w:eastAsia="宋体"/>
                <w:szCs w:val="21"/>
                <w:lang w:eastAsia="zh-CN"/>
              </w:rPr>
            </w:pPr>
            <w:r>
              <w:rPr>
                <w:rFonts w:hint="eastAsia" w:ascii="宋体" w:eastAsia="宋体"/>
                <w:szCs w:val="21"/>
                <w:lang w:val="en-US" w:eastAsia="zh-CN"/>
              </w:rPr>
              <w:t>5</w:t>
            </w:r>
          </w:p>
        </w:tc>
        <w:tc>
          <w:tcPr>
            <w:tcW w:w="212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参与程度</w:t>
            </w:r>
          </w:p>
        </w:tc>
        <w:tc>
          <w:tcPr>
            <w:tcW w:w="1066"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积极</w:t>
            </w:r>
          </w:p>
        </w:tc>
        <w:tc>
          <w:tcPr>
            <w:tcW w:w="972"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配合</w:t>
            </w:r>
          </w:p>
        </w:tc>
        <w:tc>
          <w:tcPr>
            <w:tcW w:w="988"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参与</w:t>
            </w:r>
          </w:p>
        </w:tc>
        <w:tc>
          <w:tcPr>
            <w:tcW w:w="997"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被动</w:t>
            </w:r>
          </w:p>
        </w:tc>
      </w:tr>
    </w:tbl>
    <w:p>
      <w:pPr>
        <w:spacing w:line="360" w:lineRule="auto"/>
        <w:ind w:firstLine="482"/>
        <w:rPr>
          <w:rFonts w:ascii="Times New Roman" w:hAnsi="宋体" w:eastAsia="宋体"/>
          <w:sz w:val="24"/>
          <w:szCs w:val="24"/>
        </w:rPr>
      </w:pPr>
      <w:r>
        <w:rPr>
          <w:rFonts w:hint="eastAsia" w:ascii="Times New Roman" w:hAnsi="宋体" w:eastAsia="宋体"/>
          <w:sz w:val="24"/>
          <w:szCs w:val="24"/>
        </w:rPr>
        <w:t>将权重因素表征进行了量化，可以比较客观的给各备选审核重点打分。</w:t>
      </w:r>
    </w:p>
    <w:p>
      <w:pPr>
        <w:pStyle w:val="4"/>
        <w:widowControl w:val="0"/>
        <w:spacing w:beforeLines="50" w:after="0" w:line="360" w:lineRule="auto"/>
        <w:rPr>
          <w:rFonts w:ascii="Times New Roman" w:hAnsi="Times New Roman" w:eastAsia="宋体" w:cs="Courier New"/>
          <w:sz w:val="28"/>
          <w:szCs w:val="30"/>
        </w:rPr>
      </w:pPr>
      <w:bookmarkStart w:id="137" w:name="_Toc19023"/>
      <w:r>
        <w:rPr>
          <w:rFonts w:hint="eastAsia" w:ascii="Times New Roman" w:hAnsi="Times New Roman" w:eastAsia="宋体" w:cs="Courier New"/>
          <w:sz w:val="28"/>
          <w:szCs w:val="30"/>
        </w:rPr>
        <w:t>3.5.5</w:t>
      </w:r>
      <w:r>
        <w:rPr>
          <w:rFonts w:ascii="Times New Roman" w:hAnsi="Times New Roman" w:eastAsia="宋体" w:cs="Courier New"/>
          <w:sz w:val="28"/>
          <w:szCs w:val="30"/>
        </w:rPr>
        <w:t>权重排序结果</w:t>
      </w:r>
      <w:bookmarkEnd w:id="137"/>
    </w:p>
    <w:p>
      <w:pPr>
        <w:spacing w:line="360" w:lineRule="auto"/>
        <w:ind w:firstLine="482"/>
        <w:rPr>
          <w:rFonts w:ascii="Times New Roman" w:hAnsi="宋体" w:eastAsia="宋体"/>
          <w:sz w:val="24"/>
          <w:szCs w:val="24"/>
        </w:rPr>
      </w:pPr>
      <w:r>
        <w:rPr>
          <w:rFonts w:hint="eastAsia" w:ascii="Times New Roman" w:hAnsi="宋体" w:eastAsia="宋体"/>
          <w:sz w:val="24"/>
          <w:szCs w:val="24"/>
        </w:rPr>
        <w:t>根据以上的讨论，审核小组结合预审核的结果，按照权重因素的因子给各个工段打分。各备选审核重点得分情况见表3-</w:t>
      </w:r>
      <w:r>
        <w:rPr>
          <w:rFonts w:hint="eastAsia" w:ascii="Times New Roman" w:hAnsi="宋体" w:eastAsia="宋体"/>
          <w:sz w:val="24"/>
          <w:szCs w:val="24"/>
          <w:lang w:val="en-US" w:eastAsia="zh-CN"/>
        </w:rPr>
        <w:t>25</w:t>
      </w:r>
      <w:r>
        <w:rPr>
          <w:rFonts w:hint="eastAsia" w:ascii="Times New Roman" w:hAnsi="宋体" w:eastAsia="宋体"/>
          <w:sz w:val="24"/>
          <w:szCs w:val="24"/>
        </w:rPr>
        <w:t>。</w:t>
      </w:r>
    </w:p>
    <w:p>
      <w:pPr>
        <w:spacing w:beforeLines="50" w:line="360" w:lineRule="auto"/>
        <w:jc w:val="center"/>
        <w:rPr>
          <w:rFonts w:ascii="Times New Roman" w:hAnsi="Times New Roman" w:eastAsia="宋体"/>
          <w:b/>
          <w:sz w:val="24"/>
          <w:szCs w:val="24"/>
        </w:rPr>
      </w:pPr>
      <w:r>
        <w:rPr>
          <w:rFonts w:ascii="Times New Roman" w:hAnsi="Times New Roman" w:eastAsia="宋体"/>
          <w:b/>
          <w:sz w:val="24"/>
          <w:szCs w:val="24"/>
        </w:rPr>
        <w:t>表3-</w:t>
      </w:r>
      <w:r>
        <w:rPr>
          <w:rFonts w:hint="eastAsia" w:ascii="Times New Roman" w:hAnsi="Times New Roman" w:eastAsia="宋体"/>
          <w:b/>
          <w:sz w:val="24"/>
          <w:szCs w:val="24"/>
          <w:lang w:val="en-US" w:eastAsia="zh-CN"/>
        </w:rPr>
        <w:t>25</w:t>
      </w:r>
      <w:r>
        <w:rPr>
          <w:rFonts w:ascii="Times New Roman" w:hAnsi="Times New Roman" w:eastAsia="宋体"/>
          <w:b/>
          <w:sz w:val="24"/>
          <w:szCs w:val="24"/>
        </w:rPr>
        <w:t xml:space="preserve">  备选审核重点权重总和积分和排序情况表</w:t>
      </w:r>
    </w:p>
    <w:tbl>
      <w:tblPr>
        <w:tblStyle w:val="27"/>
        <w:tblW w:w="502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46"/>
        <w:gridCol w:w="1154"/>
        <w:gridCol w:w="916"/>
        <w:gridCol w:w="1463"/>
        <w:gridCol w:w="916"/>
        <w:gridCol w:w="14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2646" w:type="dxa"/>
            <w:vMerge w:val="restart"/>
            <w:noWrap w:val="0"/>
            <w:vAlign w:val="center"/>
          </w:tcPr>
          <w:p>
            <w:pPr>
              <w:adjustRightInd w:val="0"/>
              <w:snapToGrid w:val="0"/>
              <w:ind w:firstLine="0" w:firstLineChars="0"/>
              <w:jc w:val="center"/>
              <w:rPr>
                <w:sz w:val="21"/>
                <w:szCs w:val="21"/>
              </w:rPr>
            </w:pPr>
            <w:r>
              <w:rPr>
                <w:sz w:val="21"/>
                <w:szCs w:val="21"/>
              </w:rPr>
              <w:t>因素</w:t>
            </w:r>
          </w:p>
        </w:tc>
        <w:tc>
          <w:tcPr>
            <w:tcW w:w="5913" w:type="dxa"/>
            <w:gridSpan w:val="5"/>
            <w:tcBorders>
              <w:right w:val="single" w:color="000000" w:sz="12" w:space="0"/>
            </w:tcBorders>
            <w:noWrap w:val="0"/>
            <w:vAlign w:val="center"/>
          </w:tcPr>
          <w:p>
            <w:pPr>
              <w:adjustRightInd w:val="0"/>
              <w:snapToGrid w:val="0"/>
              <w:ind w:firstLine="0" w:firstLineChars="0"/>
              <w:jc w:val="center"/>
              <w:rPr>
                <w:sz w:val="21"/>
                <w:szCs w:val="21"/>
              </w:rPr>
            </w:pPr>
            <w:r>
              <w:rPr>
                <w:sz w:val="21"/>
                <w:szCs w:val="21"/>
              </w:rPr>
              <w:t>权重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2646" w:type="dxa"/>
            <w:vMerge w:val="continue"/>
            <w:noWrap w:val="0"/>
            <w:vAlign w:val="center"/>
          </w:tcPr>
          <w:p>
            <w:pPr>
              <w:adjustRightInd w:val="0"/>
              <w:snapToGrid w:val="0"/>
              <w:ind w:firstLine="420"/>
              <w:jc w:val="center"/>
              <w:rPr>
                <w:sz w:val="21"/>
                <w:szCs w:val="21"/>
              </w:rPr>
            </w:pPr>
          </w:p>
        </w:tc>
        <w:tc>
          <w:tcPr>
            <w:tcW w:w="1154" w:type="dxa"/>
            <w:noWrap w:val="0"/>
            <w:vAlign w:val="center"/>
          </w:tcPr>
          <w:p>
            <w:pPr>
              <w:adjustRightInd w:val="0"/>
              <w:snapToGrid w:val="0"/>
              <w:ind w:firstLine="0" w:firstLineChars="0"/>
              <w:jc w:val="center"/>
              <w:rPr>
                <w:sz w:val="21"/>
                <w:szCs w:val="21"/>
              </w:rPr>
            </w:pPr>
            <w:r>
              <w:rPr>
                <w:sz w:val="21"/>
                <w:szCs w:val="21"/>
              </w:rPr>
              <w:t>W</w:t>
            </w:r>
          </w:p>
        </w:tc>
        <w:tc>
          <w:tcPr>
            <w:tcW w:w="2379" w:type="dxa"/>
            <w:gridSpan w:val="2"/>
            <w:noWrap w:val="0"/>
            <w:vAlign w:val="center"/>
          </w:tcPr>
          <w:p>
            <w:pPr>
              <w:adjustRightInd w:val="0"/>
              <w:snapToGrid w:val="0"/>
              <w:ind w:firstLine="0" w:firstLineChars="0"/>
              <w:jc w:val="center"/>
              <w:rPr>
                <w:sz w:val="21"/>
                <w:szCs w:val="21"/>
              </w:rPr>
            </w:pPr>
            <w:r>
              <w:rPr>
                <w:rFonts w:hint="eastAsia"/>
                <w:kern w:val="0"/>
                <w:sz w:val="21"/>
                <w:szCs w:val="21"/>
                <w:lang w:eastAsia="zh-CN"/>
              </w:rPr>
              <w:t>发泡车间</w:t>
            </w:r>
          </w:p>
        </w:tc>
        <w:tc>
          <w:tcPr>
            <w:tcW w:w="2380" w:type="dxa"/>
            <w:gridSpan w:val="2"/>
            <w:tcBorders>
              <w:right w:val="single" w:color="000000" w:sz="12" w:space="0"/>
            </w:tcBorders>
            <w:noWrap w:val="0"/>
            <w:vAlign w:val="center"/>
          </w:tcPr>
          <w:p>
            <w:pPr>
              <w:adjustRightInd w:val="0"/>
              <w:snapToGrid w:val="0"/>
              <w:ind w:firstLine="0" w:firstLineChars="0"/>
              <w:jc w:val="center"/>
              <w:rPr>
                <w:sz w:val="21"/>
                <w:szCs w:val="21"/>
              </w:rPr>
            </w:pPr>
            <w:r>
              <w:rPr>
                <w:rFonts w:hint="eastAsia"/>
                <w:sz w:val="21"/>
                <w:szCs w:val="21"/>
                <w:lang w:eastAsia="zh-CN"/>
              </w:rPr>
              <w:t>焊接工序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2646" w:type="dxa"/>
            <w:vMerge w:val="continue"/>
            <w:noWrap w:val="0"/>
            <w:vAlign w:val="center"/>
          </w:tcPr>
          <w:p>
            <w:pPr>
              <w:adjustRightInd w:val="0"/>
              <w:snapToGrid w:val="0"/>
              <w:ind w:firstLine="420"/>
              <w:jc w:val="center"/>
              <w:rPr>
                <w:sz w:val="21"/>
                <w:szCs w:val="21"/>
              </w:rPr>
            </w:pPr>
          </w:p>
        </w:tc>
        <w:tc>
          <w:tcPr>
            <w:tcW w:w="1154" w:type="dxa"/>
            <w:noWrap w:val="0"/>
            <w:vAlign w:val="center"/>
          </w:tcPr>
          <w:p>
            <w:pPr>
              <w:adjustRightInd w:val="0"/>
              <w:snapToGrid w:val="0"/>
              <w:ind w:firstLine="0" w:firstLineChars="0"/>
              <w:jc w:val="center"/>
              <w:rPr>
                <w:sz w:val="21"/>
                <w:szCs w:val="21"/>
              </w:rPr>
            </w:pPr>
            <w:r>
              <w:rPr>
                <w:sz w:val="21"/>
                <w:szCs w:val="21"/>
              </w:rPr>
              <w:t>1~10</w:t>
            </w:r>
          </w:p>
        </w:tc>
        <w:tc>
          <w:tcPr>
            <w:tcW w:w="916" w:type="dxa"/>
            <w:noWrap w:val="0"/>
            <w:vAlign w:val="center"/>
          </w:tcPr>
          <w:p>
            <w:pPr>
              <w:adjustRightInd w:val="0"/>
              <w:snapToGrid w:val="0"/>
              <w:ind w:firstLine="0" w:firstLineChars="0"/>
              <w:jc w:val="center"/>
              <w:rPr>
                <w:sz w:val="21"/>
                <w:szCs w:val="21"/>
              </w:rPr>
            </w:pPr>
            <w:r>
              <w:rPr>
                <w:sz w:val="21"/>
                <w:szCs w:val="21"/>
              </w:rPr>
              <w:t>R</w:t>
            </w:r>
          </w:p>
        </w:tc>
        <w:tc>
          <w:tcPr>
            <w:tcW w:w="1463" w:type="dxa"/>
            <w:noWrap w:val="0"/>
            <w:vAlign w:val="center"/>
          </w:tcPr>
          <w:p>
            <w:pPr>
              <w:adjustRightInd w:val="0"/>
              <w:snapToGrid w:val="0"/>
              <w:ind w:firstLine="0" w:firstLineChars="0"/>
              <w:jc w:val="center"/>
              <w:rPr>
                <w:sz w:val="21"/>
                <w:szCs w:val="21"/>
              </w:rPr>
            </w:pPr>
            <w:r>
              <w:rPr>
                <w:sz w:val="21"/>
                <w:szCs w:val="21"/>
              </w:rPr>
              <w:t>RW</w:t>
            </w:r>
          </w:p>
        </w:tc>
        <w:tc>
          <w:tcPr>
            <w:tcW w:w="916" w:type="dxa"/>
            <w:noWrap w:val="0"/>
            <w:vAlign w:val="center"/>
          </w:tcPr>
          <w:p>
            <w:pPr>
              <w:adjustRightInd w:val="0"/>
              <w:snapToGrid w:val="0"/>
              <w:ind w:firstLine="0" w:firstLineChars="0"/>
              <w:jc w:val="center"/>
              <w:rPr>
                <w:sz w:val="21"/>
                <w:szCs w:val="21"/>
              </w:rPr>
            </w:pPr>
            <w:r>
              <w:rPr>
                <w:sz w:val="21"/>
                <w:szCs w:val="21"/>
              </w:rPr>
              <w:t>R</w:t>
            </w:r>
          </w:p>
        </w:tc>
        <w:tc>
          <w:tcPr>
            <w:tcW w:w="1464" w:type="dxa"/>
            <w:tcBorders>
              <w:right w:val="single" w:color="000000" w:sz="12" w:space="0"/>
            </w:tcBorders>
            <w:noWrap w:val="0"/>
            <w:vAlign w:val="center"/>
          </w:tcPr>
          <w:p>
            <w:pPr>
              <w:adjustRightInd w:val="0"/>
              <w:snapToGrid w:val="0"/>
              <w:ind w:firstLine="0" w:firstLineChars="0"/>
              <w:jc w:val="center"/>
              <w:rPr>
                <w:sz w:val="21"/>
                <w:szCs w:val="21"/>
              </w:rPr>
            </w:pPr>
            <w:r>
              <w:rPr>
                <w:sz w:val="21"/>
                <w:szCs w:val="21"/>
              </w:rPr>
              <w:t>RW</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2646" w:type="dxa"/>
            <w:noWrap w:val="0"/>
            <w:vAlign w:val="center"/>
          </w:tcPr>
          <w:p>
            <w:pPr>
              <w:adjustRightInd w:val="0"/>
              <w:snapToGrid w:val="0"/>
              <w:ind w:firstLine="0" w:firstLineChars="0"/>
              <w:jc w:val="center"/>
              <w:rPr>
                <w:sz w:val="21"/>
                <w:szCs w:val="21"/>
              </w:rPr>
            </w:pPr>
            <w:r>
              <w:rPr>
                <w:sz w:val="21"/>
                <w:szCs w:val="21"/>
              </w:rPr>
              <w:t>能源及原辅料消耗</w:t>
            </w:r>
          </w:p>
        </w:tc>
        <w:tc>
          <w:tcPr>
            <w:tcW w:w="1154" w:type="dxa"/>
            <w:noWrap w:val="0"/>
            <w:vAlign w:val="center"/>
          </w:tcPr>
          <w:p>
            <w:pPr>
              <w:adjustRightInd w:val="0"/>
              <w:snapToGrid w:val="0"/>
              <w:ind w:firstLine="0" w:firstLineChars="0"/>
              <w:jc w:val="center"/>
              <w:rPr>
                <w:sz w:val="21"/>
                <w:szCs w:val="21"/>
              </w:rPr>
            </w:pPr>
            <w:r>
              <w:rPr>
                <w:sz w:val="21"/>
                <w:szCs w:val="21"/>
              </w:rPr>
              <w:t>10</w:t>
            </w:r>
          </w:p>
        </w:tc>
        <w:tc>
          <w:tcPr>
            <w:tcW w:w="916" w:type="dxa"/>
            <w:noWrap w:val="0"/>
            <w:vAlign w:val="center"/>
          </w:tcPr>
          <w:p>
            <w:pPr>
              <w:adjustRightInd w:val="0"/>
              <w:snapToGrid w:val="0"/>
              <w:ind w:firstLine="0" w:firstLineChars="0"/>
              <w:jc w:val="center"/>
              <w:rPr>
                <w:sz w:val="21"/>
                <w:szCs w:val="21"/>
              </w:rPr>
            </w:pPr>
            <w:r>
              <w:rPr>
                <w:rFonts w:hint="eastAsia"/>
                <w:sz w:val="21"/>
                <w:szCs w:val="21"/>
              </w:rPr>
              <w:t>8</w:t>
            </w:r>
          </w:p>
        </w:tc>
        <w:tc>
          <w:tcPr>
            <w:tcW w:w="1463" w:type="dxa"/>
            <w:noWrap w:val="0"/>
            <w:vAlign w:val="center"/>
          </w:tcPr>
          <w:p>
            <w:pPr>
              <w:adjustRightInd w:val="0"/>
              <w:snapToGrid w:val="0"/>
              <w:ind w:firstLine="0" w:firstLineChars="0"/>
              <w:jc w:val="center"/>
              <w:rPr>
                <w:sz w:val="21"/>
                <w:szCs w:val="21"/>
              </w:rPr>
            </w:pPr>
            <w:r>
              <w:rPr>
                <w:rFonts w:hint="eastAsia"/>
                <w:sz w:val="21"/>
                <w:szCs w:val="21"/>
              </w:rPr>
              <w:t>80</w:t>
            </w:r>
          </w:p>
        </w:tc>
        <w:tc>
          <w:tcPr>
            <w:tcW w:w="916" w:type="dxa"/>
            <w:noWrap w:val="0"/>
            <w:vAlign w:val="center"/>
          </w:tcPr>
          <w:p>
            <w:pPr>
              <w:adjustRightInd w:val="0"/>
              <w:snapToGrid w:val="0"/>
              <w:ind w:firstLine="0" w:firstLineChars="0"/>
              <w:jc w:val="center"/>
              <w:rPr>
                <w:rFonts w:hint="eastAsia" w:eastAsiaTheme="minorEastAsia"/>
                <w:sz w:val="21"/>
                <w:szCs w:val="21"/>
                <w:lang w:eastAsia="zh-CN"/>
              </w:rPr>
            </w:pPr>
            <w:r>
              <w:rPr>
                <w:rFonts w:hint="eastAsia"/>
                <w:sz w:val="21"/>
                <w:szCs w:val="21"/>
                <w:lang w:val="en-US" w:eastAsia="zh-CN"/>
              </w:rPr>
              <w:t>6</w:t>
            </w:r>
          </w:p>
        </w:tc>
        <w:tc>
          <w:tcPr>
            <w:tcW w:w="1464" w:type="dxa"/>
            <w:tcBorders>
              <w:right w:val="single" w:color="000000" w:sz="12" w:space="0"/>
            </w:tcBorders>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2646" w:type="dxa"/>
            <w:noWrap w:val="0"/>
            <w:vAlign w:val="center"/>
          </w:tcPr>
          <w:p>
            <w:pPr>
              <w:adjustRightInd w:val="0"/>
              <w:snapToGrid w:val="0"/>
              <w:ind w:firstLine="0" w:firstLineChars="0"/>
              <w:jc w:val="center"/>
              <w:rPr>
                <w:sz w:val="21"/>
                <w:szCs w:val="21"/>
              </w:rPr>
            </w:pPr>
            <w:r>
              <w:rPr>
                <w:sz w:val="21"/>
                <w:szCs w:val="21"/>
              </w:rPr>
              <w:t>清洁生产潜力</w:t>
            </w:r>
          </w:p>
        </w:tc>
        <w:tc>
          <w:tcPr>
            <w:tcW w:w="1154" w:type="dxa"/>
            <w:noWrap w:val="0"/>
            <w:vAlign w:val="center"/>
          </w:tcPr>
          <w:p>
            <w:pPr>
              <w:adjustRightInd w:val="0"/>
              <w:snapToGrid w:val="0"/>
              <w:ind w:firstLine="0" w:firstLineChars="0"/>
              <w:jc w:val="center"/>
              <w:rPr>
                <w:sz w:val="21"/>
                <w:szCs w:val="21"/>
              </w:rPr>
            </w:pPr>
            <w:r>
              <w:rPr>
                <w:sz w:val="21"/>
                <w:szCs w:val="21"/>
              </w:rPr>
              <w:t>9</w:t>
            </w:r>
          </w:p>
        </w:tc>
        <w:tc>
          <w:tcPr>
            <w:tcW w:w="916" w:type="dxa"/>
            <w:noWrap w:val="0"/>
            <w:vAlign w:val="center"/>
          </w:tcPr>
          <w:p>
            <w:pPr>
              <w:adjustRightInd w:val="0"/>
              <w:snapToGrid w:val="0"/>
              <w:ind w:firstLine="0" w:firstLineChars="0"/>
              <w:jc w:val="center"/>
              <w:rPr>
                <w:sz w:val="21"/>
                <w:szCs w:val="21"/>
              </w:rPr>
            </w:pPr>
            <w:r>
              <w:rPr>
                <w:rFonts w:hint="eastAsia"/>
                <w:sz w:val="21"/>
                <w:szCs w:val="21"/>
              </w:rPr>
              <w:t>9</w:t>
            </w:r>
          </w:p>
        </w:tc>
        <w:tc>
          <w:tcPr>
            <w:tcW w:w="1463" w:type="dxa"/>
            <w:noWrap w:val="0"/>
            <w:vAlign w:val="center"/>
          </w:tcPr>
          <w:p>
            <w:pPr>
              <w:adjustRightInd w:val="0"/>
              <w:snapToGrid w:val="0"/>
              <w:ind w:firstLine="0" w:firstLineChars="0"/>
              <w:jc w:val="center"/>
              <w:rPr>
                <w:sz w:val="21"/>
                <w:szCs w:val="21"/>
              </w:rPr>
            </w:pPr>
            <w:r>
              <w:rPr>
                <w:rFonts w:hint="eastAsia"/>
                <w:sz w:val="21"/>
                <w:szCs w:val="21"/>
              </w:rPr>
              <w:t>81</w:t>
            </w:r>
          </w:p>
        </w:tc>
        <w:tc>
          <w:tcPr>
            <w:tcW w:w="916" w:type="dxa"/>
            <w:noWrap w:val="0"/>
            <w:vAlign w:val="center"/>
          </w:tcPr>
          <w:p>
            <w:pPr>
              <w:adjustRightInd w:val="0"/>
              <w:snapToGrid w:val="0"/>
              <w:ind w:firstLine="0" w:firstLineChars="0"/>
              <w:jc w:val="center"/>
              <w:rPr>
                <w:sz w:val="21"/>
                <w:szCs w:val="21"/>
              </w:rPr>
            </w:pPr>
            <w:r>
              <w:rPr>
                <w:rFonts w:hint="eastAsia"/>
                <w:sz w:val="21"/>
                <w:szCs w:val="21"/>
              </w:rPr>
              <w:t>8</w:t>
            </w:r>
          </w:p>
        </w:tc>
        <w:tc>
          <w:tcPr>
            <w:tcW w:w="1464" w:type="dxa"/>
            <w:tcBorders>
              <w:right w:val="single" w:color="000000" w:sz="12" w:space="0"/>
            </w:tcBorders>
            <w:noWrap w:val="0"/>
            <w:vAlign w:val="center"/>
          </w:tcPr>
          <w:p>
            <w:pPr>
              <w:adjustRightInd w:val="0"/>
              <w:snapToGrid w:val="0"/>
              <w:ind w:firstLine="0" w:firstLineChars="0"/>
              <w:jc w:val="center"/>
              <w:rPr>
                <w:sz w:val="21"/>
                <w:szCs w:val="21"/>
              </w:rPr>
            </w:pPr>
            <w:r>
              <w:rPr>
                <w:rFonts w:hint="eastAsia"/>
                <w:sz w:val="21"/>
                <w:szCs w:val="21"/>
              </w:rPr>
              <w:t>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2646" w:type="dxa"/>
            <w:noWrap w:val="0"/>
            <w:vAlign w:val="center"/>
          </w:tcPr>
          <w:p>
            <w:pPr>
              <w:adjustRightInd w:val="0"/>
              <w:snapToGrid w:val="0"/>
              <w:ind w:firstLine="0" w:firstLineChars="0"/>
              <w:jc w:val="center"/>
              <w:rPr>
                <w:sz w:val="21"/>
                <w:szCs w:val="21"/>
              </w:rPr>
            </w:pPr>
            <w:r>
              <w:rPr>
                <w:sz w:val="21"/>
                <w:szCs w:val="21"/>
              </w:rPr>
              <w:t>车间积极性</w:t>
            </w:r>
          </w:p>
        </w:tc>
        <w:tc>
          <w:tcPr>
            <w:tcW w:w="1154" w:type="dxa"/>
            <w:noWrap w:val="0"/>
            <w:vAlign w:val="center"/>
          </w:tcPr>
          <w:p>
            <w:pPr>
              <w:adjustRightInd w:val="0"/>
              <w:snapToGrid w:val="0"/>
              <w:ind w:firstLine="0" w:firstLineChars="0"/>
              <w:jc w:val="center"/>
              <w:rPr>
                <w:sz w:val="21"/>
                <w:szCs w:val="21"/>
              </w:rPr>
            </w:pPr>
            <w:r>
              <w:rPr>
                <w:sz w:val="21"/>
                <w:szCs w:val="21"/>
              </w:rPr>
              <w:t>7</w:t>
            </w:r>
          </w:p>
        </w:tc>
        <w:tc>
          <w:tcPr>
            <w:tcW w:w="916" w:type="dxa"/>
            <w:noWrap w:val="0"/>
            <w:vAlign w:val="center"/>
          </w:tcPr>
          <w:p>
            <w:pPr>
              <w:adjustRightInd w:val="0"/>
              <w:snapToGrid w:val="0"/>
              <w:ind w:firstLine="0" w:firstLineChars="0"/>
              <w:jc w:val="center"/>
              <w:rPr>
                <w:sz w:val="21"/>
                <w:szCs w:val="21"/>
              </w:rPr>
            </w:pPr>
            <w:r>
              <w:rPr>
                <w:rFonts w:hint="eastAsia"/>
                <w:sz w:val="21"/>
                <w:szCs w:val="21"/>
              </w:rPr>
              <w:t>9</w:t>
            </w:r>
          </w:p>
        </w:tc>
        <w:tc>
          <w:tcPr>
            <w:tcW w:w="1463" w:type="dxa"/>
            <w:noWrap w:val="0"/>
            <w:vAlign w:val="center"/>
          </w:tcPr>
          <w:p>
            <w:pPr>
              <w:adjustRightInd w:val="0"/>
              <w:snapToGrid w:val="0"/>
              <w:ind w:firstLine="0" w:firstLineChars="0"/>
              <w:jc w:val="center"/>
              <w:rPr>
                <w:sz w:val="21"/>
                <w:szCs w:val="21"/>
              </w:rPr>
            </w:pPr>
            <w:r>
              <w:rPr>
                <w:rFonts w:hint="eastAsia"/>
                <w:sz w:val="21"/>
                <w:szCs w:val="21"/>
              </w:rPr>
              <w:t>63</w:t>
            </w:r>
          </w:p>
        </w:tc>
        <w:tc>
          <w:tcPr>
            <w:tcW w:w="916" w:type="dxa"/>
            <w:noWrap w:val="0"/>
            <w:vAlign w:val="center"/>
          </w:tcPr>
          <w:p>
            <w:pPr>
              <w:adjustRightInd w:val="0"/>
              <w:snapToGrid w:val="0"/>
              <w:ind w:firstLine="0" w:firstLineChars="0"/>
              <w:jc w:val="center"/>
              <w:rPr>
                <w:sz w:val="21"/>
                <w:szCs w:val="21"/>
              </w:rPr>
            </w:pPr>
            <w:r>
              <w:rPr>
                <w:rFonts w:hint="eastAsia"/>
                <w:sz w:val="21"/>
                <w:szCs w:val="21"/>
              </w:rPr>
              <w:t>9</w:t>
            </w:r>
          </w:p>
        </w:tc>
        <w:tc>
          <w:tcPr>
            <w:tcW w:w="1464" w:type="dxa"/>
            <w:tcBorders>
              <w:right w:val="single" w:color="000000" w:sz="12" w:space="0"/>
            </w:tcBorders>
            <w:noWrap w:val="0"/>
            <w:vAlign w:val="center"/>
          </w:tcPr>
          <w:p>
            <w:pPr>
              <w:adjustRightInd w:val="0"/>
              <w:snapToGrid w:val="0"/>
              <w:ind w:firstLine="0" w:firstLineChars="0"/>
              <w:jc w:val="center"/>
              <w:rPr>
                <w:sz w:val="21"/>
                <w:szCs w:val="21"/>
              </w:rPr>
            </w:pPr>
            <w:r>
              <w:rPr>
                <w:rFonts w:hint="eastAsia"/>
                <w:sz w:val="21"/>
                <w:szCs w:val="21"/>
              </w:rPr>
              <w:t>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2646" w:type="dxa"/>
            <w:noWrap w:val="0"/>
            <w:vAlign w:val="center"/>
          </w:tcPr>
          <w:p>
            <w:pPr>
              <w:adjustRightInd w:val="0"/>
              <w:snapToGrid w:val="0"/>
              <w:ind w:firstLine="0" w:firstLineChars="0"/>
              <w:jc w:val="center"/>
              <w:rPr>
                <w:sz w:val="21"/>
                <w:szCs w:val="21"/>
              </w:rPr>
            </w:pPr>
            <w:r>
              <w:rPr>
                <w:sz w:val="21"/>
                <w:szCs w:val="21"/>
              </w:rPr>
              <w:t>废弃物量</w:t>
            </w:r>
          </w:p>
        </w:tc>
        <w:tc>
          <w:tcPr>
            <w:tcW w:w="1154" w:type="dxa"/>
            <w:noWrap w:val="0"/>
            <w:vAlign w:val="center"/>
          </w:tcPr>
          <w:p>
            <w:pPr>
              <w:adjustRightInd w:val="0"/>
              <w:snapToGrid w:val="0"/>
              <w:ind w:firstLine="0" w:firstLineChars="0"/>
              <w:jc w:val="center"/>
              <w:rPr>
                <w:sz w:val="21"/>
                <w:szCs w:val="21"/>
              </w:rPr>
            </w:pPr>
            <w:r>
              <w:rPr>
                <w:sz w:val="21"/>
                <w:szCs w:val="21"/>
              </w:rPr>
              <w:t>8</w:t>
            </w:r>
          </w:p>
        </w:tc>
        <w:tc>
          <w:tcPr>
            <w:tcW w:w="916" w:type="dxa"/>
            <w:noWrap w:val="0"/>
            <w:vAlign w:val="center"/>
          </w:tcPr>
          <w:p>
            <w:pPr>
              <w:adjustRightInd w:val="0"/>
              <w:snapToGrid w:val="0"/>
              <w:ind w:firstLine="0" w:firstLineChars="0"/>
              <w:jc w:val="center"/>
              <w:rPr>
                <w:sz w:val="21"/>
                <w:szCs w:val="21"/>
              </w:rPr>
            </w:pPr>
            <w:r>
              <w:rPr>
                <w:rFonts w:hint="eastAsia"/>
                <w:sz w:val="21"/>
                <w:szCs w:val="21"/>
              </w:rPr>
              <w:t>8</w:t>
            </w:r>
          </w:p>
        </w:tc>
        <w:tc>
          <w:tcPr>
            <w:tcW w:w="1463" w:type="dxa"/>
            <w:noWrap w:val="0"/>
            <w:vAlign w:val="center"/>
          </w:tcPr>
          <w:p>
            <w:pPr>
              <w:adjustRightInd w:val="0"/>
              <w:snapToGrid w:val="0"/>
              <w:ind w:firstLine="0" w:firstLineChars="0"/>
              <w:jc w:val="center"/>
              <w:rPr>
                <w:sz w:val="21"/>
                <w:szCs w:val="21"/>
              </w:rPr>
            </w:pPr>
            <w:r>
              <w:rPr>
                <w:rFonts w:hint="eastAsia"/>
                <w:sz w:val="21"/>
                <w:szCs w:val="21"/>
              </w:rPr>
              <w:t>64</w:t>
            </w:r>
          </w:p>
        </w:tc>
        <w:tc>
          <w:tcPr>
            <w:tcW w:w="916" w:type="dxa"/>
            <w:noWrap w:val="0"/>
            <w:vAlign w:val="center"/>
          </w:tcPr>
          <w:p>
            <w:pPr>
              <w:adjustRightInd w:val="0"/>
              <w:snapToGrid w:val="0"/>
              <w:ind w:firstLine="0" w:firstLineChars="0"/>
              <w:jc w:val="center"/>
              <w:rPr>
                <w:sz w:val="21"/>
                <w:szCs w:val="21"/>
              </w:rPr>
            </w:pPr>
            <w:r>
              <w:rPr>
                <w:rFonts w:hint="eastAsia"/>
                <w:sz w:val="21"/>
                <w:szCs w:val="21"/>
              </w:rPr>
              <w:t>7</w:t>
            </w:r>
          </w:p>
        </w:tc>
        <w:tc>
          <w:tcPr>
            <w:tcW w:w="1464" w:type="dxa"/>
            <w:tcBorders>
              <w:right w:val="single" w:color="000000" w:sz="12" w:space="0"/>
            </w:tcBorders>
            <w:noWrap w:val="0"/>
            <w:vAlign w:val="center"/>
          </w:tcPr>
          <w:p>
            <w:pPr>
              <w:adjustRightInd w:val="0"/>
              <w:snapToGrid w:val="0"/>
              <w:ind w:firstLine="0" w:firstLineChars="0"/>
              <w:jc w:val="center"/>
              <w:rPr>
                <w:sz w:val="21"/>
                <w:szCs w:val="21"/>
              </w:rPr>
            </w:pPr>
            <w:r>
              <w:rPr>
                <w:rFonts w:hint="eastAsia"/>
                <w:sz w:val="21"/>
                <w:szCs w:val="21"/>
              </w:rPr>
              <w:t>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2646" w:type="dxa"/>
            <w:noWrap w:val="0"/>
            <w:vAlign w:val="center"/>
          </w:tcPr>
          <w:p>
            <w:pPr>
              <w:adjustRightInd w:val="0"/>
              <w:snapToGrid w:val="0"/>
              <w:ind w:firstLine="0" w:firstLineChars="0"/>
              <w:jc w:val="center"/>
              <w:rPr>
                <w:sz w:val="21"/>
                <w:szCs w:val="21"/>
              </w:rPr>
            </w:pPr>
            <w:r>
              <w:rPr>
                <w:sz w:val="21"/>
                <w:szCs w:val="21"/>
              </w:rPr>
              <w:t>区域环境质量改善</w:t>
            </w:r>
          </w:p>
        </w:tc>
        <w:tc>
          <w:tcPr>
            <w:tcW w:w="1154" w:type="dxa"/>
            <w:noWrap w:val="0"/>
            <w:vAlign w:val="center"/>
          </w:tcPr>
          <w:p>
            <w:pPr>
              <w:adjustRightInd w:val="0"/>
              <w:snapToGrid w:val="0"/>
              <w:ind w:firstLine="0" w:firstLineChars="0"/>
              <w:jc w:val="center"/>
              <w:rPr>
                <w:sz w:val="21"/>
                <w:szCs w:val="21"/>
              </w:rPr>
            </w:pPr>
            <w:r>
              <w:rPr>
                <w:sz w:val="21"/>
                <w:szCs w:val="21"/>
              </w:rPr>
              <w:t>8</w:t>
            </w:r>
          </w:p>
        </w:tc>
        <w:tc>
          <w:tcPr>
            <w:tcW w:w="916" w:type="dxa"/>
            <w:noWrap w:val="0"/>
            <w:vAlign w:val="center"/>
          </w:tcPr>
          <w:p>
            <w:pPr>
              <w:adjustRightInd w:val="0"/>
              <w:snapToGrid w:val="0"/>
              <w:ind w:firstLine="0" w:firstLineChars="0"/>
              <w:jc w:val="center"/>
              <w:rPr>
                <w:rFonts w:hint="eastAsia" w:eastAsiaTheme="minorEastAsia"/>
                <w:sz w:val="21"/>
                <w:szCs w:val="21"/>
                <w:lang w:eastAsia="zh-CN"/>
              </w:rPr>
            </w:pPr>
            <w:r>
              <w:rPr>
                <w:rFonts w:hint="eastAsia"/>
                <w:sz w:val="21"/>
                <w:szCs w:val="21"/>
                <w:lang w:val="en-US" w:eastAsia="zh-CN"/>
              </w:rPr>
              <w:t>8</w:t>
            </w:r>
          </w:p>
        </w:tc>
        <w:tc>
          <w:tcPr>
            <w:tcW w:w="1463"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64</w:t>
            </w:r>
          </w:p>
        </w:tc>
        <w:tc>
          <w:tcPr>
            <w:tcW w:w="916" w:type="dxa"/>
            <w:noWrap w:val="0"/>
            <w:vAlign w:val="center"/>
          </w:tcPr>
          <w:p>
            <w:pPr>
              <w:adjustRightInd w:val="0"/>
              <w:snapToGrid w:val="0"/>
              <w:ind w:firstLine="0" w:firstLineChars="0"/>
              <w:jc w:val="center"/>
              <w:rPr>
                <w:sz w:val="21"/>
                <w:szCs w:val="21"/>
              </w:rPr>
            </w:pPr>
            <w:r>
              <w:rPr>
                <w:rFonts w:hint="eastAsia"/>
                <w:sz w:val="21"/>
                <w:szCs w:val="21"/>
              </w:rPr>
              <w:t>8</w:t>
            </w:r>
          </w:p>
        </w:tc>
        <w:tc>
          <w:tcPr>
            <w:tcW w:w="1464" w:type="dxa"/>
            <w:tcBorders>
              <w:right w:val="single" w:color="000000" w:sz="12" w:space="0"/>
            </w:tcBorders>
            <w:noWrap w:val="0"/>
            <w:vAlign w:val="center"/>
          </w:tcPr>
          <w:p>
            <w:pPr>
              <w:adjustRightInd w:val="0"/>
              <w:snapToGrid w:val="0"/>
              <w:ind w:firstLine="0" w:firstLineChars="0"/>
              <w:jc w:val="center"/>
              <w:rPr>
                <w:sz w:val="21"/>
                <w:szCs w:val="21"/>
              </w:rPr>
            </w:pPr>
            <w:r>
              <w:rPr>
                <w:rFonts w:hint="eastAsia"/>
                <w:sz w:val="21"/>
                <w:szCs w:val="21"/>
              </w:rPr>
              <w:t>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3800" w:type="dxa"/>
            <w:gridSpan w:val="2"/>
            <w:noWrap w:val="0"/>
            <w:vAlign w:val="center"/>
          </w:tcPr>
          <w:p>
            <w:pPr>
              <w:adjustRightInd w:val="0"/>
              <w:snapToGrid w:val="0"/>
              <w:ind w:firstLine="0" w:firstLineChars="0"/>
              <w:jc w:val="center"/>
              <w:rPr>
                <w:sz w:val="21"/>
                <w:szCs w:val="21"/>
              </w:rPr>
            </w:pPr>
            <w:r>
              <w:rPr>
                <w:sz w:val="21"/>
                <w:szCs w:val="21"/>
              </w:rPr>
              <w:t>总分</w:t>
            </w:r>
          </w:p>
        </w:tc>
        <w:tc>
          <w:tcPr>
            <w:tcW w:w="2379" w:type="dxa"/>
            <w:gridSpan w:val="2"/>
            <w:noWrap w:val="0"/>
            <w:vAlign w:val="center"/>
          </w:tcPr>
          <w:p>
            <w:pPr>
              <w:widowControl/>
              <w:adjustRightInd w:val="0"/>
              <w:snapToGrid w:val="0"/>
              <w:ind w:firstLine="0" w:firstLineChars="0"/>
              <w:jc w:val="center"/>
              <w:rPr>
                <w:rFonts w:hint="default" w:eastAsiaTheme="minorEastAsia"/>
                <w:kern w:val="0"/>
                <w:sz w:val="21"/>
                <w:szCs w:val="21"/>
                <w:lang w:val="en-US" w:eastAsia="zh-CN"/>
              </w:rPr>
            </w:pPr>
            <w:r>
              <w:rPr>
                <w:rFonts w:hint="eastAsia"/>
                <w:kern w:val="0"/>
                <w:sz w:val="21"/>
                <w:szCs w:val="21"/>
                <w:lang w:val="en-US" w:eastAsia="zh-CN"/>
              </w:rPr>
              <w:t>352</w:t>
            </w:r>
          </w:p>
        </w:tc>
        <w:tc>
          <w:tcPr>
            <w:tcW w:w="2380" w:type="dxa"/>
            <w:gridSpan w:val="2"/>
            <w:tcBorders>
              <w:right w:val="single" w:color="000000" w:sz="12" w:space="0"/>
            </w:tcBorders>
            <w:noWrap w:val="0"/>
            <w:vAlign w:val="center"/>
          </w:tcPr>
          <w:p>
            <w:pPr>
              <w:widowControl/>
              <w:adjustRightInd w:val="0"/>
              <w:snapToGrid w:val="0"/>
              <w:ind w:firstLine="0" w:firstLineChars="0"/>
              <w:jc w:val="center"/>
              <w:rPr>
                <w:rFonts w:hint="default" w:eastAsiaTheme="minorEastAsia"/>
                <w:kern w:val="0"/>
                <w:sz w:val="21"/>
                <w:szCs w:val="21"/>
                <w:lang w:val="en-US" w:eastAsia="zh-CN"/>
              </w:rPr>
            </w:pPr>
            <w:r>
              <w:rPr>
                <w:rFonts w:hint="eastAsia"/>
                <w:kern w:val="0"/>
                <w:sz w:val="21"/>
                <w:szCs w:val="21"/>
                <w:lang w:val="en-US" w:eastAsia="zh-CN"/>
              </w:rPr>
              <w:t>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6" w:hRule="atLeast"/>
          <w:jc w:val="center"/>
        </w:trPr>
        <w:tc>
          <w:tcPr>
            <w:tcW w:w="3800" w:type="dxa"/>
            <w:gridSpan w:val="2"/>
            <w:noWrap w:val="0"/>
            <w:vAlign w:val="center"/>
          </w:tcPr>
          <w:p>
            <w:pPr>
              <w:adjustRightInd w:val="0"/>
              <w:snapToGrid w:val="0"/>
              <w:ind w:firstLine="0" w:firstLineChars="0"/>
              <w:jc w:val="center"/>
              <w:rPr>
                <w:sz w:val="21"/>
                <w:szCs w:val="21"/>
              </w:rPr>
            </w:pPr>
            <w:r>
              <w:rPr>
                <w:sz w:val="21"/>
                <w:szCs w:val="21"/>
              </w:rPr>
              <w:t>排序</w:t>
            </w:r>
          </w:p>
        </w:tc>
        <w:tc>
          <w:tcPr>
            <w:tcW w:w="2379" w:type="dxa"/>
            <w:gridSpan w:val="2"/>
            <w:noWrap w:val="0"/>
            <w:vAlign w:val="center"/>
          </w:tcPr>
          <w:p>
            <w:pPr>
              <w:adjustRightInd w:val="0"/>
              <w:snapToGrid w:val="0"/>
              <w:ind w:firstLine="0" w:firstLineChars="0"/>
              <w:jc w:val="center"/>
              <w:rPr>
                <w:sz w:val="21"/>
                <w:szCs w:val="21"/>
              </w:rPr>
            </w:pPr>
            <w:r>
              <w:rPr>
                <w:rFonts w:hint="eastAsia"/>
                <w:sz w:val="21"/>
                <w:szCs w:val="21"/>
              </w:rPr>
              <w:t>1</w:t>
            </w:r>
          </w:p>
        </w:tc>
        <w:tc>
          <w:tcPr>
            <w:tcW w:w="2380" w:type="dxa"/>
            <w:gridSpan w:val="2"/>
            <w:tcBorders>
              <w:right w:val="single" w:color="000000" w:sz="12" w:space="0"/>
            </w:tcBorders>
            <w:noWrap w:val="0"/>
            <w:vAlign w:val="center"/>
          </w:tcPr>
          <w:p>
            <w:pPr>
              <w:adjustRightInd w:val="0"/>
              <w:snapToGrid w:val="0"/>
              <w:ind w:firstLine="0" w:firstLineChars="0"/>
              <w:jc w:val="center"/>
              <w:rPr>
                <w:sz w:val="21"/>
                <w:szCs w:val="21"/>
              </w:rPr>
            </w:pPr>
            <w:r>
              <w:rPr>
                <w:rFonts w:hint="eastAsia"/>
                <w:sz w:val="21"/>
                <w:szCs w:val="21"/>
              </w:rPr>
              <w:t>2</w:t>
            </w:r>
          </w:p>
        </w:tc>
      </w:tr>
    </w:tbl>
    <w:p>
      <w:pPr>
        <w:tabs>
          <w:tab w:val="left" w:pos="2548"/>
        </w:tabs>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从表3-</w:t>
      </w:r>
      <w:r>
        <w:rPr>
          <w:rFonts w:hint="eastAsia" w:ascii="Times New Roman" w:hAnsi="Times New Roman" w:eastAsia="宋体"/>
          <w:sz w:val="24"/>
          <w:szCs w:val="24"/>
          <w:lang w:val="en-US" w:eastAsia="zh-CN"/>
        </w:rPr>
        <w:t>25</w:t>
      </w:r>
      <w:r>
        <w:rPr>
          <w:rFonts w:hint="eastAsia" w:ascii="Times New Roman" w:hAnsi="Times New Roman" w:eastAsia="宋体"/>
          <w:sz w:val="24"/>
          <w:szCs w:val="24"/>
        </w:rPr>
        <w:t>可以看出，所选取的2个备选审核重点此次权重得分</w:t>
      </w:r>
      <w:r>
        <w:rPr>
          <w:rFonts w:hint="eastAsia" w:ascii="Times New Roman" w:hAnsi="Times New Roman" w:eastAsia="宋体"/>
          <w:sz w:val="24"/>
          <w:szCs w:val="24"/>
          <w:lang w:val="en-US" w:eastAsia="zh-CN"/>
        </w:rPr>
        <w:t>情况：发泡车间得分352分、焊接工序得分315分</w:t>
      </w:r>
      <w:r>
        <w:rPr>
          <w:rFonts w:hint="eastAsia" w:ascii="Times New Roman" w:hAnsi="Times New Roman" w:eastAsia="宋体"/>
          <w:sz w:val="24"/>
          <w:szCs w:val="24"/>
        </w:rPr>
        <w:t>，</w:t>
      </w:r>
      <w:r>
        <w:rPr>
          <w:rFonts w:hint="eastAsia" w:ascii="Times New Roman" w:hAnsi="Times New Roman" w:eastAsia="宋体"/>
          <w:sz w:val="24"/>
          <w:szCs w:val="24"/>
          <w:lang w:val="en-US" w:eastAsia="zh-CN"/>
        </w:rPr>
        <w:t>发泡车间清洁生产潜力比较大</w:t>
      </w:r>
      <w:r>
        <w:rPr>
          <w:rFonts w:hint="eastAsia" w:ascii="Times New Roman" w:hAnsi="Times New Roman" w:eastAsia="宋体"/>
          <w:sz w:val="24"/>
          <w:szCs w:val="24"/>
        </w:rPr>
        <w:t>，因此审核小组经过讨论后一致同意将企业的</w:t>
      </w:r>
      <w:r>
        <w:rPr>
          <w:rFonts w:hint="eastAsia" w:ascii="Times New Roman" w:hAnsi="Times New Roman" w:eastAsia="宋体"/>
          <w:sz w:val="24"/>
          <w:szCs w:val="24"/>
          <w:lang w:val="en-US" w:eastAsia="zh-CN"/>
        </w:rPr>
        <w:t>发泡车间</w:t>
      </w:r>
      <w:r>
        <w:rPr>
          <w:rFonts w:hint="eastAsia" w:ascii="Times New Roman" w:hAnsi="Times New Roman" w:eastAsia="宋体"/>
          <w:sz w:val="24"/>
          <w:szCs w:val="24"/>
        </w:rPr>
        <w:t>作为本轮清洁生产审核重点。</w:t>
      </w:r>
    </w:p>
    <w:p>
      <w:pPr>
        <w:pStyle w:val="3"/>
        <w:widowControl w:val="0"/>
        <w:adjustRightInd/>
        <w:snapToGrid/>
        <w:spacing w:beforeLines="50" w:afterLines="50" w:line="360" w:lineRule="auto"/>
        <w:rPr>
          <w:rFonts w:ascii="Times New Roman" w:hAnsi="Times New Roman"/>
          <w:sz w:val="30"/>
          <w:szCs w:val="30"/>
        </w:rPr>
      </w:pPr>
      <w:bookmarkStart w:id="138" w:name="_Toc28046"/>
      <w:r>
        <w:rPr>
          <w:rFonts w:hint="eastAsia" w:ascii="Times New Roman" w:hAnsi="Times New Roman"/>
          <w:sz w:val="30"/>
          <w:szCs w:val="30"/>
        </w:rPr>
        <w:t>3.6</w:t>
      </w:r>
      <w:r>
        <w:rPr>
          <w:rFonts w:ascii="Times New Roman" w:hAnsi="Times New Roman"/>
          <w:sz w:val="30"/>
          <w:szCs w:val="30"/>
        </w:rPr>
        <w:t>设置清洁生产目标</w:t>
      </w:r>
      <w:bookmarkEnd w:id="133"/>
      <w:bookmarkEnd w:id="134"/>
      <w:bookmarkEnd w:id="138"/>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在确定审核重点之后，为推动企业清洁生产审核工作，应设置清洁生产目标，作为各部门实施清洁生产的动力方向。</w:t>
      </w:r>
    </w:p>
    <w:p>
      <w:pPr>
        <w:pStyle w:val="4"/>
        <w:widowControl w:val="0"/>
        <w:spacing w:beforeLines="50" w:after="0" w:line="360" w:lineRule="auto"/>
        <w:rPr>
          <w:rFonts w:ascii="Times New Roman" w:hAnsi="Times New Roman" w:eastAsia="宋体" w:cs="Courier New"/>
          <w:sz w:val="28"/>
          <w:szCs w:val="30"/>
        </w:rPr>
      </w:pPr>
      <w:bookmarkStart w:id="139" w:name="_Toc525142384"/>
      <w:bookmarkStart w:id="140" w:name="_Toc1305"/>
      <w:bookmarkStart w:id="141" w:name="_Toc499903475"/>
      <w:r>
        <w:rPr>
          <w:rFonts w:hint="eastAsia" w:ascii="Times New Roman" w:hAnsi="Times New Roman" w:eastAsia="宋体" w:cs="Courier New"/>
          <w:sz w:val="28"/>
          <w:szCs w:val="30"/>
        </w:rPr>
        <w:t>3.6</w:t>
      </w:r>
      <w:r>
        <w:rPr>
          <w:rFonts w:ascii="Times New Roman" w:hAnsi="Times New Roman" w:eastAsia="宋体" w:cs="Courier New"/>
          <w:sz w:val="28"/>
          <w:szCs w:val="30"/>
        </w:rPr>
        <w:t>.1</w:t>
      </w:r>
      <w:r>
        <w:rPr>
          <w:rFonts w:hint="eastAsia" w:ascii="Times New Roman" w:hAnsi="Times New Roman" w:eastAsia="宋体" w:cs="Courier New"/>
          <w:sz w:val="28"/>
          <w:szCs w:val="30"/>
        </w:rPr>
        <w:t>清洁生产目标设置依据</w:t>
      </w:r>
      <w:bookmarkEnd w:id="139"/>
      <w:bookmarkEnd w:id="140"/>
      <w:bookmarkEnd w:id="141"/>
    </w:p>
    <w:p>
      <w:pPr>
        <w:tabs>
          <w:tab w:val="left" w:pos="2548"/>
        </w:tabs>
        <w:spacing w:line="360" w:lineRule="auto"/>
        <w:ind w:firstLine="482"/>
        <w:rPr>
          <w:rFonts w:ascii="Times New Roman" w:hAnsi="Times New Roman" w:eastAsia="宋体"/>
          <w:sz w:val="24"/>
          <w:szCs w:val="24"/>
        </w:rPr>
      </w:pPr>
      <w:r>
        <w:rPr>
          <w:rFonts w:ascii="Times New Roman" w:hAnsi="Times New Roman" w:eastAsia="宋体"/>
          <w:sz w:val="24"/>
          <w:szCs w:val="24"/>
        </w:rPr>
        <w:t>确定</w:t>
      </w:r>
      <w:r>
        <w:rPr>
          <w:rFonts w:hint="eastAsia" w:ascii="Times New Roman" w:hAnsi="Times New Roman" w:eastAsia="宋体"/>
          <w:sz w:val="24"/>
          <w:szCs w:val="24"/>
        </w:rPr>
        <w:t>清洁生产审核目标的依据有：</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（1）国家现行清洁生产标准及评价指标体系指标；</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（2）国家或湖南省节能减排分解指标；</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（3）行业先进水平、企业历史最好水平；</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（4）根据企业当前资金与技术实力能够达到等。</w:t>
      </w:r>
    </w:p>
    <w:p>
      <w:pPr>
        <w:spacing w:before="120"/>
        <w:ind w:firstLine="480"/>
        <w:rPr>
          <w:rFonts w:ascii="Times New Roman" w:hAnsi="Times New Roman" w:eastAsia="宋体"/>
          <w:sz w:val="24"/>
          <w:szCs w:val="24"/>
        </w:rPr>
      </w:pPr>
      <w:r>
        <w:rPr>
          <w:rFonts w:hint="eastAsia" w:ascii="Times New Roman" w:hAnsi="Times New Roman" w:eastAsia="宋体"/>
          <w:sz w:val="24"/>
          <w:szCs w:val="24"/>
        </w:rPr>
        <w:t>（5）环境保护法律、法规、标准；</w:t>
      </w:r>
    </w:p>
    <w:p>
      <w:pPr>
        <w:spacing w:before="120"/>
        <w:ind w:firstLine="480"/>
        <w:rPr>
          <w:rFonts w:ascii="Times New Roman" w:hAnsi="Times New Roman" w:eastAsia="宋体"/>
          <w:sz w:val="24"/>
          <w:szCs w:val="24"/>
        </w:rPr>
      </w:pPr>
      <w:r>
        <w:rPr>
          <w:rFonts w:hint="eastAsia" w:ascii="Times New Roman" w:hAnsi="Times New Roman" w:eastAsia="宋体"/>
          <w:sz w:val="24"/>
          <w:szCs w:val="24"/>
        </w:rPr>
        <w:t>（6）审核重点生产工艺技术水平和设备能力；</w:t>
      </w:r>
    </w:p>
    <w:p>
      <w:pPr>
        <w:spacing w:before="120"/>
        <w:ind w:firstLine="480"/>
        <w:rPr>
          <w:rFonts w:ascii="Times New Roman" w:hAnsi="Times New Roman" w:eastAsia="宋体"/>
          <w:sz w:val="24"/>
          <w:szCs w:val="24"/>
        </w:rPr>
      </w:pPr>
      <w:r>
        <w:rPr>
          <w:rFonts w:ascii="Times New Roman" w:hAnsi="Times New Roman" w:eastAsia="宋体"/>
          <w:sz w:val="24"/>
          <w:szCs w:val="24"/>
        </w:rPr>
        <w:t>确定</w:t>
      </w:r>
      <w:r>
        <w:rPr>
          <w:rFonts w:hint="eastAsia" w:ascii="Times New Roman" w:hAnsi="Times New Roman" w:eastAsia="宋体"/>
          <w:sz w:val="24"/>
          <w:szCs w:val="24"/>
        </w:rPr>
        <w:t>清洁生产审核目标的原则有：</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（1）容易被人理解、易于接受；</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（2）可以度量、具有灵活性，可以根据需要和实际情况作适当调整；</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（3）有激励作用，有明显的效益；</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（4）符合组织经营总目标；</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（5）能减轻对环境的危害程度；</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（6）能减少物耗、能耗、水耗和降低生产成本；</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（7）能减少废物处理费用；</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（8）有具回收价值的副产品，有经济效益；</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（9）防治污染措施的资金能得到落实，最好能争取到优惠条件；</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（10）产品在今后的国内外市场具有竞争力；</w:t>
      </w:r>
    </w:p>
    <w:p>
      <w:pPr>
        <w:tabs>
          <w:tab w:val="left" w:pos="2548"/>
        </w:tabs>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（11）分阶段，一般分为近期、中期和远期。</w:t>
      </w:r>
    </w:p>
    <w:p>
      <w:pPr>
        <w:pStyle w:val="4"/>
        <w:widowControl w:val="0"/>
        <w:spacing w:beforeLines="50" w:after="0" w:line="360" w:lineRule="auto"/>
        <w:rPr>
          <w:rFonts w:ascii="Times New Roman" w:hAnsi="Times New Roman" w:eastAsia="宋体" w:cs="Courier New"/>
          <w:sz w:val="28"/>
          <w:szCs w:val="30"/>
        </w:rPr>
      </w:pPr>
      <w:bookmarkStart w:id="142" w:name="_Toc499903476"/>
      <w:bookmarkStart w:id="143" w:name="_Toc5139"/>
      <w:bookmarkStart w:id="144" w:name="_Toc525142385"/>
      <w:r>
        <w:rPr>
          <w:rFonts w:hint="eastAsia" w:ascii="Times New Roman" w:hAnsi="Times New Roman" w:eastAsia="宋体" w:cs="Courier New"/>
          <w:sz w:val="28"/>
          <w:szCs w:val="30"/>
        </w:rPr>
        <w:t>3.6</w:t>
      </w:r>
      <w:r>
        <w:rPr>
          <w:rFonts w:ascii="Times New Roman" w:hAnsi="Times New Roman" w:eastAsia="宋体" w:cs="Courier New"/>
          <w:sz w:val="28"/>
          <w:szCs w:val="30"/>
        </w:rPr>
        <w:t>.2清洁生产目标</w:t>
      </w:r>
      <w:bookmarkEnd w:id="142"/>
      <w:bookmarkEnd w:id="143"/>
      <w:bookmarkEnd w:id="144"/>
    </w:p>
    <w:p>
      <w:pPr>
        <w:spacing w:line="360" w:lineRule="auto"/>
        <w:ind w:firstLine="482"/>
        <w:rPr>
          <w:rFonts w:ascii="Times New Roman" w:hAnsi="Times New Roman" w:eastAsia="宋体"/>
          <w:sz w:val="24"/>
          <w:szCs w:val="24"/>
        </w:rPr>
      </w:pPr>
      <w:r>
        <w:rPr>
          <w:rFonts w:ascii="Times New Roman" w:hAnsi="Times New Roman" w:eastAsia="宋体"/>
          <w:sz w:val="24"/>
          <w:szCs w:val="24"/>
        </w:rPr>
        <w:t>根据调研和分析，结合企业的实际情况，制定了本轮审核重点的清洁生产目标</w:t>
      </w:r>
      <w:r>
        <w:rPr>
          <w:rFonts w:hint="eastAsia" w:ascii="Times New Roman" w:hAnsi="Times New Roman" w:eastAsia="宋体"/>
          <w:sz w:val="24"/>
          <w:szCs w:val="24"/>
        </w:rPr>
        <w:t>；同时改善车间环境，提升企业形象。</w:t>
      </w:r>
      <w:r>
        <w:rPr>
          <w:rFonts w:ascii="Times New Roman" w:hAnsi="Times New Roman" w:eastAsia="宋体"/>
          <w:sz w:val="24"/>
          <w:szCs w:val="24"/>
        </w:rPr>
        <w:t>清洁生产审核目标见表</w:t>
      </w:r>
      <w:r>
        <w:rPr>
          <w:rFonts w:hint="eastAsia" w:ascii="Times New Roman" w:hAnsi="Times New Roman" w:eastAsia="宋体"/>
          <w:sz w:val="24"/>
          <w:szCs w:val="24"/>
        </w:rPr>
        <w:t>3-</w:t>
      </w:r>
      <w:r>
        <w:rPr>
          <w:rFonts w:hint="eastAsia" w:ascii="Times New Roman" w:hAnsi="Times New Roman" w:eastAsia="宋体"/>
          <w:sz w:val="24"/>
          <w:szCs w:val="24"/>
          <w:lang w:val="en-US" w:eastAsia="zh-CN"/>
        </w:rPr>
        <w:t>26</w:t>
      </w:r>
      <w:r>
        <w:rPr>
          <w:rFonts w:hint="eastAsia" w:ascii="Times New Roman" w:hAnsi="Times New Roman" w:eastAsia="宋体"/>
          <w:sz w:val="24"/>
          <w:szCs w:val="24"/>
        </w:rPr>
        <w:t>。</w:t>
      </w:r>
    </w:p>
    <w:p>
      <w:pPr>
        <w:spacing w:before="120"/>
        <w:ind w:firstLine="200" w:firstLineChars="83"/>
        <w:jc w:val="center"/>
        <w:rPr>
          <w:rFonts w:ascii="Times New Roman" w:hAnsi="楷体" w:eastAsia="楷体"/>
          <w:b/>
          <w:sz w:val="24"/>
          <w:szCs w:val="24"/>
        </w:rPr>
      </w:pPr>
      <w:r>
        <w:rPr>
          <w:rFonts w:ascii="Times New Roman" w:hAnsi="楷体" w:eastAsia="楷体"/>
          <w:b/>
          <w:sz w:val="24"/>
          <w:szCs w:val="24"/>
        </w:rPr>
        <w:t>表</w:t>
      </w:r>
      <w:r>
        <w:rPr>
          <w:rFonts w:ascii="Times New Roman" w:hAnsi="Times New Roman" w:eastAsia="楷体"/>
          <w:b/>
          <w:sz w:val="24"/>
          <w:szCs w:val="24"/>
        </w:rPr>
        <w:t>3-</w:t>
      </w:r>
      <w:r>
        <w:rPr>
          <w:rFonts w:hint="eastAsia" w:ascii="Times New Roman" w:hAnsi="Times New Roman" w:eastAsia="楷体"/>
          <w:b/>
          <w:sz w:val="24"/>
          <w:szCs w:val="24"/>
          <w:lang w:val="en-US" w:eastAsia="zh-CN"/>
        </w:rPr>
        <w:t>26</w:t>
      </w:r>
      <w:r>
        <w:rPr>
          <w:rFonts w:ascii="Times New Roman" w:hAnsi="Times New Roman" w:eastAsia="楷体"/>
          <w:b/>
          <w:sz w:val="24"/>
          <w:szCs w:val="24"/>
        </w:rPr>
        <w:t xml:space="preserve">  </w:t>
      </w:r>
      <w:r>
        <w:rPr>
          <w:rFonts w:ascii="Times New Roman" w:hAnsi="楷体" w:eastAsia="楷体"/>
          <w:b/>
          <w:sz w:val="24"/>
          <w:szCs w:val="24"/>
        </w:rPr>
        <w:t>清洁生产目标一览表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2127"/>
        <w:gridCol w:w="1134"/>
        <w:gridCol w:w="1146"/>
        <w:gridCol w:w="1147"/>
        <w:gridCol w:w="1146"/>
        <w:gridCol w:w="11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2" w:hRule="exact"/>
          <w:jc w:val="center"/>
        </w:trPr>
        <w:tc>
          <w:tcPr>
            <w:tcW w:w="675" w:type="dxa"/>
            <w:vMerge w:val="restart"/>
            <w:noWrap w:val="0"/>
            <w:vAlign w:val="center"/>
          </w:tcPr>
          <w:p>
            <w:pPr>
              <w:pStyle w:val="44"/>
              <w:snapToGrid w:val="0"/>
              <w:rPr>
                <w:szCs w:val="21"/>
              </w:rPr>
            </w:pPr>
            <w:bookmarkStart w:id="145" w:name="_Toc525138399"/>
            <w:bookmarkStart w:id="146" w:name="_Toc499903477"/>
            <w:bookmarkStart w:id="147" w:name="_Toc525138255"/>
            <w:r>
              <w:rPr>
                <w:szCs w:val="21"/>
              </w:rPr>
              <w:t>序号</w:t>
            </w:r>
          </w:p>
        </w:tc>
        <w:tc>
          <w:tcPr>
            <w:tcW w:w="2127" w:type="dxa"/>
            <w:vMerge w:val="restart"/>
            <w:noWrap w:val="0"/>
            <w:vAlign w:val="center"/>
          </w:tcPr>
          <w:p>
            <w:pPr>
              <w:pStyle w:val="44"/>
              <w:snapToGrid w:val="0"/>
              <w:rPr>
                <w:szCs w:val="21"/>
              </w:rPr>
            </w:pPr>
            <w:r>
              <w:rPr>
                <w:szCs w:val="21"/>
              </w:rPr>
              <w:t>项    目</w:t>
            </w:r>
          </w:p>
        </w:tc>
        <w:tc>
          <w:tcPr>
            <w:tcW w:w="1134" w:type="dxa"/>
            <w:vMerge w:val="restart"/>
            <w:noWrap w:val="0"/>
            <w:vAlign w:val="center"/>
          </w:tcPr>
          <w:p>
            <w:pPr>
              <w:pStyle w:val="44"/>
              <w:snapToGrid w:val="0"/>
              <w:rPr>
                <w:szCs w:val="21"/>
              </w:rPr>
            </w:pPr>
            <w:r>
              <w:rPr>
                <w:szCs w:val="21"/>
              </w:rPr>
              <w:t>现状</w:t>
            </w:r>
          </w:p>
        </w:tc>
        <w:tc>
          <w:tcPr>
            <w:tcW w:w="2293" w:type="dxa"/>
            <w:gridSpan w:val="2"/>
            <w:noWrap w:val="0"/>
            <w:vAlign w:val="center"/>
          </w:tcPr>
          <w:p>
            <w:pPr>
              <w:pStyle w:val="44"/>
              <w:snapToGrid w:val="0"/>
              <w:rPr>
                <w:szCs w:val="21"/>
              </w:rPr>
            </w:pPr>
            <w:r>
              <w:rPr>
                <w:szCs w:val="21"/>
              </w:rPr>
              <w:t>近期目标</w:t>
            </w:r>
          </w:p>
          <w:p>
            <w:pPr>
              <w:pStyle w:val="44"/>
              <w:snapToGrid w:val="0"/>
              <w:rPr>
                <w:szCs w:val="21"/>
              </w:rPr>
            </w:pPr>
            <w:r>
              <w:rPr>
                <w:szCs w:val="21"/>
              </w:rPr>
              <w:t>（20</w:t>
            </w:r>
            <w:r>
              <w:rPr>
                <w:rFonts w:hint="eastAsia"/>
                <w:szCs w:val="21"/>
                <w:lang w:val="en-US" w:eastAsia="zh-CN"/>
              </w:rPr>
              <w:t>24</w:t>
            </w:r>
            <w:r>
              <w:rPr>
                <w:szCs w:val="21"/>
              </w:rPr>
              <w:t>年）</w:t>
            </w:r>
          </w:p>
        </w:tc>
        <w:tc>
          <w:tcPr>
            <w:tcW w:w="2293" w:type="dxa"/>
            <w:gridSpan w:val="2"/>
            <w:noWrap w:val="0"/>
            <w:vAlign w:val="center"/>
          </w:tcPr>
          <w:p>
            <w:pPr>
              <w:pStyle w:val="44"/>
              <w:snapToGrid w:val="0"/>
              <w:rPr>
                <w:szCs w:val="21"/>
              </w:rPr>
            </w:pPr>
            <w:r>
              <w:rPr>
                <w:szCs w:val="21"/>
              </w:rPr>
              <w:t>远期目标</w:t>
            </w:r>
          </w:p>
          <w:p>
            <w:pPr>
              <w:pStyle w:val="44"/>
              <w:snapToGrid w:val="0"/>
              <w:rPr>
                <w:szCs w:val="21"/>
              </w:rPr>
            </w:pPr>
            <w:r>
              <w:rPr>
                <w:szCs w:val="21"/>
              </w:rPr>
              <w:t>(20</w:t>
            </w:r>
            <w:r>
              <w:rPr>
                <w:rFonts w:hint="eastAsia"/>
                <w:szCs w:val="21"/>
                <w:lang w:val="en-US" w:eastAsia="zh-CN"/>
              </w:rPr>
              <w:t>25</w:t>
            </w:r>
            <w:r>
              <w:rPr>
                <w:szCs w:val="21"/>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3" w:hRule="exact"/>
          <w:jc w:val="center"/>
        </w:trPr>
        <w:tc>
          <w:tcPr>
            <w:tcW w:w="675" w:type="dxa"/>
            <w:vMerge w:val="continue"/>
            <w:noWrap w:val="0"/>
            <w:vAlign w:val="center"/>
          </w:tcPr>
          <w:p>
            <w:pPr>
              <w:widowControl/>
              <w:adjustRightInd w:val="0"/>
              <w:snapToGrid w:val="0"/>
              <w:ind w:firstLine="420"/>
              <w:jc w:val="center"/>
              <w:rPr>
                <w:kern w:val="18"/>
                <w:sz w:val="21"/>
                <w:szCs w:val="21"/>
              </w:rPr>
            </w:pPr>
          </w:p>
        </w:tc>
        <w:tc>
          <w:tcPr>
            <w:tcW w:w="2127" w:type="dxa"/>
            <w:vMerge w:val="continue"/>
            <w:noWrap w:val="0"/>
            <w:vAlign w:val="center"/>
          </w:tcPr>
          <w:p>
            <w:pPr>
              <w:widowControl/>
              <w:adjustRightInd w:val="0"/>
              <w:snapToGrid w:val="0"/>
              <w:ind w:firstLine="420"/>
              <w:jc w:val="center"/>
              <w:rPr>
                <w:kern w:val="18"/>
                <w:sz w:val="21"/>
                <w:szCs w:val="21"/>
              </w:rPr>
            </w:pPr>
          </w:p>
        </w:tc>
        <w:tc>
          <w:tcPr>
            <w:tcW w:w="1134" w:type="dxa"/>
            <w:vMerge w:val="continue"/>
            <w:noWrap w:val="0"/>
            <w:vAlign w:val="center"/>
          </w:tcPr>
          <w:p>
            <w:pPr>
              <w:widowControl/>
              <w:adjustRightInd w:val="0"/>
              <w:snapToGrid w:val="0"/>
              <w:ind w:firstLine="420"/>
              <w:jc w:val="center"/>
              <w:rPr>
                <w:kern w:val="18"/>
                <w:sz w:val="21"/>
                <w:szCs w:val="21"/>
              </w:rPr>
            </w:pPr>
          </w:p>
        </w:tc>
        <w:tc>
          <w:tcPr>
            <w:tcW w:w="1146" w:type="dxa"/>
            <w:noWrap w:val="0"/>
            <w:vAlign w:val="center"/>
          </w:tcPr>
          <w:p>
            <w:pPr>
              <w:pStyle w:val="44"/>
              <w:snapToGrid w:val="0"/>
              <w:rPr>
                <w:szCs w:val="21"/>
              </w:rPr>
            </w:pPr>
            <w:r>
              <w:rPr>
                <w:szCs w:val="21"/>
              </w:rPr>
              <w:t>目标值</w:t>
            </w:r>
          </w:p>
        </w:tc>
        <w:tc>
          <w:tcPr>
            <w:tcW w:w="1147" w:type="dxa"/>
            <w:noWrap w:val="0"/>
            <w:vAlign w:val="center"/>
          </w:tcPr>
          <w:p>
            <w:pPr>
              <w:pStyle w:val="44"/>
              <w:snapToGrid w:val="0"/>
              <w:rPr>
                <w:szCs w:val="21"/>
              </w:rPr>
            </w:pPr>
            <w:r>
              <w:rPr>
                <w:szCs w:val="21"/>
              </w:rPr>
              <w:t>相对值</w:t>
            </w:r>
          </w:p>
        </w:tc>
        <w:tc>
          <w:tcPr>
            <w:tcW w:w="1146" w:type="dxa"/>
            <w:noWrap w:val="0"/>
            <w:vAlign w:val="center"/>
          </w:tcPr>
          <w:p>
            <w:pPr>
              <w:pStyle w:val="44"/>
              <w:snapToGrid w:val="0"/>
              <w:rPr>
                <w:szCs w:val="21"/>
              </w:rPr>
            </w:pPr>
            <w:r>
              <w:rPr>
                <w:szCs w:val="21"/>
              </w:rPr>
              <w:t>目标值</w:t>
            </w:r>
          </w:p>
        </w:tc>
        <w:tc>
          <w:tcPr>
            <w:tcW w:w="1147" w:type="dxa"/>
            <w:noWrap w:val="0"/>
            <w:vAlign w:val="center"/>
          </w:tcPr>
          <w:p>
            <w:pPr>
              <w:pStyle w:val="44"/>
              <w:snapToGrid w:val="0"/>
              <w:rPr>
                <w:szCs w:val="21"/>
              </w:rPr>
            </w:pPr>
            <w:r>
              <w:rPr>
                <w:szCs w:val="21"/>
              </w:rPr>
              <w:t>相对值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675" w:type="dxa"/>
            <w:noWrap w:val="0"/>
            <w:vAlign w:val="center"/>
          </w:tcPr>
          <w:p>
            <w:pPr>
              <w:pStyle w:val="44"/>
              <w:snapToGrid w:val="0"/>
              <w:rPr>
                <w:szCs w:val="21"/>
              </w:rPr>
            </w:pPr>
            <w:r>
              <w:rPr>
                <w:szCs w:val="21"/>
              </w:rPr>
              <w:t>1</w:t>
            </w:r>
          </w:p>
        </w:tc>
        <w:tc>
          <w:tcPr>
            <w:tcW w:w="2127" w:type="dxa"/>
            <w:noWrap w:val="0"/>
            <w:vAlign w:val="center"/>
          </w:tcPr>
          <w:p>
            <w:pPr>
              <w:pStyle w:val="44"/>
              <w:snapToGrid w:val="0"/>
              <w:jc w:val="center"/>
              <w:rPr>
                <w:rFonts w:hint="eastAsia" w:eastAsiaTheme="minorEastAsia"/>
                <w:szCs w:val="21"/>
                <w:lang w:eastAsia="zh-CN"/>
              </w:rPr>
            </w:pPr>
            <w:r>
              <w:rPr>
                <w:rFonts w:hint="eastAsia" w:ascii="宋体"/>
                <w:szCs w:val="21"/>
              </w:rPr>
              <w:t>降低单位产品电耗</w:t>
            </w:r>
          </w:p>
        </w:tc>
        <w:tc>
          <w:tcPr>
            <w:tcW w:w="1134" w:type="dxa"/>
            <w:noWrap w:val="0"/>
            <w:vAlign w:val="center"/>
          </w:tcPr>
          <w:p>
            <w:pPr>
              <w:spacing w:beforeLines="20" w:afterLines="20"/>
              <w:jc w:val="center"/>
              <w:textAlignment w:val="center"/>
              <w:rPr>
                <w:rFonts w:hint="default" w:eastAsiaTheme="minorEastAsia"/>
                <w:szCs w:val="21"/>
                <w:lang w:val="en-US" w:eastAsia="zh-CN"/>
              </w:rPr>
            </w:pPr>
            <w:r>
              <w:rPr>
                <w:rFonts w:hint="eastAsia" w:ascii="Times New Roman" w:hAnsi="Times New Roman" w:cs="Times New Roman"/>
                <w:sz w:val="21"/>
                <w:szCs w:val="21"/>
                <w:lang w:val="en-US" w:eastAsia="zh-CN"/>
              </w:rPr>
              <w:t>10.69</w:t>
            </w:r>
          </w:p>
        </w:tc>
        <w:tc>
          <w:tcPr>
            <w:tcW w:w="1146"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10.6</w:t>
            </w:r>
          </w:p>
        </w:tc>
        <w:tc>
          <w:tcPr>
            <w:tcW w:w="1147"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0.09</w:t>
            </w:r>
          </w:p>
        </w:tc>
        <w:tc>
          <w:tcPr>
            <w:tcW w:w="1146"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10.5</w:t>
            </w:r>
            <w:r>
              <w:rPr>
                <w:rFonts w:ascii="Times New Roman" w:hAnsi="Times New Roman" w:cs="Times New Roman" w:eastAsiaTheme="minorEastAsia"/>
                <w:sz w:val="21"/>
                <w:szCs w:val="21"/>
              </w:rPr>
              <w:t xml:space="preserve"> </w:t>
            </w:r>
          </w:p>
        </w:tc>
        <w:tc>
          <w:tcPr>
            <w:tcW w:w="1147"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0.19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2" w:hRule="atLeast"/>
          <w:jc w:val="center"/>
        </w:trPr>
        <w:tc>
          <w:tcPr>
            <w:tcW w:w="675" w:type="dxa"/>
            <w:noWrap w:val="0"/>
            <w:vAlign w:val="center"/>
          </w:tcPr>
          <w:p>
            <w:pPr>
              <w:pStyle w:val="44"/>
              <w:snapToGrid w:val="0"/>
              <w:rPr>
                <w:szCs w:val="21"/>
              </w:rPr>
            </w:pPr>
            <w:r>
              <w:rPr>
                <w:rFonts w:hint="eastAsia"/>
                <w:szCs w:val="21"/>
              </w:rPr>
              <w:t>2</w:t>
            </w:r>
          </w:p>
        </w:tc>
        <w:tc>
          <w:tcPr>
            <w:tcW w:w="2127" w:type="dxa"/>
            <w:noWrap w:val="0"/>
            <w:vAlign w:val="center"/>
          </w:tcPr>
          <w:p>
            <w:pPr>
              <w:pStyle w:val="44"/>
              <w:snapToGrid w:val="0"/>
              <w:jc w:val="center"/>
              <w:rPr>
                <w:rFonts w:hint="default" w:eastAsiaTheme="minorEastAsia"/>
                <w:szCs w:val="21"/>
                <w:lang w:val="en-US" w:eastAsia="zh-CN"/>
              </w:rPr>
            </w:pPr>
            <w:r>
              <w:rPr>
                <w:rFonts w:hint="eastAsia" w:ascii="宋体"/>
                <w:szCs w:val="21"/>
              </w:rPr>
              <w:t>固体废弃物再生利用率</w:t>
            </w:r>
          </w:p>
        </w:tc>
        <w:tc>
          <w:tcPr>
            <w:tcW w:w="1134" w:type="dxa"/>
            <w:noWrap w:val="0"/>
            <w:vAlign w:val="center"/>
          </w:tcPr>
          <w:p>
            <w:pPr>
              <w:pStyle w:val="44"/>
              <w:snapToGrid w:val="0"/>
              <w:rPr>
                <w:rFonts w:hint="default" w:eastAsiaTheme="minorEastAsia"/>
                <w:kern w:val="0"/>
                <w:szCs w:val="21"/>
                <w:lang w:val="en-US" w:eastAsia="zh-CN"/>
              </w:rPr>
            </w:pPr>
            <w:r>
              <w:rPr>
                <w:rFonts w:hint="eastAsia"/>
                <w:kern w:val="0"/>
                <w:szCs w:val="21"/>
                <w:lang w:val="en-US" w:eastAsia="zh-CN"/>
              </w:rPr>
              <w:t>0</w:t>
            </w:r>
          </w:p>
        </w:tc>
        <w:tc>
          <w:tcPr>
            <w:tcW w:w="1146" w:type="dxa"/>
            <w:noWrap w:val="0"/>
            <w:vAlign w:val="center"/>
          </w:tcPr>
          <w:p>
            <w:pPr>
              <w:pStyle w:val="44"/>
              <w:snapToGrid w:val="0"/>
              <w:rPr>
                <w:rFonts w:hint="default" w:eastAsiaTheme="minorEastAsia"/>
                <w:szCs w:val="21"/>
                <w:lang w:val="en-US" w:eastAsia="zh-CN"/>
              </w:rPr>
            </w:pPr>
            <w:r>
              <w:rPr>
                <w:rFonts w:hint="eastAsia"/>
                <w:szCs w:val="21"/>
                <w:lang w:val="en-US" w:eastAsia="zh-CN"/>
              </w:rPr>
              <w:t>80%</w:t>
            </w:r>
          </w:p>
        </w:tc>
        <w:tc>
          <w:tcPr>
            <w:tcW w:w="1147" w:type="dxa"/>
            <w:noWrap w:val="0"/>
            <w:vAlign w:val="center"/>
          </w:tcPr>
          <w:p>
            <w:pPr>
              <w:pStyle w:val="44"/>
              <w:snapToGrid w:val="0"/>
              <w:rPr>
                <w:rFonts w:hint="default"/>
                <w:szCs w:val="21"/>
                <w:lang w:val="en-US"/>
              </w:rPr>
            </w:pPr>
            <w:r>
              <w:rPr>
                <w:rFonts w:hint="eastAsia"/>
                <w:szCs w:val="21"/>
                <w:lang w:val="en-US" w:eastAsia="zh-CN"/>
              </w:rPr>
              <w:t>--</w:t>
            </w:r>
          </w:p>
        </w:tc>
        <w:tc>
          <w:tcPr>
            <w:tcW w:w="1146" w:type="dxa"/>
            <w:noWrap w:val="0"/>
            <w:vAlign w:val="center"/>
          </w:tcPr>
          <w:p>
            <w:pPr>
              <w:pStyle w:val="44"/>
              <w:snapToGrid w:val="0"/>
              <w:rPr>
                <w:rFonts w:hint="default" w:eastAsiaTheme="minorEastAsia"/>
                <w:szCs w:val="21"/>
                <w:lang w:val="en-US" w:eastAsia="zh-CN"/>
              </w:rPr>
            </w:pPr>
            <w:r>
              <w:rPr>
                <w:rFonts w:hint="eastAsia"/>
                <w:szCs w:val="21"/>
                <w:lang w:val="en-US" w:eastAsia="zh-CN"/>
              </w:rPr>
              <w:t>90%</w:t>
            </w:r>
          </w:p>
        </w:tc>
        <w:tc>
          <w:tcPr>
            <w:tcW w:w="1147" w:type="dxa"/>
            <w:noWrap w:val="0"/>
            <w:vAlign w:val="center"/>
          </w:tcPr>
          <w:p>
            <w:pPr>
              <w:pStyle w:val="44"/>
              <w:snapToGrid w:val="0"/>
              <w:rPr>
                <w:rFonts w:hint="default" w:eastAsiaTheme="minorEastAsia"/>
                <w:szCs w:val="21"/>
                <w:lang w:val="en-US" w:eastAsia="zh-CN"/>
              </w:rPr>
            </w:pPr>
            <w:r>
              <w:rPr>
                <w:rFonts w:hint="eastAsia"/>
                <w:szCs w:val="21"/>
                <w:lang w:val="en-US" w:eastAsia="zh-CN"/>
              </w:rPr>
              <w:t>--</w:t>
            </w:r>
          </w:p>
        </w:tc>
      </w:tr>
    </w:tbl>
    <w:p>
      <w:pPr>
        <w:pStyle w:val="3"/>
        <w:widowControl w:val="0"/>
        <w:adjustRightInd/>
        <w:snapToGrid/>
        <w:spacing w:beforeLines="50" w:after="0" w:line="360" w:lineRule="auto"/>
        <w:rPr>
          <w:rFonts w:ascii="Times New Roman" w:hAnsi="Times New Roman"/>
          <w:color w:val="000000" w:themeColor="text1"/>
          <w:sz w:val="30"/>
          <w:szCs w:val="30"/>
        </w:rPr>
      </w:pPr>
      <w:r>
        <w:rPr>
          <w:rFonts w:hint="eastAsia" w:ascii="Times New Roman" w:hAnsi="Times New Roman"/>
          <w:color w:val="000000" w:themeColor="text1"/>
          <w:sz w:val="30"/>
          <w:szCs w:val="30"/>
        </w:rPr>
        <w:t xml:space="preserve"> </w:t>
      </w:r>
      <w:bookmarkStart w:id="148" w:name="_Toc6665"/>
      <w:r>
        <w:rPr>
          <w:rFonts w:hint="eastAsia" w:ascii="Times New Roman" w:hAnsi="Times New Roman"/>
          <w:color w:val="000000" w:themeColor="text1"/>
          <w:sz w:val="30"/>
          <w:szCs w:val="30"/>
        </w:rPr>
        <w:t>3.7提出和实施清洁生产方案（1）</w:t>
      </w:r>
      <w:bookmarkEnd w:id="145"/>
      <w:bookmarkEnd w:id="146"/>
      <w:bookmarkEnd w:id="147"/>
      <w:bookmarkEnd w:id="148"/>
    </w:p>
    <w:p>
      <w:pPr>
        <w:spacing w:line="360" w:lineRule="auto"/>
        <w:ind w:firstLine="480" w:firstLineChars="200"/>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在公司领导的重视和支持下，清洁生产工作小组有步骤地开展清洁生产的各项活动，使本次审核目标与企业的管理目标有机地统一在一起，使全体员工对清洁生产的意义和作用有了更明确的认识和了解，全体员工自始自终都能积极参与清洁生产过程，积极准备各种资料，提出问题和建议。</w:t>
      </w:r>
    </w:p>
    <w:p>
      <w:pPr>
        <w:spacing w:line="360" w:lineRule="auto"/>
        <w:ind w:firstLine="480" w:firstLineChars="200"/>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清洁生产审核工作小组设计了合理化建议表格，收回合理化建议10多项，从技术工艺改造、管理、节能节水等方面都有很好的建议和思路。</w:t>
      </w:r>
    </w:p>
    <w:p>
      <w:pPr>
        <w:spacing w:line="360" w:lineRule="auto"/>
        <w:ind w:firstLine="482"/>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经过预审核和全体员工的参与，审核小组初步汇总了</w:t>
      </w:r>
      <w:r>
        <w:rPr>
          <w:rFonts w:hint="eastAsia" w:ascii="Times New Roman" w:hAnsi="Times New Roman" w:eastAsia="宋体"/>
          <w:color w:val="000000" w:themeColor="text1"/>
          <w:sz w:val="24"/>
          <w:szCs w:val="24"/>
          <w:lang w:val="en-US" w:eastAsia="zh-CN"/>
        </w:rPr>
        <w:t>6</w:t>
      </w:r>
      <w:r>
        <w:rPr>
          <w:rFonts w:hint="eastAsia" w:ascii="Times New Roman" w:hAnsi="Times New Roman" w:eastAsia="宋体"/>
          <w:color w:val="000000" w:themeColor="text1"/>
          <w:sz w:val="24"/>
          <w:szCs w:val="24"/>
        </w:rPr>
        <w:t>个清洁生产方案，见表3-</w:t>
      </w:r>
      <w:r>
        <w:rPr>
          <w:rFonts w:hint="eastAsia" w:ascii="Times New Roman" w:hAnsi="Times New Roman" w:eastAsia="宋体"/>
          <w:color w:val="000000" w:themeColor="text1"/>
          <w:sz w:val="24"/>
          <w:szCs w:val="24"/>
          <w:lang w:val="en-US" w:eastAsia="zh-CN"/>
        </w:rPr>
        <w:t>27</w:t>
      </w:r>
      <w:r>
        <w:rPr>
          <w:rFonts w:hint="eastAsia" w:ascii="Times New Roman" w:hAnsi="Times New Roman" w:eastAsia="宋体"/>
          <w:color w:val="000000" w:themeColor="text1"/>
          <w:sz w:val="24"/>
          <w:szCs w:val="24"/>
        </w:rPr>
        <w:t>。</w:t>
      </w:r>
    </w:p>
    <w:p>
      <w:pPr>
        <w:spacing w:before="120"/>
        <w:ind w:firstLine="200" w:firstLineChars="83"/>
        <w:jc w:val="center"/>
        <w:rPr>
          <w:rFonts w:hint="eastAsia" w:ascii="Times New Roman" w:hAnsi="Times New Roman" w:eastAsia="宋体"/>
          <w:b/>
          <w:sz w:val="24"/>
          <w:szCs w:val="24"/>
        </w:rPr>
        <w:sectPr>
          <w:pgSz w:w="11906" w:h="16838"/>
          <w:pgMar w:top="1440" w:right="1800" w:bottom="1440" w:left="1800" w:header="851" w:footer="992" w:gutter="0"/>
          <w:cols w:space="425" w:num="1"/>
          <w:docGrid w:type="lines" w:linePitch="312" w:charSpace="0"/>
        </w:sectPr>
      </w:pPr>
    </w:p>
    <w:p>
      <w:pPr>
        <w:spacing w:before="120"/>
        <w:ind w:firstLine="200" w:firstLineChars="83"/>
        <w:jc w:val="center"/>
        <w:rPr>
          <w:rFonts w:ascii="Times New Roman" w:hAnsi="Times New Roman" w:eastAsia="宋体"/>
          <w:b/>
          <w:sz w:val="24"/>
          <w:szCs w:val="24"/>
        </w:rPr>
      </w:pPr>
      <w:r>
        <w:rPr>
          <w:rFonts w:hint="eastAsia" w:ascii="Times New Roman" w:hAnsi="Times New Roman" w:eastAsia="宋体"/>
          <w:b/>
          <w:sz w:val="24"/>
          <w:szCs w:val="24"/>
        </w:rPr>
        <w:t>表3-</w:t>
      </w:r>
      <w:r>
        <w:rPr>
          <w:rFonts w:hint="eastAsia" w:ascii="Times New Roman" w:hAnsi="Times New Roman" w:eastAsia="宋体"/>
          <w:b/>
          <w:sz w:val="24"/>
          <w:szCs w:val="24"/>
          <w:lang w:val="en-US" w:eastAsia="zh-CN"/>
        </w:rPr>
        <w:t>27</w:t>
      </w:r>
      <w:r>
        <w:rPr>
          <w:rFonts w:hint="eastAsia" w:ascii="Times New Roman" w:hAnsi="Times New Roman" w:eastAsia="宋体"/>
          <w:b/>
          <w:sz w:val="24"/>
          <w:szCs w:val="24"/>
        </w:rPr>
        <w:t xml:space="preserve">  预审核提出的清洁生产方案</w:t>
      </w:r>
    </w:p>
    <w:tbl>
      <w:tblPr>
        <w:tblStyle w:val="27"/>
        <w:tblW w:w="85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82"/>
        <w:gridCol w:w="2552"/>
        <w:gridCol w:w="1559"/>
        <w:gridCol w:w="2835"/>
        <w:gridCol w:w="10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序号</w:t>
            </w:r>
          </w:p>
        </w:tc>
        <w:tc>
          <w:tcPr>
            <w:tcW w:w="2552"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存在隐患或问题</w:t>
            </w:r>
          </w:p>
        </w:tc>
        <w:tc>
          <w:tcPr>
            <w:tcW w:w="1559"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方案名称</w:t>
            </w:r>
          </w:p>
        </w:tc>
        <w:tc>
          <w:tcPr>
            <w:tcW w:w="2835"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方案简介</w:t>
            </w:r>
          </w:p>
        </w:tc>
        <w:tc>
          <w:tcPr>
            <w:tcW w:w="1006"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预期投入（万元）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rPr>
            </w:pPr>
            <w:r>
              <w:rPr>
                <w:rFonts w:cs="Times New Roman" w:eastAsiaTheme="minorEastAsia"/>
                <w:sz w:val="21"/>
                <w:szCs w:val="21"/>
              </w:rPr>
              <w:t>F1-1</w:t>
            </w:r>
          </w:p>
        </w:tc>
        <w:tc>
          <w:tcPr>
            <w:tcW w:w="2552" w:type="dxa"/>
            <w:vAlign w:val="center"/>
          </w:tcPr>
          <w:p>
            <w:pPr>
              <w:spacing w:beforeLines="20" w:afterLines="20"/>
              <w:jc w:val="center"/>
              <w:rPr>
                <w:rFonts w:ascii="Times New Roman" w:hAnsi="Times New Roman" w:cs="Times New Roman" w:eastAsiaTheme="minorEastAsia"/>
                <w:sz w:val="21"/>
                <w:szCs w:val="21"/>
              </w:rPr>
            </w:pPr>
            <w:r>
              <w:rPr>
                <w:rFonts w:ascii="Times New Roman" w:cs="Times New Roman" w:hAnsiTheme="minorEastAsia" w:eastAsiaTheme="minorEastAsia"/>
                <w:sz w:val="21"/>
                <w:szCs w:val="21"/>
              </w:rPr>
              <w:t>车间员工劳保用品配备不齐</w:t>
            </w:r>
          </w:p>
        </w:tc>
        <w:tc>
          <w:tcPr>
            <w:tcW w:w="1559" w:type="dxa"/>
            <w:vAlign w:val="center"/>
          </w:tcPr>
          <w:p>
            <w:pPr>
              <w:spacing w:beforeLines="20" w:afterLines="20"/>
              <w:jc w:val="center"/>
              <w:rPr>
                <w:rFonts w:ascii="Times New Roman" w:hAnsi="Times New Roman" w:cs="Times New Roman" w:eastAsiaTheme="minorEastAsia"/>
                <w:sz w:val="21"/>
                <w:szCs w:val="21"/>
              </w:rPr>
            </w:pPr>
            <w:r>
              <w:rPr>
                <w:rFonts w:ascii="Times New Roman" w:cs="Times New Roman" w:hAnsiTheme="minorEastAsia" w:eastAsiaTheme="minorEastAsia"/>
                <w:sz w:val="21"/>
                <w:szCs w:val="21"/>
              </w:rPr>
              <w:t>劳保用品配备</w:t>
            </w:r>
          </w:p>
        </w:tc>
        <w:tc>
          <w:tcPr>
            <w:tcW w:w="2835" w:type="dxa"/>
            <w:vAlign w:val="center"/>
          </w:tcPr>
          <w:p>
            <w:pPr>
              <w:spacing w:beforeLines="20" w:afterLines="20"/>
              <w:jc w:val="center"/>
              <w:rPr>
                <w:rFonts w:ascii="Times New Roman" w:hAnsi="Times New Roman" w:cs="Times New Roman" w:eastAsiaTheme="minorEastAsia"/>
                <w:sz w:val="21"/>
                <w:szCs w:val="21"/>
              </w:rPr>
            </w:pPr>
            <w:r>
              <w:rPr>
                <w:rFonts w:ascii="Times New Roman" w:cs="Times New Roman" w:hAnsiTheme="minorEastAsia" w:eastAsiaTheme="minorEastAsia"/>
                <w:sz w:val="21"/>
                <w:szCs w:val="21"/>
              </w:rPr>
              <w:t>为员工配备耳塞、口罩等劳保用品，同时高温天气为员工发放降暑饮料</w:t>
            </w:r>
          </w:p>
        </w:tc>
        <w:tc>
          <w:tcPr>
            <w:tcW w:w="1006" w:type="dxa"/>
            <w:vAlign w:val="center"/>
          </w:tcPr>
          <w:p>
            <w:pPr>
              <w:spacing w:beforeLines="20" w:afterLines="2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rPr>
            </w:pPr>
            <w:r>
              <w:rPr>
                <w:rFonts w:cs="Times New Roman" w:eastAsiaTheme="minorEastAsia"/>
                <w:sz w:val="21"/>
                <w:szCs w:val="21"/>
              </w:rPr>
              <w:t>F1-2</w:t>
            </w:r>
          </w:p>
        </w:tc>
        <w:tc>
          <w:tcPr>
            <w:tcW w:w="2552" w:type="dxa"/>
            <w:vAlign w:val="center"/>
          </w:tcPr>
          <w:p>
            <w:pPr>
              <w:pStyle w:val="44"/>
              <w:snapToGrid w:val="0"/>
              <w:spacing w:beforeLines="50" w:after="20" w:line="240" w:lineRule="auto"/>
              <w:rPr>
                <w:rFonts w:cs="Times New Roman" w:eastAsiaTheme="minorEastAsia"/>
                <w:snapToGrid w:val="0"/>
                <w:kern w:val="24"/>
                <w:sz w:val="21"/>
                <w:szCs w:val="21"/>
              </w:rPr>
            </w:pPr>
            <w:r>
              <w:rPr>
                <w:rFonts w:cs="Times New Roman" w:hAnsiTheme="minorEastAsia" w:eastAsiaTheme="minorEastAsia"/>
                <w:snapToGrid w:val="0"/>
                <w:kern w:val="24"/>
                <w:sz w:val="21"/>
                <w:szCs w:val="21"/>
              </w:rPr>
              <w:t>仓库及公用工具管理不严，随拿乱放，致使有时候为找工具浪费时间</w:t>
            </w:r>
          </w:p>
        </w:tc>
        <w:tc>
          <w:tcPr>
            <w:tcW w:w="1559" w:type="dxa"/>
            <w:vAlign w:val="center"/>
          </w:tcPr>
          <w:p>
            <w:pPr>
              <w:pStyle w:val="44"/>
              <w:snapToGrid w:val="0"/>
              <w:spacing w:beforeLines="50" w:after="20" w:line="240" w:lineRule="auto"/>
              <w:rPr>
                <w:rFonts w:cs="Times New Roman" w:eastAsiaTheme="minorEastAsia"/>
                <w:snapToGrid w:val="0"/>
                <w:kern w:val="24"/>
                <w:sz w:val="21"/>
                <w:szCs w:val="21"/>
              </w:rPr>
            </w:pPr>
            <w:r>
              <w:rPr>
                <w:rFonts w:cs="Times New Roman" w:hAnsiTheme="minorEastAsia" w:eastAsiaTheme="minorEastAsia"/>
                <w:snapToGrid w:val="0"/>
                <w:kern w:val="24"/>
                <w:sz w:val="21"/>
                <w:szCs w:val="21"/>
              </w:rPr>
              <w:t>规范仓库管理</w:t>
            </w:r>
          </w:p>
        </w:tc>
        <w:tc>
          <w:tcPr>
            <w:tcW w:w="2835" w:type="dxa"/>
            <w:vAlign w:val="center"/>
          </w:tcPr>
          <w:p>
            <w:pPr>
              <w:pStyle w:val="44"/>
              <w:snapToGrid w:val="0"/>
              <w:spacing w:beforeLines="50" w:after="20" w:line="240" w:lineRule="auto"/>
              <w:rPr>
                <w:rFonts w:cs="Times New Roman" w:eastAsiaTheme="minorEastAsia"/>
                <w:snapToGrid w:val="0"/>
                <w:kern w:val="24"/>
                <w:sz w:val="21"/>
                <w:szCs w:val="21"/>
              </w:rPr>
            </w:pPr>
            <w:r>
              <w:rPr>
                <w:rFonts w:cs="Times New Roman" w:hAnsiTheme="minorEastAsia" w:eastAsiaTheme="minorEastAsia"/>
                <w:snapToGrid w:val="0"/>
                <w:kern w:val="24"/>
                <w:sz w:val="21"/>
                <w:szCs w:val="21"/>
              </w:rPr>
              <w:t>建立仓库货物台账，将公用工具纳入车间材料库管理，并做好借用登记工作</w:t>
            </w:r>
          </w:p>
        </w:tc>
        <w:tc>
          <w:tcPr>
            <w:tcW w:w="1006" w:type="dxa"/>
            <w:vAlign w:val="center"/>
          </w:tcPr>
          <w:p>
            <w:pPr>
              <w:pStyle w:val="44"/>
              <w:snapToGrid w:val="0"/>
              <w:spacing w:beforeLines="50"/>
              <w:rPr>
                <w:rFonts w:cs="Times New Roman" w:eastAsiaTheme="minorEastAsia"/>
                <w:sz w:val="21"/>
                <w:szCs w:val="21"/>
              </w:rPr>
            </w:pPr>
            <w:r>
              <w:rPr>
                <w:rFonts w:cs="Times New Roman" w:eastAsia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highlight w:val="yellow"/>
              </w:rPr>
            </w:pPr>
            <w:r>
              <w:rPr>
                <w:rFonts w:cs="Times New Roman" w:eastAsiaTheme="minorEastAsia"/>
                <w:sz w:val="21"/>
                <w:szCs w:val="21"/>
              </w:rPr>
              <w:t>F1-3</w:t>
            </w:r>
          </w:p>
        </w:tc>
        <w:tc>
          <w:tcPr>
            <w:tcW w:w="2552"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车间内原料、边角料、成品堆放不规范，造成车间内部比较凌乱</w:t>
            </w:r>
          </w:p>
        </w:tc>
        <w:tc>
          <w:tcPr>
            <w:tcW w:w="1559"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优化车间布局</w:t>
            </w:r>
          </w:p>
        </w:tc>
        <w:tc>
          <w:tcPr>
            <w:tcW w:w="2835"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优化车间布局，将不同物品分区堆放，改善车间环境，便于物品合理领用及管理</w:t>
            </w:r>
          </w:p>
        </w:tc>
        <w:tc>
          <w:tcPr>
            <w:tcW w:w="1006" w:type="dxa"/>
            <w:vAlign w:val="center"/>
          </w:tcPr>
          <w:p>
            <w:pPr>
              <w:pStyle w:val="44"/>
              <w:snapToGrid w:val="0"/>
              <w:spacing w:beforeLines="20" w:afterLines="20" w:line="240" w:lineRule="auto"/>
              <w:rPr>
                <w:rFonts w:cs="Times New Roman" w:eastAsiaTheme="minorEastAsia"/>
                <w:sz w:val="21"/>
                <w:szCs w:val="21"/>
              </w:rPr>
            </w:pPr>
            <w:r>
              <w:rPr>
                <w:rFonts w:cs="Times New Roman" w:eastAsia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rPr>
            </w:pPr>
            <w:r>
              <w:rPr>
                <w:rFonts w:cs="Times New Roman" w:eastAsiaTheme="minorEastAsia"/>
                <w:sz w:val="21"/>
                <w:szCs w:val="21"/>
              </w:rPr>
              <w:t>F1-4</w:t>
            </w:r>
          </w:p>
        </w:tc>
        <w:tc>
          <w:tcPr>
            <w:tcW w:w="2552" w:type="dxa"/>
            <w:vAlign w:val="center"/>
          </w:tcPr>
          <w:p>
            <w:pPr>
              <w:pStyle w:val="44"/>
              <w:spacing w:beforeLines="20" w:line="240" w:lineRule="auto"/>
              <w:rPr>
                <w:rFonts w:cs="Times New Roman" w:eastAsiaTheme="minorEastAsia"/>
                <w:sz w:val="21"/>
                <w:szCs w:val="21"/>
              </w:rPr>
            </w:pPr>
            <w:r>
              <w:rPr>
                <w:rFonts w:cs="Times New Roman" w:hAnsiTheme="minorEastAsia" w:eastAsiaTheme="minorEastAsia"/>
                <w:sz w:val="21"/>
                <w:szCs w:val="21"/>
              </w:rPr>
              <w:t>未建立空压机及其他设备的定期维护制度</w:t>
            </w:r>
          </w:p>
        </w:tc>
        <w:tc>
          <w:tcPr>
            <w:tcW w:w="1559" w:type="dxa"/>
            <w:vAlign w:val="center"/>
          </w:tcPr>
          <w:p>
            <w:pPr>
              <w:pStyle w:val="44"/>
              <w:spacing w:beforeLines="20" w:line="240" w:lineRule="auto"/>
              <w:rPr>
                <w:rFonts w:cs="Times New Roman" w:eastAsiaTheme="minorEastAsia"/>
                <w:sz w:val="21"/>
                <w:szCs w:val="21"/>
              </w:rPr>
            </w:pPr>
            <w:r>
              <w:rPr>
                <w:rFonts w:cs="Times New Roman" w:hAnsiTheme="minorEastAsia" w:eastAsiaTheme="minorEastAsia"/>
                <w:sz w:val="21"/>
                <w:szCs w:val="21"/>
              </w:rPr>
              <w:t>加强空压机等设备的维护保养</w:t>
            </w:r>
          </w:p>
        </w:tc>
        <w:tc>
          <w:tcPr>
            <w:tcW w:w="2835" w:type="dxa"/>
            <w:vAlign w:val="center"/>
          </w:tcPr>
          <w:p>
            <w:pPr>
              <w:pStyle w:val="44"/>
              <w:spacing w:beforeLines="20" w:line="240" w:lineRule="auto"/>
              <w:rPr>
                <w:rFonts w:cs="Times New Roman" w:eastAsiaTheme="minorEastAsia"/>
                <w:kern w:val="0"/>
                <w:sz w:val="21"/>
                <w:szCs w:val="21"/>
              </w:rPr>
            </w:pPr>
            <w:r>
              <w:rPr>
                <w:rFonts w:cs="Times New Roman" w:hAnsiTheme="minorEastAsia" w:eastAsiaTheme="minorEastAsia"/>
                <w:kern w:val="0"/>
                <w:sz w:val="21"/>
                <w:szCs w:val="21"/>
              </w:rPr>
              <w:t>制度空压机等设备的定期维护保养制度，定期清洗维护油路、气路系统</w:t>
            </w:r>
          </w:p>
        </w:tc>
        <w:tc>
          <w:tcPr>
            <w:tcW w:w="1006" w:type="dxa"/>
            <w:vAlign w:val="center"/>
          </w:tcPr>
          <w:p>
            <w:pPr>
              <w:pStyle w:val="44"/>
              <w:spacing w:beforeLines="20" w:line="240" w:lineRule="auto"/>
              <w:rPr>
                <w:rFonts w:cs="Times New Roman" w:eastAsiaTheme="minorEastAsia"/>
                <w:kern w:val="0"/>
                <w:sz w:val="21"/>
                <w:szCs w:val="21"/>
              </w:rPr>
            </w:pPr>
            <w:r>
              <w:rPr>
                <w:rFonts w:cs="Times New Roman" w:eastAsiaTheme="minorEastAsia"/>
                <w:kern w:val="0"/>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rPr>
            </w:pPr>
            <w:r>
              <w:rPr>
                <w:rFonts w:cs="Times New Roman" w:eastAsiaTheme="minorEastAsia"/>
                <w:sz w:val="21"/>
                <w:szCs w:val="21"/>
              </w:rPr>
              <w:t>F1-5</w:t>
            </w:r>
          </w:p>
        </w:tc>
        <w:tc>
          <w:tcPr>
            <w:tcW w:w="2552" w:type="dxa"/>
            <w:vAlign w:val="center"/>
          </w:tcPr>
          <w:p>
            <w:pPr>
              <w:pStyle w:val="44"/>
              <w:spacing w:beforeLines="20" w:line="240" w:lineRule="auto"/>
              <w:rPr>
                <w:rFonts w:cs="Times New Roman" w:hAnsiTheme="minorEastAsia" w:eastAsiaTheme="minorEastAsia"/>
                <w:sz w:val="21"/>
                <w:szCs w:val="21"/>
              </w:rPr>
            </w:pPr>
          </w:p>
          <w:p>
            <w:pPr>
              <w:pStyle w:val="44"/>
              <w:spacing w:beforeLines="20" w:line="240" w:lineRule="auto"/>
              <w:rPr>
                <w:rFonts w:cs="Times New Roman" w:hAnsiTheme="minorEastAsia" w:eastAsiaTheme="minorEastAsia"/>
                <w:sz w:val="21"/>
                <w:szCs w:val="21"/>
              </w:rPr>
            </w:pPr>
            <w:r>
              <w:rPr>
                <w:rFonts w:hint="eastAsia" w:cs="Times New Roman" w:hAnsiTheme="minorEastAsia" w:eastAsiaTheme="minorEastAsia"/>
                <w:sz w:val="21"/>
                <w:szCs w:val="21"/>
              </w:rPr>
              <w:t>编织袋物料浪费</w:t>
            </w:r>
          </w:p>
          <w:p>
            <w:pPr>
              <w:pStyle w:val="44"/>
              <w:spacing w:beforeLines="20" w:line="240" w:lineRule="auto"/>
              <w:rPr>
                <w:rFonts w:cs="Times New Roman" w:hAnsiTheme="minorEastAsia" w:eastAsiaTheme="minorEastAsia"/>
                <w:sz w:val="21"/>
                <w:szCs w:val="21"/>
              </w:rPr>
            </w:pPr>
          </w:p>
        </w:tc>
        <w:tc>
          <w:tcPr>
            <w:tcW w:w="1559" w:type="dxa"/>
            <w:vAlign w:val="center"/>
          </w:tcPr>
          <w:p>
            <w:pPr>
              <w:pStyle w:val="44"/>
              <w:spacing w:beforeLines="20" w:line="240" w:lineRule="auto"/>
              <w:rPr>
                <w:rFonts w:cs="Times New Roman" w:hAnsiTheme="minorEastAsia" w:eastAsiaTheme="minorEastAsia"/>
                <w:sz w:val="21"/>
                <w:szCs w:val="21"/>
              </w:rPr>
            </w:pPr>
          </w:p>
          <w:p>
            <w:pPr>
              <w:pStyle w:val="44"/>
              <w:spacing w:beforeLines="20" w:line="240" w:lineRule="auto"/>
              <w:rPr>
                <w:rFonts w:cs="Times New Roman" w:hAnsiTheme="minorEastAsia" w:eastAsiaTheme="minorEastAsia"/>
                <w:sz w:val="21"/>
                <w:szCs w:val="21"/>
              </w:rPr>
            </w:pPr>
            <w:r>
              <w:rPr>
                <w:rFonts w:hint="eastAsia" w:cs="Times New Roman" w:hAnsiTheme="minorEastAsia" w:eastAsiaTheme="minorEastAsia"/>
                <w:sz w:val="21"/>
                <w:szCs w:val="21"/>
              </w:rPr>
              <w:t>编织袋利用</w:t>
            </w:r>
          </w:p>
          <w:p>
            <w:pPr>
              <w:pStyle w:val="44"/>
              <w:spacing w:beforeLines="20" w:line="240" w:lineRule="auto"/>
              <w:rPr>
                <w:rFonts w:cs="Times New Roman" w:hAnsiTheme="minorEastAsia" w:eastAsiaTheme="minorEastAsia"/>
                <w:sz w:val="21"/>
                <w:szCs w:val="21"/>
              </w:rPr>
            </w:pPr>
          </w:p>
        </w:tc>
        <w:tc>
          <w:tcPr>
            <w:tcW w:w="2835" w:type="dxa"/>
            <w:vAlign w:val="center"/>
          </w:tcPr>
          <w:p>
            <w:pPr>
              <w:pStyle w:val="44"/>
              <w:spacing w:beforeLines="20" w:line="240" w:lineRule="auto"/>
              <w:rPr>
                <w:rFonts w:cs="Times New Roman" w:hAnsiTheme="minorEastAsia" w:eastAsiaTheme="minorEastAsia"/>
                <w:sz w:val="21"/>
                <w:szCs w:val="21"/>
              </w:rPr>
            </w:pPr>
            <w:r>
              <w:rPr>
                <w:rFonts w:hint="eastAsia" w:cs="Times New Roman" w:hAnsiTheme="minorEastAsia" w:eastAsiaTheme="minorEastAsia"/>
                <w:sz w:val="21"/>
                <w:szCs w:val="21"/>
              </w:rPr>
              <w:t>将原聚烯烃编织袋拆包方式改为解扣，确保编织袋可以二次使用，减少后续包装费用</w:t>
            </w:r>
          </w:p>
        </w:tc>
        <w:tc>
          <w:tcPr>
            <w:tcW w:w="1006" w:type="dxa"/>
            <w:vAlign w:val="center"/>
          </w:tcPr>
          <w:p>
            <w:pPr>
              <w:pStyle w:val="44"/>
              <w:spacing w:beforeLines="20" w:line="240" w:lineRule="auto"/>
              <w:rPr>
                <w:rFonts w:cs="Times New Roman" w:hAnsiTheme="minorEastAsia" w:eastAsiaTheme="minorEastAsia"/>
                <w:sz w:val="21"/>
                <w:szCs w:val="21"/>
              </w:rPr>
            </w:pPr>
          </w:p>
          <w:p>
            <w:pPr>
              <w:pStyle w:val="44"/>
              <w:spacing w:beforeLines="20" w:line="240" w:lineRule="auto"/>
              <w:rPr>
                <w:rFonts w:cs="Times New Roman" w:hAnsiTheme="minorEastAsia" w:eastAsiaTheme="minorEastAsia"/>
                <w:sz w:val="21"/>
                <w:szCs w:val="21"/>
              </w:rPr>
            </w:pPr>
            <w:r>
              <w:rPr>
                <w:rFonts w:hint="eastAsia" w:cs="Times New Roman" w:hAnsiTheme="minorEastAsia" w:eastAsia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82" w:type="dxa"/>
            <w:vAlign w:val="center"/>
          </w:tcPr>
          <w:p>
            <w:pPr>
              <w:pStyle w:val="44"/>
              <w:snapToGrid w:val="0"/>
              <w:spacing w:beforeLines="20" w:afterLines="20" w:line="240" w:lineRule="auto"/>
              <w:rPr>
                <w:rFonts w:cs="Times New Roman" w:eastAsiaTheme="minorEastAsia"/>
                <w:sz w:val="21"/>
                <w:szCs w:val="21"/>
              </w:rPr>
            </w:pPr>
            <w:r>
              <w:rPr>
                <w:rFonts w:cs="Times New Roman" w:eastAsiaTheme="minorEastAsia"/>
                <w:sz w:val="21"/>
                <w:szCs w:val="21"/>
              </w:rPr>
              <w:t>F1-6</w:t>
            </w:r>
          </w:p>
        </w:tc>
        <w:tc>
          <w:tcPr>
            <w:tcW w:w="2552" w:type="dxa"/>
            <w:vAlign w:val="center"/>
          </w:tcPr>
          <w:p>
            <w:pPr>
              <w:pStyle w:val="44"/>
              <w:snapToGrid w:val="0"/>
              <w:spacing w:beforeLines="20" w:afterLines="20" w:line="240" w:lineRule="auto"/>
              <w:rPr>
                <w:rFonts w:cs="Times New Roman" w:eastAsiaTheme="minorEastAsia"/>
                <w:kern w:val="0"/>
                <w:sz w:val="21"/>
                <w:szCs w:val="21"/>
              </w:rPr>
            </w:pPr>
            <w:r>
              <w:rPr>
                <w:rFonts w:cs="Times New Roman" w:hAnsiTheme="minorEastAsia" w:eastAsiaTheme="minorEastAsia"/>
                <w:kern w:val="0"/>
                <w:sz w:val="21"/>
                <w:szCs w:val="21"/>
              </w:rPr>
              <w:t>员工环保及清洁生产意识薄弱</w:t>
            </w:r>
          </w:p>
        </w:tc>
        <w:tc>
          <w:tcPr>
            <w:tcW w:w="1559" w:type="dxa"/>
            <w:vAlign w:val="center"/>
          </w:tcPr>
          <w:p>
            <w:pPr>
              <w:pStyle w:val="44"/>
              <w:snapToGrid w:val="0"/>
              <w:spacing w:beforeLines="20" w:afterLines="20" w:line="240" w:lineRule="auto"/>
              <w:rPr>
                <w:rFonts w:cs="Times New Roman" w:eastAsiaTheme="minorEastAsia"/>
                <w:sz w:val="21"/>
                <w:szCs w:val="21"/>
              </w:rPr>
            </w:pPr>
            <w:r>
              <w:rPr>
                <w:rFonts w:cs="Times New Roman" w:hAnsiTheme="minorEastAsia" w:eastAsiaTheme="minorEastAsia"/>
                <w:sz w:val="21"/>
                <w:szCs w:val="21"/>
              </w:rPr>
              <w:t>提高员工清洁生产意识</w:t>
            </w:r>
          </w:p>
        </w:tc>
        <w:tc>
          <w:tcPr>
            <w:tcW w:w="2835" w:type="dxa"/>
            <w:vAlign w:val="center"/>
          </w:tcPr>
          <w:p>
            <w:pPr>
              <w:pStyle w:val="44"/>
              <w:snapToGrid w:val="0"/>
              <w:spacing w:beforeLines="20" w:afterLines="20" w:line="240" w:lineRule="auto"/>
              <w:rPr>
                <w:rFonts w:cs="Times New Roman" w:eastAsiaTheme="minorEastAsia"/>
                <w:kern w:val="0"/>
                <w:sz w:val="21"/>
                <w:szCs w:val="21"/>
              </w:rPr>
            </w:pPr>
            <w:r>
              <w:rPr>
                <w:rFonts w:cs="Times New Roman" w:hAnsiTheme="minorEastAsia" w:eastAsiaTheme="minorEastAsia"/>
                <w:sz w:val="21"/>
                <w:szCs w:val="21"/>
              </w:rPr>
              <w:t>通过培训、宣传宣传册、标语等形式加强，员工思想意识教育，提高员工的主人翁责任感和环境意识，使广大员工积极参与清洁生产审核工作</w:t>
            </w:r>
          </w:p>
        </w:tc>
        <w:tc>
          <w:tcPr>
            <w:tcW w:w="1006" w:type="dxa"/>
            <w:vAlign w:val="center"/>
          </w:tcPr>
          <w:p>
            <w:pPr>
              <w:pStyle w:val="44"/>
              <w:snapToGrid w:val="0"/>
              <w:spacing w:beforeLines="50"/>
              <w:rPr>
                <w:rFonts w:cs="Times New Roman" w:eastAsiaTheme="minorEastAsia"/>
                <w:sz w:val="21"/>
                <w:szCs w:val="21"/>
              </w:rPr>
            </w:pPr>
            <w:r>
              <w:rPr>
                <w:rFonts w:cs="Times New Roman" w:eastAsiaTheme="minorEastAsia"/>
                <w:sz w:val="21"/>
                <w:szCs w:val="21"/>
              </w:rPr>
              <w:t>0.2</w:t>
            </w:r>
          </w:p>
        </w:tc>
      </w:tr>
    </w:tbl>
    <w:p>
      <w:pPr>
        <w:widowControl/>
        <w:jc w:val="left"/>
        <w:rPr>
          <w:rFonts w:ascii="Times New Roman" w:hAnsi="宋体" w:eastAsia="宋体"/>
          <w:sz w:val="24"/>
          <w:szCs w:val="24"/>
        </w:rPr>
      </w:pPr>
      <w:r>
        <w:rPr>
          <w:rFonts w:ascii="Times New Roman" w:hAnsi="宋体" w:eastAsia="宋体"/>
          <w:sz w:val="24"/>
          <w:szCs w:val="24"/>
        </w:rPr>
        <w:t xml:space="preserve"> </w:t>
      </w:r>
    </w:p>
    <w:p>
      <w:pPr>
        <w:spacing w:beforeLines="50" w:line="360" w:lineRule="auto"/>
        <w:ind w:firstLine="480" w:firstLineChars="200"/>
        <w:rPr>
          <w:rFonts w:ascii="Times New Roman" w:hAnsi="宋体" w:eastAsia="宋体"/>
          <w:sz w:val="24"/>
          <w:szCs w:val="24"/>
        </w:rPr>
      </w:pPr>
      <w:r>
        <w:rPr>
          <w:rFonts w:ascii="Times New Roman" w:hAnsi="宋体" w:eastAsia="宋体"/>
          <w:sz w:val="24"/>
          <w:szCs w:val="24"/>
        </w:rPr>
        <w:t xml:space="preserve"> </w:t>
      </w:r>
      <w:r>
        <w:rPr>
          <w:rFonts w:ascii="Times New Roman" w:hAnsi="宋体" w:eastAsia="宋体"/>
          <w:sz w:val="24"/>
          <w:szCs w:val="24"/>
        </w:rPr>
        <w:br w:type="page"/>
      </w: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sz w:val="36"/>
          <w:szCs w:val="36"/>
        </w:rPr>
      </w:pPr>
      <w:bookmarkStart w:id="149" w:name="_Toc176255068"/>
      <w:bookmarkStart w:id="150" w:name="_Toc525138256"/>
      <w:bookmarkStart w:id="151" w:name="_Toc5225"/>
      <w:bookmarkStart w:id="152" w:name="_Toc525138400"/>
      <w:bookmarkStart w:id="153" w:name="_Toc499903478"/>
      <w:r>
        <w:rPr>
          <w:rFonts w:hint="eastAsia" w:cs="Times New Roman" w:asciiTheme="minorEastAsia" w:hAnsiTheme="minorEastAsia" w:eastAsiaTheme="minorEastAsia"/>
          <w:sz w:val="36"/>
          <w:szCs w:val="36"/>
        </w:rPr>
        <w:t>四</w:t>
      </w:r>
      <w:bookmarkEnd w:id="149"/>
      <w:r>
        <w:rPr>
          <w:rFonts w:hint="eastAsia" w:cs="Times New Roman" w:asciiTheme="minorEastAsia" w:hAnsiTheme="minorEastAsia" w:eastAsiaTheme="minorEastAsia"/>
          <w:sz w:val="36"/>
          <w:szCs w:val="36"/>
        </w:rPr>
        <w:t>、</w:t>
      </w:r>
      <w:r>
        <w:rPr>
          <w:rFonts w:cs="Times New Roman" w:asciiTheme="minorEastAsia" w:hAnsiTheme="minorEastAsia" w:eastAsiaTheme="minorEastAsia"/>
          <w:sz w:val="36"/>
          <w:szCs w:val="36"/>
        </w:rPr>
        <w:t>审核</w:t>
      </w:r>
      <w:bookmarkEnd w:id="150"/>
      <w:bookmarkEnd w:id="151"/>
      <w:bookmarkEnd w:id="152"/>
      <w:bookmarkEnd w:id="153"/>
    </w:p>
    <w:p>
      <w:pPr>
        <w:spacing w:beforeLines="50" w:line="360" w:lineRule="auto"/>
        <w:ind w:firstLine="480" w:firstLineChars="200"/>
        <w:rPr>
          <w:rFonts w:ascii="Times New Roman" w:hAnsi="Times New Roman" w:eastAsia="宋体"/>
          <w:sz w:val="24"/>
          <w:szCs w:val="24"/>
        </w:rPr>
      </w:pPr>
      <w:r>
        <w:rPr>
          <w:rFonts w:ascii="Times New Roman" w:hAnsi="Times New Roman" w:eastAsia="宋体"/>
          <w:sz w:val="24"/>
          <w:szCs w:val="24"/>
        </w:rPr>
        <w:t>审核是</w:t>
      </w:r>
      <w:r>
        <w:rPr>
          <w:rFonts w:hint="eastAsia" w:ascii="Times New Roman" w:hAnsi="宋体" w:eastAsia="宋体"/>
          <w:sz w:val="24"/>
          <w:szCs w:val="24"/>
          <w:lang w:eastAsia="zh-CN"/>
        </w:rPr>
        <w:t>湖南光华荣昌汽车部件有限公司</w:t>
      </w:r>
      <w:r>
        <w:rPr>
          <w:rFonts w:ascii="Times New Roman" w:hAnsi="Times New Roman" w:eastAsia="宋体"/>
          <w:sz w:val="24"/>
          <w:szCs w:val="24"/>
        </w:rPr>
        <w:t>开展清洁生产审核工作的第三阶段。目的是对审核重点的原辅材料、产品、生产过程以及废物的产生等多方面因素进行评估，寻找生产工艺和设备、运行维护管理和工艺过程控制等方面存在的问题，分析物料、能量流失和其它浪费的环节，找出浪费产生的原因。为此，本阶段工作重点是对</w:t>
      </w:r>
      <w:r>
        <w:rPr>
          <w:rFonts w:hint="eastAsia" w:ascii="Times New Roman" w:hAnsi="Times New Roman" w:eastAsia="宋体"/>
          <w:sz w:val="24"/>
          <w:szCs w:val="24"/>
        </w:rPr>
        <w:t>审核重点的</w:t>
      </w:r>
      <w:r>
        <w:rPr>
          <w:rFonts w:ascii="Times New Roman" w:hAnsi="Times New Roman" w:eastAsia="宋体"/>
          <w:sz w:val="24"/>
          <w:szCs w:val="24"/>
        </w:rPr>
        <w:t>物</w:t>
      </w:r>
      <w:r>
        <w:rPr>
          <w:rFonts w:hint="eastAsia" w:ascii="Times New Roman" w:hAnsi="Times New Roman" w:eastAsia="宋体"/>
          <w:sz w:val="24"/>
          <w:szCs w:val="24"/>
        </w:rPr>
        <w:t>料</w:t>
      </w:r>
      <w:r>
        <w:rPr>
          <w:rFonts w:ascii="Times New Roman" w:hAnsi="Times New Roman" w:eastAsia="宋体"/>
          <w:sz w:val="24"/>
          <w:szCs w:val="24"/>
        </w:rPr>
        <w:t>输入输出进行实测，建立物料平衡，分析浪费产生环节和原因，并实施简单易行的预防污染和削减浪费</w:t>
      </w:r>
      <w:r>
        <w:rPr>
          <w:rFonts w:hint="eastAsia" w:ascii="Times New Roman" w:hAnsi="Times New Roman" w:eastAsia="宋体"/>
          <w:sz w:val="24"/>
          <w:szCs w:val="24"/>
        </w:rPr>
        <w:t>的</w:t>
      </w:r>
      <w:r>
        <w:rPr>
          <w:rFonts w:ascii="Times New Roman" w:hAnsi="Times New Roman" w:eastAsia="宋体"/>
          <w:sz w:val="24"/>
          <w:szCs w:val="24"/>
        </w:rPr>
        <w:t>方案。</w:t>
      </w:r>
    </w:p>
    <w:p>
      <w:pPr>
        <w:pStyle w:val="3"/>
        <w:widowControl w:val="0"/>
        <w:adjustRightInd/>
        <w:snapToGrid/>
        <w:spacing w:beforeLines="50" w:after="0" w:line="360" w:lineRule="auto"/>
        <w:rPr>
          <w:rFonts w:ascii="Times New Roman" w:hAnsi="Times New Roman"/>
          <w:sz w:val="30"/>
          <w:szCs w:val="30"/>
        </w:rPr>
      </w:pPr>
      <w:bookmarkStart w:id="154" w:name="_Toc20914"/>
      <w:bookmarkStart w:id="155" w:name="_Toc499903479"/>
      <w:bookmarkStart w:id="156" w:name="_Toc525138401"/>
      <w:bookmarkStart w:id="157" w:name="_Toc525138257"/>
      <w:r>
        <w:rPr>
          <w:rFonts w:hint="eastAsia" w:ascii="Times New Roman" w:hAnsi="Times New Roman"/>
          <w:sz w:val="30"/>
          <w:szCs w:val="30"/>
        </w:rPr>
        <w:t>4</w:t>
      </w:r>
      <w:r>
        <w:rPr>
          <w:rFonts w:ascii="Times New Roman" w:hAnsi="Times New Roman"/>
          <w:sz w:val="30"/>
          <w:szCs w:val="30"/>
        </w:rPr>
        <w:t>.1审核重点概况</w:t>
      </w:r>
      <w:bookmarkEnd w:id="154"/>
      <w:bookmarkEnd w:id="155"/>
      <w:bookmarkEnd w:id="156"/>
      <w:bookmarkEnd w:id="157"/>
    </w:p>
    <w:p>
      <w:pPr>
        <w:pStyle w:val="4"/>
        <w:widowControl w:val="0"/>
        <w:spacing w:beforeLines="50" w:after="0" w:line="360" w:lineRule="auto"/>
        <w:rPr>
          <w:rFonts w:ascii="Times New Roman" w:hAnsi="Times New Roman" w:eastAsia="宋体" w:cs="Courier New"/>
          <w:sz w:val="28"/>
          <w:szCs w:val="30"/>
        </w:rPr>
      </w:pPr>
      <w:bookmarkStart w:id="158" w:name="_Toc499903480"/>
      <w:bookmarkStart w:id="159" w:name="_Toc24846"/>
      <w:bookmarkStart w:id="160" w:name="_Toc525138258"/>
      <w:bookmarkStart w:id="161" w:name="_Toc525138402"/>
      <w:r>
        <w:rPr>
          <w:rFonts w:hint="eastAsia" w:ascii="Times New Roman" w:hAnsi="Times New Roman" w:eastAsia="宋体" w:cs="Courier New"/>
          <w:sz w:val="28"/>
          <w:szCs w:val="30"/>
        </w:rPr>
        <w:t>4.1.1审核重点概况</w:t>
      </w:r>
      <w:bookmarkEnd w:id="158"/>
      <w:bookmarkEnd w:id="159"/>
      <w:bookmarkEnd w:id="160"/>
      <w:bookmarkEnd w:id="161"/>
    </w:p>
    <w:p>
      <w:pPr>
        <w:spacing w:line="360" w:lineRule="auto"/>
        <w:ind w:firstLine="465"/>
        <w:rPr>
          <w:rFonts w:ascii="Times New Roman" w:hAnsi="宋体" w:eastAsia="宋体"/>
          <w:sz w:val="24"/>
          <w:szCs w:val="24"/>
        </w:rPr>
      </w:pPr>
      <w:r>
        <w:rPr>
          <w:rFonts w:ascii="Times New Roman" w:hAnsi="宋体" w:eastAsia="宋体"/>
          <w:sz w:val="24"/>
          <w:szCs w:val="24"/>
        </w:rPr>
        <w:t>根据前述分析，本次审核确定企业</w:t>
      </w:r>
      <w:r>
        <w:rPr>
          <w:rFonts w:hint="eastAsia" w:ascii="Times New Roman" w:hAnsi="宋体" w:eastAsia="宋体"/>
          <w:sz w:val="24"/>
          <w:szCs w:val="24"/>
        </w:rPr>
        <w:t>的</w:t>
      </w:r>
      <w:r>
        <w:rPr>
          <w:rFonts w:hint="eastAsia" w:ascii="Times New Roman" w:hAnsi="宋体" w:eastAsia="宋体"/>
          <w:sz w:val="24"/>
          <w:szCs w:val="24"/>
          <w:lang w:val="en-US" w:eastAsia="zh-CN"/>
        </w:rPr>
        <w:t>生产车间发泡车间</w:t>
      </w:r>
      <w:r>
        <w:rPr>
          <w:rFonts w:ascii="Times New Roman" w:hAnsi="宋体" w:eastAsia="宋体"/>
          <w:sz w:val="24"/>
          <w:szCs w:val="24"/>
        </w:rPr>
        <w:t>为本次清洁生产审核的审核重点</w:t>
      </w:r>
      <w:r>
        <w:rPr>
          <w:rFonts w:hint="eastAsia" w:ascii="Times New Roman" w:hAnsi="宋体" w:eastAsia="宋体"/>
          <w:sz w:val="24"/>
          <w:szCs w:val="24"/>
        </w:rPr>
        <w:t>。</w:t>
      </w:r>
    </w:p>
    <w:p>
      <w:pPr>
        <w:spacing w:before="120"/>
        <w:ind w:firstLine="200" w:firstLineChars="83"/>
        <w:jc w:val="center"/>
        <w:rPr>
          <w:rFonts w:hint="eastAsia" w:ascii="Times New Roman" w:hAnsi="Times New Roman" w:eastAsia="宋体"/>
          <w:b/>
          <w:sz w:val="24"/>
          <w:szCs w:val="24"/>
        </w:rPr>
      </w:pPr>
      <w:r>
        <w:rPr>
          <w:rFonts w:hint="eastAsia" w:ascii="Times New Roman" w:hAnsi="Times New Roman" w:eastAsia="宋体"/>
          <w:b/>
          <w:sz w:val="24"/>
          <w:szCs w:val="24"/>
        </w:rPr>
        <w:t>表4-1  审核重点设备表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2014"/>
        <w:gridCol w:w="2126"/>
        <w:gridCol w:w="850"/>
        <w:gridCol w:w="851"/>
        <w:gridCol w:w="1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88" w:type="dxa"/>
            <w:shd w:val="clear" w:color="auto" w:fill="D9D9D9"/>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序号</w:t>
            </w:r>
          </w:p>
        </w:tc>
        <w:tc>
          <w:tcPr>
            <w:tcW w:w="2014" w:type="dxa"/>
            <w:shd w:val="clear" w:color="auto" w:fill="D9D9D9"/>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设备名称</w:t>
            </w:r>
          </w:p>
        </w:tc>
        <w:tc>
          <w:tcPr>
            <w:tcW w:w="2126" w:type="dxa"/>
            <w:shd w:val="clear" w:color="auto" w:fill="D9D9D9"/>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规格/型号</w:t>
            </w:r>
          </w:p>
        </w:tc>
        <w:tc>
          <w:tcPr>
            <w:tcW w:w="850" w:type="dxa"/>
            <w:shd w:val="clear" w:color="auto" w:fill="D9D9D9"/>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数量</w:t>
            </w:r>
          </w:p>
        </w:tc>
        <w:tc>
          <w:tcPr>
            <w:tcW w:w="851" w:type="dxa"/>
            <w:shd w:val="clear" w:color="auto" w:fill="D9D9D9"/>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功率</w:t>
            </w:r>
          </w:p>
        </w:tc>
        <w:tc>
          <w:tcPr>
            <w:tcW w:w="1777" w:type="dxa"/>
            <w:shd w:val="clear" w:color="auto" w:fill="D9D9D9"/>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应用部位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w:t>
            </w:r>
          </w:p>
        </w:tc>
        <w:tc>
          <w:tcPr>
            <w:tcW w:w="2014"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玛菲六组份发泡机</w:t>
            </w:r>
          </w:p>
        </w:tc>
        <w:tc>
          <w:tcPr>
            <w:tcW w:w="2126"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RSM8K</w:t>
            </w:r>
          </w:p>
        </w:tc>
        <w:tc>
          <w:tcPr>
            <w:tcW w:w="850"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w:t>
            </w:r>
          </w:p>
        </w:tc>
        <w:tc>
          <w:tcPr>
            <w:tcW w:w="851"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120Kw</w:t>
            </w:r>
          </w:p>
        </w:tc>
        <w:tc>
          <w:tcPr>
            <w:tcW w:w="1777"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发泡线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2</w:t>
            </w:r>
          </w:p>
        </w:tc>
        <w:tc>
          <w:tcPr>
            <w:tcW w:w="2014"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40工位环行线</w:t>
            </w:r>
          </w:p>
        </w:tc>
        <w:tc>
          <w:tcPr>
            <w:tcW w:w="2126"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40工位</w:t>
            </w:r>
          </w:p>
        </w:tc>
        <w:tc>
          <w:tcPr>
            <w:tcW w:w="850"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w:t>
            </w:r>
          </w:p>
        </w:tc>
        <w:tc>
          <w:tcPr>
            <w:tcW w:w="851"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395Kw</w:t>
            </w:r>
          </w:p>
        </w:tc>
        <w:tc>
          <w:tcPr>
            <w:tcW w:w="1777"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发泡线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3</w:t>
            </w:r>
          </w:p>
        </w:tc>
        <w:tc>
          <w:tcPr>
            <w:tcW w:w="2014"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自混料设备</w:t>
            </w:r>
          </w:p>
        </w:tc>
        <w:tc>
          <w:tcPr>
            <w:tcW w:w="2126"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非标</w:t>
            </w:r>
          </w:p>
        </w:tc>
        <w:tc>
          <w:tcPr>
            <w:tcW w:w="850"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w:t>
            </w:r>
          </w:p>
        </w:tc>
        <w:tc>
          <w:tcPr>
            <w:tcW w:w="851"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65Kw</w:t>
            </w:r>
          </w:p>
        </w:tc>
        <w:tc>
          <w:tcPr>
            <w:tcW w:w="1777"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发泡线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4</w:t>
            </w:r>
          </w:p>
        </w:tc>
        <w:tc>
          <w:tcPr>
            <w:tcW w:w="2014"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空压机</w:t>
            </w:r>
          </w:p>
        </w:tc>
        <w:tc>
          <w:tcPr>
            <w:tcW w:w="2126"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开山750</w:t>
            </w:r>
          </w:p>
        </w:tc>
        <w:tc>
          <w:tcPr>
            <w:tcW w:w="850"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1</w:t>
            </w:r>
          </w:p>
        </w:tc>
        <w:tc>
          <w:tcPr>
            <w:tcW w:w="851" w:type="dxa"/>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75Kw</w:t>
            </w:r>
          </w:p>
        </w:tc>
        <w:tc>
          <w:tcPr>
            <w:tcW w:w="1777" w:type="dxa"/>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r>
              <w:rPr>
                <w:rFonts w:hint="eastAsia" w:ascii="Times New Roman" w:hAnsi="Times New Roman" w:eastAsia="宋体" w:cs="Times New Roman"/>
                <w:b w:val="0"/>
                <w:bCs w:val="0"/>
                <w:i w:val="0"/>
                <w:iCs w:val="0"/>
                <w:color w:val="auto"/>
                <w:kern w:val="0"/>
                <w:sz w:val="22"/>
                <w:szCs w:val="22"/>
                <w:u w:val="none"/>
                <w:lang w:val="en-US" w:eastAsia="zh-CN" w:bidi="ar"/>
              </w:rPr>
              <w:t>主动力</w:t>
            </w:r>
          </w:p>
        </w:tc>
      </w:tr>
    </w:tbl>
    <w:p>
      <w:pPr>
        <w:pStyle w:val="11"/>
        <w:jc w:val="center"/>
      </w:pPr>
    </w:p>
    <w:p>
      <w:pPr>
        <w:spacing w:before="120"/>
        <w:ind w:firstLine="200" w:firstLineChars="83"/>
        <w:jc w:val="center"/>
        <w:rPr>
          <w:rFonts w:hint="eastAsia" w:ascii="Times New Roman" w:hAnsi="Times New Roman" w:eastAsia="宋体"/>
          <w:b/>
          <w:sz w:val="24"/>
          <w:szCs w:val="24"/>
        </w:rPr>
      </w:pPr>
      <w:r>
        <w:rPr>
          <w:rFonts w:hint="eastAsia" w:ascii="Times New Roman" w:hAnsi="Times New Roman" w:eastAsia="宋体"/>
          <w:b/>
          <w:sz w:val="24"/>
          <w:szCs w:val="24"/>
        </w:rPr>
        <w:t xml:space="preserve">表4-2  </w:t>
      </w:r>
      <w:r>
        <w:rPr>
          <w:rFonts w:hint="eastAsia" w:ascii="Times New Roman" w:hAnsi="Times New Roman" w:eastAsia="宋体"/>
          <w:b/>
          <w:sz w:val="24"/>
          <w:szCs w:val="24"/>
          <w:lang w:val="en-US" w:eastAsia="zh-CN"/>
        </w:rPr>
        <w:t>审核重点</w:t>
      </w:r>
      <w:r>
        <w:rPr>
          <w:rFonts w:hint="eastAsia" w:ascii="Times New Roman" w:hAnsi="Times New Roman" w:eastAsia="宋体"/>
          <w:b/>
          <w:sz w:val="24"/>
          <w:szCs w:val="24"/>
        </w:rPr>
        <w:t>近三年原辅材料消耗一览表</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4"/>
        <w:gridCol w:w="1288"/>
        <w:gridCol w:w="1341"/>
        <w:gridCol w:w="1341"/>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blHeader/>
        </w:trPr>
        <w:tc>
          <w:tcPr>
            <w:tcW w:w="1880" w:type="pct"/>
            <w:vMerge w:val="restar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sz w:val="22"/>
                <w:szCs w:val="22"/>
                <w:u w:val="none"/>
              </w:rPr>
            </w:pPr>
            <w:bookmarkStart w:id="162" w:name="_Toc525142390"/>
            <w:r>
              <w:rPr>
                <w:rFonts w:hint="default" w:ascii="Times New Roman" w:hAnsi="Times New Roman" w:eastAsia="宋体" w:cs="Times New Roman"/>
                <w:b w:val="0"/>
                <w:bCs w:val="0"/>
                <w:i w:val="0"/>
                <w:iCs w:val="0"/>
                <w:color w:val="000000"/>
                <w:kern w:val="0"/>
                <w:sz w:val="22"/>
                <w:szCs w:val="22"/>
                <w:u w:val="none"/>
                <w:lang w:val="en-US" w:eastAsia="zh-CN" w:bidi="ar"/>
              </w:rPr>
              <w:t>产品名称</w:t>
            </w:r>
          </w:p>
        </w:tc>
        <w:tc>
          <w:tcPr>
            <w:tcW w:w="756" w:type="pct"/>
            <w:vMerge w:val="restar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sz w:val="22"/>
                <w:szCs w:val="22"/>
                <w:u w:val="none"/>
              </w:rPr>
            </w:pPr>
            <w:r>
              <w:rPr>
                <w:rFonts w:hint="default" w:ascii="Times New Roman" w:hAnsi="Times New Roman" w:eastAsia="宋体" w:cs="Times New Roman"/>
                <w:b w:val="0"/>
                <w:bCs w:val="0"/>
                <w:i w:val="0"/>
                <w:iCs w:val="0"/>
                <w:color w:val="000000"/>
                <w:kern w:val="0"/>
                <w:sz w:val="22"/>
                <w:szCs w:val="22"/>
                <w:u w:val="none"/>
                <w:lang w:val="en-US" w:eastAsia="zh-CN" w:bidi="ar"/>
              </w:rPr>
              <w:t>产品单位</w:t>
            </w:r>
          </w:p>
        </w:tc>
        <w:tc>
          <w:tcPr>
            <w:tcW w:w="2362" w:type="pct"/>
            <w:gridSpan w:val="3"/>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sz w:val="22"/>
                <w:szCs w:val="22"/>
                <w:u w:val="none"/>
                <w:lang w:val="en-US" w:eastAsia="zh-CN"/>
              </w:rPr>
            </w:pPr>
            <w:r>
              <w:rPr>
                <w:rFonts w:hint="default" w:ascii="Times New Roman" w:hAnsi="Times New Roman" w:eastAsia="宋体" w:cs="Times New Roman"/>
                <w:b w:val="0"/>
                <w:bCs w:val="0"/>
                <w:i w:val="0"/>
                <w:iCs w:val="0"/>
                <w:color w:val="000000"/>
                <w:sz w:val="22"/>
                <w:szCs w:val="22"/>
                <w:u w:val="none"/>
                <w:lang w:val="en-US" w:eastAsia="zh-CN"/>
              </w:rPr>
              <w:t>产品用量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blHeader/>
        </w:trPr>
        <w:tc>
          <w:tcPr>
            <w:tcW w:w="1880" w:type="pct"/>
            <w:vMerge w:val="continue"/>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p>
        </w:tc>
        <w:tc>
          <w:tcPr>
            <w:tcW w:w="756" w:type="pct"/>
            <w:vMerge w:val="continue"/>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p>
        </w:tc>
        <w:tc>
          <w:tcPr>
            <w:tcW w:w="787"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r>
              <w:rPr>
                <w:rFonts w:hint="default" w:ascii="Times New Roman" w:hAnsi="Times New Roman" w:eastAsia="宋体" w:cs="Times New Roman"/>
                <w:b w:val="0"/>
                <w:bCs w:val="0"/>
                <w:i w:val="0"/>
                <w:iCs w:val="0"/>
                <w:color w:val="000000"/>
                <w:kern w:val="0"/>
                <w:sz w:val="22"/>
                <w:szCs w:val="22"/>
                <w:u w:val="none"/>
                <w:lang w:val="en-US" w:eastAsia="zh-CN" w:bidi="ar"/>
              </w:rPr>
              <w:t>2021年</w:t>
            </w:r>
          </w:p>
        </w:tc>
        <w:tc>
          <w:tcPr>
            <w:tcW w:w="787"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r>
              <w:rPr>
                <w:rFonts w:hint="default" w:ascii="Times New Roman" w:hAnsi="Times New Roman" w:eastAsia="宋体" w:cs="Times New Roman"/>
                <w:b w:val="0"/>
                <w:bCs w:val="0"/>
                <w:i w:val="0"/>
                <w:iCs w:val="0"/>
                <w:color w:val="000000"/>
                <w:kern w:val="0"/>
                <w:sz w:val="22"/>
                <w:szCs w:val="22"/>
                <w:u w:val="none"/>
                <w:lang w:val="en-US" w:eastAsia="zh-CN" w:bidi="ar"/>
              </w:rPr>
              <w:t>2022年</w:t>
            </w:r>
          </w:p>
        </w:tc>
        <w:tc>
          <w:tcPr>
            <w:tcW w:w="788"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000000"/>
                <w:kern w:val="0"/>
                <w:sz w:val="22"/>
                <w:szCs w:val="22"/>
                <w:u w:val="none"/>
                <w:lang w:val="en-US" w:eastAsia="zh-CN" w:bidi="ar"/>
              </w:rPr>
            </w:pPr>
            <w:r>
              <w:rPr>
                <w:rFonts w:hint="default" w:ascii="Times New Roman" w:hAnsi="Times New Roman" w:eastAsia="宋体" w:cs="Times New Roman"/>
                <w:b w:val="0"/>
                <w:bCs w:val="0"/>
                <w:i w:val="0"/>
                <w:iCs w:val="0"/>
                <w:color w:val="000000"/>
                <w:kern w:val="0"/>
                <w:sz w:val="22"/>
                <w:szCs w:val="22"/>
                <w:u w:val="none"/>
                <w:lang w:val="en-US" w:eastAsia="zh-CN" w:bidi="ar"/>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80" w:type="pct"/>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sz w:val="22"/>
                <w:szCs w:val="22"/>
                <w:u w:val="none"/>
                <w:lang w:val="en-US" w:eastAsia="zh-CN"/>
              </w:rPr>
            </w:pPr>
            <w:r>
              <w:rPr>
                <w:rFonts w:hint="eastAsia" w:ascii="Times New Roman" w:hAnsi="Times New Roman" w:eastAsia="宋体" w:cs="Times New Roman"/>
                <w:b w:val="0"/>
                <w:bCs w:val="0"/>
                <w:i w:val="0"/>
                <w:iCs w:val="0"/>
                <w:color w:val="auto"/>
                <w:kern w:val="0"/>
                <w:sz w:val="22"/>
                <w:szCs w:val="22"/>
                <w:u w:val="none"/>
                <w:lang w:val="en-US" w:eastAsia="zh-CN" w:bidi="ar"/>
              </w:rPr>
              <w:t>化料</w:t>
            </w:r>
          </w:p>
        </w:tc>
        <w:tc>
          <w:tcPr>
            <w:tcW w:w="756"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sz w:val="22"/>
                <w:szCs w:val="22"/>
                <w:u w:val="none"/>
                <w:lang w:val="en-US"/>
              </w:rPr>
            </w:pPr>
            <w:r>
              <w:rPr>
                <w:rFonts w:hint="eastAsia" w:ascii="Times New Roman" w:hAnsi="Times New Roman" w:eastAsia="宋体" w:cs="Times New Roman"/>
                <w:b w:val="0"/>
                <w:bCs w:val="0"/>
                <w:i w:val="0"/>
                <w:iCs w:val="0"/>
                <w:color w:val="auto"/>
                <w:sz w:val="22"/>
                <w:szCs w:val="22"/>
                <w:u w:val="none"/>
                <w:lang w:val="en-US" w:eastAsia="zh-CN"/>
              </w:rPr>
              <w:t>吨</w:t>
            </w:r>
          </w:p>
        </w:tc>
        <w:tc>
          <w:tcPr>
            <w:tcW w:w="787"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sz w:val="22"/>
                <w:szCs w:val="22"/>
                <w:u w:val="none"/>
                <w:lang w:val="en-US"/>
              </w:rPr>
            </w:pPr>
            <w:r>
              <w:rPr>
                <w:rFonts w:hint="eastAsia" w:ascii="Times New Roman" w:hAnsi="Times New Roman" w:eastAsia="宋体" w:cs="Times New Roman"/>
                <w:b w:val="0"/>
                <w:bCs w:val="0"/>
                <w:i w:val="0"/>
                <w:iCs w:val="0"/>
                <w:color w:val="auto"/>
                <w:kern w:val="0"/>
                <w:sz w:val="22"/>
                <w:szCs w:val="22"/>
                <w:u w:val="none"/>
                <w:lang w:val="en-US" w:eastAsia="zh-CN" w:bidi="ar"/>
              </w:rPr>
              <w:t>118.75</w:t>
            </w:r>
          </w:p>
        </w:tc>
        <w:tc>
          <w:tcPr>
            <w:tcW w:w="787"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sz w:val="22"/>
                <w:szCs w:val="22"/>
                <w:u w:val="none"/>
                <w:lang w:val="en-US"/>
              </w:rPr>
            </w:pPr>
            <w:r>
              <w:rPr>
                <w:rFonts w:hint="eastAsia" w:ascii="Times New Roman" w:hAnsi="Times New Roman" w:eastAsia="宋体" w:cs="Times New Roman"/>
                <w:b w:val="0"/>
                <w:bCs w:val="0"/>
                <w:i w:val="0"/>
                <w:iCs w:val="0"/>
                <w:color w:val="auto"/>
                <w:kern w:val="0"/>
                <w:sz w:val="22"/>
                <w:szCs w:val="22"/>
                <w:u w:val="none"/>
                <w:lang w:val="en-US" w:eastAsia="zh-CN" w:bidi="ar"/>
              </w:rPr>
              <w:t>504.18</w:t>
            </w:r>
          </w:p>
        </w:tc>
        <w:tc>
          <w:tcPr>
            <w:tcW w:w="788"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sz w:val="22"/>
                <w:szCs w:val="22"/>
                <w:u w:val="none"/>
                <w:lang w:val="en-US"/>
              </w:rPr>
            </w:pPr>
            <w:r>
              <w:rPr>
                <w:rFonts w:hint="eastAsia" w:ascii="Times New Roman" w:hAnsi="Times New Roman" w:eastAsia="宋体" w:cs="Times New Roman"/>
                <w:b w:val="0"/>
                <w:bCs w:val="0"/>
                <w:i w:val="0"/>
                <w:iCs w:val="0"/>
                <w:color w:val="auto"/>
                <w:kern w:val="0"/>
                <w:sz w:val="22"/>
                <w:szCs w:val="22"/>
                <w:u w:val="none"/>
                <w:lang w:val="en-US" w:eastAsia="zh-CN" w:bidi="ar"/>
              </w:rPr>
              <w:t>784.96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80"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bookmarkStart w:id="163" w:name="_Toc14339"/>
            <w:r>
              <w:rPr>
                <w:rFonts w:hint="eastAsia" w:ascii="Times New Roman" w:hAnsi="Times New Roman" w:eastAsia="宋体" w:cs="Times New Roman"/>
                <w:b w:val="0"/>
                <w:bCs w:val="0"/>
                <w:i w:val="0"/>
                <w:iCs w:val="0"/>
                <w:color w:val="auto"/>
                <w:kern w:val="0"/>
                <w:sz w:val="22"/>
                <w:szCs w:val="22"/>
                <w:u w:val="none"/>
                <w:lang w:val="en-US" w:eastAsia="zh-CN" w:bidi="ar"/>
              </w:rPr>
              <w:t>水</w:t>
            </w:r>
          </w:p>
        </w:tc>
        <w:tc>
          <w:tcPr>
            <w:tcW w:w="756" w:type="pct"/>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sz w:val="22"/>
                <w:szCs w:val="22"/>
                <w:u w:val="none"/>
                <w:vertAlign w:val="superscript"/>
                <w:lang w:val="en-US" w:eastAsia="zh-CN"/>
              </w:rPr>
            </w:pPr>
            <w:r>
              <w:rPr>
                <w:rFonts w:hint="eastAsia" w:ascii="Times New Roman" w:hAnsi="Times New Roman" w:eastAsia="宋体" w:cs="Times New Roman"/>
                <w:b w:val="0"/>
                <w:bCs w:val="0"/>
                <w:i w:val="0"/>
                <w:iCs w:val="0"/>
                <w:color w:val="auto"/>
                <w:sz w:val="22"/>
                <w:szCs w:val="22"/>
                <w:u w:val="none"/>
                <w:lang w:val="en-US" w:eastAsia="zh-CN"/>
              </w:rPr>
              <w:t>M</w:t>
            </w:r>
            <w:r>
              <w:rPr>
                <w:rFonts w:hint="eastAsia" w:ascii="Times New Roman" w:hAnsi="Times New Roman" w:eastAsia="宋体" w:cs="Times New Roman"/>
                <w:b w:val="0"/>
                <w:bCs w:val="0"/>
                <w:i w:val="0"/>
                <w:iCs w:val="0"/>
                <w:color w:val="auto"/>
                <w:sz w:val="22"/>
                <w:szCs w:val="22"/>
                <w:u w:val="none"/>
                <w:vertAlign w:val="superscript"/>
                <w:lang w:val="en-US" w:eastAsia="zh-CN"/>
              </w:rPr>
              <w:t>3</w:t>
            </w:r>
          </w:p>
        </w:tc>
        <w:tc>
          <w:tcPr>
            <w:tcW w:w="787" w:type="pct"/>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p>
        </w:tc>
        <w:tc>
          <w:tcPr>
            <w:tcW w:w="787" w:type="pct"/>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p>
        </w:tc>
        <w:tc>
          <w:tcPr>
            <w:tcW w:w="788" w:type="pct"/>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b w:val="0"/>
                <w:bCs w:val="0"/>
                <w:i w:val="0"/>
                <w:iCs w:val="0"/>
                <w:color w:val="auto"/>
                <w:kern w:val="0"/>
                <w:sz w:val="22"/>
                <w:szCs w:val="22"/>
                <w:u w:val="none"/>
                <w:lang w:val="en-US" w:eastAsia="zh-CN" w:bidi="ar"/>
              </w:rPr>
            </w:pPr>
          </w:p>
        </w:tc>
      </w:tr>
    </w:tbl>
    <w:p>
      <w:pPr>
        <w:pStyle w:val="4"/>
        <w:widowControl w:val="0"/>
        <w:spacing w:beforeLines="50" w:after="0" w:line="360" w:lineRule="auto"/>
        <w:rPr>
          <w:rFonts w:ascii="Times New Roman" w:hAnsi="Times New Roman" w:eastAsia="宋体" w:cs="Courier New"/>
          <w:sz w:val="28"/>
          <w:szCs w:val="30"/>
        </w:rPr>
      </w:pPr>
      <w:r>
        <w:rPr>
          <w:rFonts w:hint="eastAsia" w:ascii="Times New Roman" w:hAnsi="Times New Roman" w:eastAsia="宋体" w:cs="Courier New"/>
          <w:sz w:val="28"/>
          <w:szCs w:val="30"/>
        </w:rPr>
        <w:t>4.1.2审核重点工艺流程</w:t>
      </w:r>
      <w:bookmarkEnd w:id="162"/>
      <w:bookmarkEnd w:id="163"/>
    </w:p>
    <w:p>
      <w:pPr>
        <w:spacing w:line="360" w:lineRule="auto"/>
        <w:ind w:firstLine="480" w:firstLineChars="200"/>
        <w:rPr>
          <w:rFonts w:ascii="宋体" w:hAnsi="宋体" w:eastAsia="宋体"/>
          <w:sz w:val="24"/>
          <w:szCs w:val="24"/>
        </w:rPr>
      </w:pPr>
      <w:r>
        <w:rPr>
          <w:rFonts w:hint="eastAsia" w:ascii="宋体" w:hAnsi="宋体" w:eastAsia="宋体"/>
          <w:sz w:val="24"/>
          <w:szCs w:val="24"/>
        </w:rPr>
        <w:t>审核重点工艺流程及产污节点见图4.</w:t>
      </w:r>
      <w:r>
        <w:rPr>
          <w:rFonts w:hint="eastAsia" w:ascii="宋体" w:hAnsi="宋体" w:eastAsia="宋体"/>
          <w:sz w:val="24"/>
          <w:szCs w:val="24"/>
          <w:lang w:val="en-US" w:eastAsia="zh-CN"/>
        </w:rPr>
        <w:t>1</w:t>
      </w:r>
      <w:r>
        <w:rPr>
          <w:rFonts w:hint="eastAsia" w:ascii="宋体" w:hAnsi="宋体" w:eastAsia="宋体"/>
          <w:sz w:val="24"/>
          <w:szCs w:val="24"/>
        </w:rPr>
        <w:t>。</w:t>
      </w:r>
    </w:p>
    <w:p>
      <w:pPr>
        <w:spacing w:line="360" w:lineRule="auto"/>
        <w:jc w:val="center"/>
        <w:rPr>
          <w:rFonts w:ascii="宋体" w:hAnsi="宋体" w:eastAsia="宋体"/>
          <w:sz w:val="24"/>
          <w:szCs w:val="24"/>
        </w:rPr>
      </w:pPr>
      <w:r>
        <w:drawing>
          <wp:inline distT="0" distB="0" distL="114300" distR="114300">
            <wp:extent cx="5272405" cy="1742440"/>
            <wp:effectExtent l="0" t="0" r="4445" b="1016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4"/>
                    <a:stretch>
                      <a:fillRect/>
                    </a:stretch>
                  </pic:blipFill>
                  <pic:spPr>
                    <a:xfrm>
                      <a:off x="0" y="0"/>
                      <a:ext cx="5272405" cy="1742440"/>
                    </a:xfrm>
                    <a:prstGeom prst="rect">
                      <a:avLst/>
                    </a:prstGeom>
                    <a:noFill/>
                    <a:ln>
                      <a:noFill/>
                    </a:ln>
                  </pic:spPr>
                </pic:pic>
              </a:graphicData>
            </a:graphic>
          </wp:inline>
        </w:drawing>
      </w:r>
    </w:p>
    <w:p>
      <w:pPr>
        <w:spacing w:line="360" w:lineRule="auto"/>
        <w:jc w:val="center"/>
        <w:rPr>
          <w:rFonts w:ascii="Times New Roman" w:hAnsi="宋体" w:eastAsia="宋体"/>
          <w:b/>
          <w:sz w:val="24"/>
          <w:szCs w:val="24"/>
        </w:rPr>
      </w:pPr>
      <w:r>
        <w:rPr>
          <w:rFonts w:ascii="Times New Roman" w:hAnsi="宋体" w:eastAsia="宋体"/>
          <w:b/>
          <w:sz w:val="24"/>
          <w:szCs w:val="24"/>
        </w:rPr>
        <w:t>图4.</w:t>
      </w:r>
      <w:r>
        <w:rPr>
          <w:rFonts w:hint="eastAsia" w:ascii="Times New Roman" w:hAnsi="宋体" w:eastAsia="宋体"/>
          <w:b/>
          <w:sz w:val="24"/>
          <w:szCs w:val="24"/>
          <w:lang w:val="en-US" w:eastAsia="zh-CN"/>
        </w:rPr>
        <w:t>1</w:t>
      </w:r>
      <w:r>
        <w:rPr>
          <w:rFonts w:hint="eastAsia" w:ascii="Times New Roman" w:hAnsi="宋体" w:eastAsia="宋体"/>
          <w:b/>
          <w:sz w:val="24"/>
          <w:szCs w:val="24"/>
        </w:rPr>
        <w:t xml:space="preserve"> </w:t>
      </w:r>
      <w:r>
        <w:rPr>
          <w:rFonts w:ascii="Times New Roman" w:hAnsi="宋体" w:eastAsia="宋体"/>
          <w:b/>
          <w:sz w:val="24"/>
          <w:szCs w:val="24"/>
        </w:rPr>
        <w:t xml:space="preserve"> 审核重点工艺流程及产污节点图</w:t>
      </w:r>
    </w:p>
    <w:p>
      <w:pPr>
        <w:pStyle w:val="3"/>
        <w:widowControl w:val="0"/>
        <w:adjustRightInd/>
        <w:snapToGrid/>
        <w:spacing w:beforeLines="50" w:after="0" w:line="360" w:lineRule="auto"/>
        <w:rPr>
          <w:rFonts w:ascii="Times New Roman" w:hAnsi="Times New Roman"/>
          <w:color w:val="000000" w:themeColor="text1"/>
          <w:sz w:val="30"/>
          <w:szCs w:val="30"/>
        </w:rPr>
      </w:pPr>
      <w:bookmarkStart w:id="164" w:name="_Toc525142391"/>
      <w:bookmarkStart w:id="165" w:name="_Toc21492"/>
      <w:bookmarkStart w:id="166" w:name="_Toc15384"/>
      <w:bookmarkStart w:id="167" w:name="_Toc436773942"/>
      <w:bookmarkStart w:id="168" w:name="_Toc309635812"/>
      <w:bookmarkStart w:id="169" w:name="_Toc465070162"/>
      <w:r>
        <w:rPr>
          <w:rFonts w:hint="eastAsia" w:ascii="Times New Roman" w:hAnsi="Times New Roman"/>
          <w:color w:val="000000" w:themeColor="text1"/>
          <w:sz w:val="30"/>
          <w:szCs w:val="30"/>
        </w:rPr>
        <w:t>4.2输入输出物料的测定</w:t>
      </w:r>
      <w:bookmarkEnd w:id="164"/>
      <w:bookmarkEnd w:id="165"/>
      <w:bookmarkEnd w:id="166"/>
    </w:p>
    <w:bookmarkEnd w:id="167"/>
    <w:bookmarkEnd w:id="168"/>
    <w:bookmarkEnd w:id="169"/>
    <w:p>
      <w:pPr>
        <w:pStyle w:val="4"/>
        <w:widowControl w:val="0"/>
        <w:spacing w:beforeLines="50" w:after="0" w:line="360" w:lineRule="auto"/>
        <w:rPr>
          <w:rFonts w:ascii="Times New Roman" w:hAnsi="Times New Roman" w:eastAsia="宋体" w:cs="Courier New"/>
          <w:color w:val="000000" w:themeColor="text1"/>
          <w:sz w:val="28"/>
          <w:szCs w:val="30"/>
          <w:lang w:val="zh-CN"/>
        </w:rPr>
      </w:pPr>
      <w:bookmarkStart w:id="170" w:name="_Toc1962"/>
      <w:bookmarkStart w:id="171" w:name="_Toc19942"/>
      <w:bookmarkStart w:id="172" w:name="_Toc525142392"/>
      <w:r>
        <w:rPr>
          <w:rFonts w:hint="eastAsia" w:ascii="Times New Roman" w:hAnsi="Times New Roman" w:eastAsia="宋体" w:cs="Courier New"/>
          <w:color w:val="000000" w:themeColor="text1"/>
          <w:sz w:val="28"/>
          <w:szCs w:val="30"/>
          <w:lang w:val="zh-CN"/>
        </w:rPr>
        <w:t>4.2.1实测准备</w:t>
      </w:r>
      <w:bookmarkEnd w:id="170"/>
      <w:bookmarkEnd w:id="171"/>
      <w:bookmarkEnd w:id="172"/>
    </w:p>
    <w:p>
      <w:pPr>
        <w:spacing w:line="360" w:lineRule="auto"/>
        <w:ind w:firstLine="480" w:firstLineChars="200"/>
        <w:rPr>
          <w:rFonts w:ascii="Times New Roman" w:hAnsi="宋体" w:eastAsia="宋体"/>
          <w:sz w:val="24"/>
          <w:szCs w:val="24"/>
        </w:rPr>
      </w:pPr>
      <w:r>
        <w:rPr>
          <w:rFonts w:ascii="Times New Roman" w:hAnsi="宋体" w:eastAsia="宋体"/>
          <w:sz w:val="24"/>
          <w:szCs w:val="24"/>
        </w:rPr>
        <w:t>为了准确实测审核重点的输入输出物流，掌握生产过程中物耗及污染物产生的实际情况，建立物料平衡，以分析审核重点主要物料、能源、水的损失及污染物产生情况，清洁生产审核小组对审核重点实际情况进行了实测。</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1</w:t>
      </w:r>
      <w:r>
        <w:rPr>
          <w:rFonts w:ascii="Times New Roman" w:hAnsi="宋体" w:eastAsia="宋体"/>
          <w:sz w:val="24"/>
          <w:szCs w:val="24"/>
        </w:rPr>
        <w:t>）实测时间和周期</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由于企业产品和生产情况相对稳定，审核小组选择了企业</w:t>
      </w:r>
      <w:r>
        <w:rPr>
          <w:rFonts w:hint="eastAsia"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24</w:t>
      </w:r>
      <w:r>
        <w:rPr>
          <w:rFonts w:hint="eastAsia"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17</w:t>
      </w:r>
      <w:r>
        <w:rPr>
          <w:rFonts w:hint="eastAsia" w:ascii="Times New Roman" w:hAnsi="Times New Roman" w:eastAsia="宋体" w:cs="Times New Roman"/>
          <w:sz w:val="24"/>
          <w:szCs w:val="24"/>
        </w:rPr>
        <w:t>日-</w:t>
      </w:r>
      <w:r>
        <w:rPr>
          <w:rFonts w:hint="eastAsia"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19</w:t>
      </w:r>
      <w:r>
        <w:rPr>
          <w:rFonts w:hint="eastAsia" w:ascii="Times New Roman" w:hAnsi="Times New Roman" w:eastAsia="宋体" w:cs="Times New Roman"/>
          <w:sz w:val="24"/>
          <w:szCs w:val="24"/>
        </w:rPr>
        <w:t>日</w:t>
      </w:r>
      <w:r>
        <w:rPr>
          <w:rFonts w:ascii="Times New Roman" w:hAnsi="Times New Roman" w:eastAsia="宋体" w:cs="Times New Roman"/>
          <w:sz w:val="24"/>
          <w:szCs w:val="24"/>
        </w:rPr>
        <w:t>的统计数据作为物料输入输出数据来源。</w:t>
      </w:r>
    </w:p>
    <w:p>
      <w:pPr>
        <w:pStyle w:val="42"/>
        <w:ind w:firstLine="480" w:firstLineChars="200"/>
        <w:jc w:val="left"/>
        <w:rPr>
          <w:rFonts w:eastAsia="宋体"/>
          <w:bCs/>
          <w:szCs w:val="24"/>
        </w:rPr>
      </w:pPr>
      <w:r>
        <w:rPr>
          <w:rFonts w:hint="eastAsia" w:eastAsia="宋体"/>
          <w:bCs/>
          <w:szCs w:val="24"/>
        </w:rPr>
        <w:t>（2）实测项目</w:t>
      </w:r>
    </w:p>
    <w:p>
      <w:pPr>
        <w:pStyle w:val="42"/>
        <w:ind w:firstLine="480"/>
        <w:jc w:val="left"/>
        <w:rPr>
          <w:rFonts w:eastAsia="宋体"/>
          <w:szCs w:val="24"/>
        </w:rPr>
      </w:pPr>
      <w:r>
        <w:rPr>
          <w:rFonts w:hint="eastAsia" w:eastAsia="宋体"/>
          <w:szCs w:val="24"/>
        </w:rPr>
        <w:t>对投入的原料、加工所得到的产品进行实际测量，主要是</w:t>
      </w:r>
      <w:r>
        <w:rPr>
          <w:rFonts w:hint="eastAsia" w:eastAsia="宋体"/>
          <w:szCs w:val="24"/>
          <w:lang w:val="en-US" w:eastAsia="zh-CN"/>
        </w:rPr>
        <w:t>化料、泡棉</w:t>
      </w:r>
      <w:r>
        <w:rPr>
          <w:rFonts w:hint="eastAsia" w:eastAsia="宋体"/>
          <w:szCs w:val="24"/>
        </w:rPr>
        <w:t>等</w:t>
      </w:r>
      <w:r>
        <w:rPr>
          <w:rFonts w:eastAsia="宋体"/>
          <w:szCs w:val="24"/>
        </w:rPr>
        <w:t>。</w:t>
      </w:r>
    </w:p>
    <w:p>
      <w:pPr>
        <w:spacing w:line="360" w:lineRule="auto"/>
        <w:ind w:firstLine="482"/>
        <w:rPr>
          <w:rFonts w:ascii="Times New Roman" w:hAnsi="宋体" w:eastAsia="宋体"/>
          <w:sz w:val="24"/>
          <w:szCs w:val="24"/>
        </w:rPr>
      </w:pPr>
      <w:r>
        <w:rPr>
          <w:rFonts w:hint="eastAsia" w:ascii="Times New Roman" w:hAnsi="宋体" w:eastAsia="宋体"/>
          <w:sz w:val="24"/>
          <w:szCs w:val="24"/>
        </w:rPr>
        <w:t>（3）实测部位</w:t>
      </w:r>
    </w:p>
    <w:p>
      <w:pPr>
        <w:pStyle w:val="42"/>
        <w:ind w:firstLine="480"/>
        <w:jc w:val="left"/>
        <w:rPr>
          <w:rFonts w:eastAsia="宋体"/>
          <w:szCs w:val="24"/>
        </w:rPr>
      </w:pPr>
      <w:r>
        <w:rPr>
          <w:rFonts w:eastAsia="宋体"/>
          <w:szCs w:val="24"/>
        </w:rPr>
        <w:t>生产车间，主要计量实际输入原始物料和最终产出；中间物料不进行计量。</w:t>
      </w:r>
    </w:p>
    <w:p>
      <w:pPr>
        <w:spacing w:line="360" w:lineRule="auto"/>
        <w:ind w:firstLine="482"/>
        <w:rPr>
          <w:rFonts w:ascii="Times New Roman" w:hAnsi="宋体" w:eastAsia="宋体"/>
          <w:sz w:val="24"/>
          <w:szCs w:val="24"/>
        </w:rPr>
      </w:pPr>
      <w:r>
        <w:rPr>
          <w:rFonts w:hint="eastAsia" w:ascii="Times New Roman" w:hAnsi="宋体" w:eastAsia="宋体"/>
          <w:sz w:val="24"/>
          <w:szCs w:val="24"/>
        </w:rPr>
        <w:t>（4）实测条件</w:t>
      </w:r>
    </w:p>
    <w:p>
      <w:pPr>
        <w:spacing w:line="360" w:lineRule="auto"/>
        <w:ind w:firstLine="482"/>
        <w:rPr>
          <w:rFonts w:ascii="Times New Roman" w:hAnsi="宋体" w:eastAsia="宋体"/>
          <w:sz w:val="24"/>
          <w:szCs w:val="24"/>
        </w:rPr>
      </w:pPr>
      <w:r>
        <w:rPr>
          <w:rFonts w:hint="eastAsia" w:ascii="Times New Roman" w:hAnsi="宋体" w:eastAsia="宋体"/>
          <w:sz w:val="24"/>
          <w:szCs w:val="24"/>
        </w:rPr>
        <w:t>正常工况下进行。</w:t>
      </w:r>
    </w:p>
    <w:p>
      <w:pPr>
        <w:spacing w:line="360" w:lineRule="auto"/>
        <w:ind w:firstLine="482"/>
        <w:rPr>
          <w:rFonts w:ascii="Times New Roman" w:hAnsi="宋体" w:eastAsia="宋体"/>
          <w:sz w:val="24"/>
          <w:szCs w:val="24"/>
        </w:rPr>
      </w:pPr>
      <w:r>
        <w:rPr>
          <w:rFonts w:hint="eastAsia" w:ascii="Times New Roman" w:hAnsi="宋体" w:eastAsia="宋体"/>
          <w:sz w:val="24"/>
          <w:szCs w:val="24"/>
        </w:rPr>
        <w:t>（5）实测方法</w:t>
      </w:r>
    </w:p>
    <w:p>
      <w:pPr>
        <w:pStyle w:val="42"/>
        <w:ind w:firstLine="480" w:firstLineChars="200"/>
        <w:jc w:val="left"/>
        <w:rPr>
          <w:rFonts w:eastAsia="宋体"/>
          <w:bCs/>
          <w:szCs w:val="24"/>
        </w:rPr>
      </w:pPr>
      <w:r>
        <w:rPr>
          <w:rFonts w:eastAsia="宋体"/>
          <w:bCs/>
          <w:szCs w:val="24"/>
        </w:rPr>
        <w:t>以</w:t>
      </w:r>
      <w:r>
        <w:rPr>
          <w:rFonts w:hint="eastAsia" w:eastAsia="宋体"/>
          <w:bCs/>
          <w:szCs w:val="24"/>
        </w:rPr>
        <w:t>天</w:t>
      </w:r>
      <w:r>
        <w:rPr>
          <w:rFonts w:eastAsia="宋体"/>
          <w:bCs/>
          <w:szCs w:val="24"/>
        </w:rPr>
        <w:t>为单位，</w:t>
      </w:r>
      <w:r>
        <w:rPr>
          <w:rFonts w:hint="eastAsia" w:eastAsia="宋体"/>
          <w:bCs/>
          <w:szCs w:val="24"/>
        </w:rPr>
        <w:t>由</w:t>
      </w:r>
      <w:r>
        <w:rPr>
          <w:rFonts w:eastAsia="宋体"/>
          <w:bCs/>
          <w:szCs w:val="24"/>
        </w:rPr>
        <w:t>车间负责人具体落实生产物料的实际消耗和利用情况，审核小组副组长进行监督。</w:t>
      </w:r>
    </w:p>
    <w:p>
      <w:pPr>
        <w:pStyle w:val="42"/>
        <w:ind w:firstLine="480" w:firstLineChars="200"/>
        <w:jc w:val="left"/>
        <w:rPr>
          <w:rFonts w:eastAsia="宋体"/>
          <w:bCs/>
          <w:szCs w:val="24"/>
        </w:rPr>
      </w:pPr>
      <w:r>
        <w:rPr>
          <w:rFonts w:eastAsia="宋体"/>
          <w:bCs/>
          <w:szCs w:val="24"/>
        </w:rPr>
        <w:t>为了准确实测审核重点的输入输出物流，掌握生产过程中物耗及污染物产生的实际情况，建立物料平衡，以分析审核重点主要物料及污染物产生情况，</w:t>
      </w:r>
      <w:r>
        <w:rPr>
          <w:rFonts w:hint="eastAsia" w:eastAsia="宋体"/>
          <w:bCs/>
          <w:szCs w:val="24"/>
        </w:rPr>
        <w:t>在有条件时应该</w:t>
      </w:r>
      <w:r>
        <w:rPr>
          <w:rFonts w:eastAsia="宋体"/>
          <w:bCs/>
          <w:szCs w:val="24"/>
        </w:rPr>
        <w:t>对审核重点</w:t>
      </w:r>
      <w:r>
        <w:rPr>
          <w:rFonts w:hint="eastAsia" w:eastAsia="宋体"/>
          <w:bCs/>
          <w:szCs w:val="24"/>
        </w:rPr>
        <w:t>输入输出物流进行实测。</w:t>
      </w:r>
    </w:p>
    <w:p>
      <w:pPr>
        <w:pStyle w:val="4"/>
        <w:widowControl w:val="0"/>
        <w:spacing w:beforeLines="50" w:after="0" w:line="360" w:lineRule="auto"/>
        <w:rPr>
          <w:rFonts w:ascii="Times New Roman" w:hAnsi="Times New Roman" w:eastAsia="宋体" w:cs="Courier New"/>
          <w:sz w:val="28"/>
          <w:szCs w:val="28"/>
          <w:lang w:val="zh-CN"/>
        </w:rPr>
      </w:pPr>
      <w:bookmarkStart w:id="173" w:name="_Toc9777"/>
      <w:bookmarkStart w:id="174" w:name="_Toc499903484"/>
      <w:bookmarkStart w:id="175" w:name="_Toc525142393"/>
      <w:r>
        <w:rPr>
          <w:rFonts w:hint="eastAsia" w:ascii="Times New Roman" w:hAnsi="Times New Roman" w:eastAsia="宋体" w:cs="Courier New"/>
          <w:sz w:val="28"/>
          <w:szCs w:val="28"/>
          <w:lang w:val="zh-CN"/>
        </w:rPr>
        <w:t>4.2.2实测结果</w:t>
      </w:r>
      <w:bookmarkEnd w:id="173"/>
      <w:bookmarkEnd w:id="174"/>
      <w:bookmarkEnd w:id="175"/>
    </w:p>
    <w:p>
      <w:pPr>
        <w:spacing w:line="360" w:lineRule="auto"/>
        <w:ind w:firstLine="482"/>
        <w:rPr>
          <w:rFonts w:ascii="Times New Roman" w:hAnsi="宋体" w:eastAsia="宋体"/>
          <w:sz w:val="24"/>
          <w:szCs w:val="24"/>
        </w:rPr>
      </w:pPr>
      <w:r>
        <w:rPr>
          <w:rFonts w:ascii="Times New Roman" w:hAnsi="宋体" w:eastAsia="宋体"/>
          <w:sz w:val="24"/>
          <w:szCs w:val="24"/>
        </w:rPr>
        <w:t>物流实测数据见表</w:t>
      </w:r>
      <w:r>
        <w:rPr>
          <w:rFonts w:hint="eastAsia" w:ascii="Times New Roman" w:hAnsi="宋体" w:eastAsia="宋体"/>
          <w:sz w:val="24"/>
          <w:szCs w:val="24"/>
        </w:rPr>
        <w:t>4-</w:t>
      </w:r>
      <w:r>
        <w:rPr>
          <w:rFonts w:hint="eastAsia" w:ascii="Times New Roman" w:hAnsi="宋体" w:eastAsia="宋体"/>
          <w:sz w:val="24"/>
          <w:szCs w:val="24"/>
          <w:lang w:val="en-US" w:eastAsia="zh-CN"/>
        </w:rPr>
        <w:t>3</w:t>
      </w:r>
      <w:r>
        <w:rPr>
          <w:rFonts w:ascii="Times New Roman" w:hAnsi="宋体" w:eastAsia="宋体"/>
          <w:sz w:val="24"/>
          <w:szCs w:val="24"/>
        </w:rPr>
        <w:t>。</w:t>
      </w:r>
    </w:p>
    <w:p>
      <w:pPr>
        <w:spacing w:line="360" w:lineRule="auto"/>
        <w:jc w:val="center"/>
        <w:rPr>
          <w:rFonts w:hint="eastAsia" w:asciiTheme="minorEastAsia" w:hAnsiTheme="minorEastAsia" w:eastAsiaTheme="minorEastAsia"/>
          <w:b/>
          <w:sz w:val="24"/>
          <w:szCs w:val="24"/>
          <w:lang w:eastAsia="zh-CN"/>
        </w:rPr>
      </w:pPr>
      <w:r>
        <w:rPr>
          <w:rFonts w:asciiTheme="minorEastAsia" w:hAnsiTheme="minorEastAsia"/>
          <w:b/>
          <w:sz w:val="24"/>
          <w:szCs w:val="24"/>
        </w:rPr>
        <w:t>表</w:t>
      </w:r>
      <w:r>
        <w:rPr>
          <w:rFonts w:hint="eastAsia" w:asciiTheme="minorEastAsia" w:hAnsiTheme="minorEastAsia"/>
          <w:b/>
          <w:sz w:val="24"/>
          <w:szCs w:val="24"/>
        </w:rPr>
        <w:t>4-</w:t>
      </w:r>
      <w:r>
        <w:rPr>
          <w:rFonts w:hint="eastAsia" w:asciiTheme="minorEastAsia" w:hAnsiTheme="minorEastAsia"/>
          <w:b/>
          <w:sz w:val="24"/>
          <w:szCs w:val="24"/>
          <w:lang w:val="en-US" w:eastAsia="zh-CN"/>
        </w:rPr>
        <w:t>3</w:t>
      </w:r>
      <w:r>
        <w:rPr>
          <w:rFonts w:hint="eastAsia" w:asciiTheme="minorEastAsia" w:hAnsiTheme="minorEastAsia"/>
          <w:b/>
          <w:sz w:val="24"/>
          <w:szCs w:val="24"/>
        </w:rPr>
        <w:t xml:space="preserve">  生产车间</w:t>
      </w:r>
      <w:r>
        <w:rPr>
          <w:rFonts w:asciiTheme="minorEastAsia" w:hAnsiTheme="minorEastAsia"/>
          <w:b/>
          <w:sz w:val="24"/>
          <w:szCs w:val="24"/>
        </w:rPr>
        <w:t>物</w:t>
      </w:r>
      <w:r>
        <w:rPr>
          <w:rFonts w:hint="eastAsia" w:asciiTheme="minorEastAsia" w:hAnsiTheme="minorEastAsia"/>
          <w:b/>
          <w:sz w:val="24"/>
          <w:szCs w:val="24"/>
        </w:rPr>
        <w:t>料</w:t>
      </w:r>
      <w:r>
        <w:rPr>
          <w:rFonts w:asciiTheme="minorEastAsia" w:hAnsiTheme="minorEastAsia"/>
          <w:b/>
          <w:sz w:val="24"/>
          <w:szCs w:val="24"/>
        </w:rPr>
        <w:t>实测数据表</w:t>
      </w:r>
      <w:r>
        <w:rPr>
          <w:rFonts w:hint="eastAsia" w:asciiTheme="minorEastAsia" w:hAnsiTheme="minorEastAsia"/>
          <w:b/>
          <w:sz w:val="24"/>
          <w:szCs w:val="24"/>
          <w:lang w:eastAsia="zh-CN"/>
        </w:rPr>
        <w:t>（</w:t>
      </w:r>
      <w:r>
        <w:rPr>
          <w:rFonts w:hint="eastAsia" w:asciiTheme="minorEastAsia" w:hAnsiTheme="minorEastAsia"/>
          <w:b/>
          <w:sz w:val="24"/>
          <w:szCs w:val="24"/>
          <w:lang w:val="en-US" w:eastAsia="zh-CN"/>
        </w:rPr>
        <w:t>1吨化料生产100辆份泡棉</w:t>
      </w:r>
      <w:r>
        <w:rPr>
          <w:rFonts w:hint="eastAsia" w:asciiTheme="minorEastAsia" w:hAnsiTheme="minorEastAsia"/>
          <w:b/>
          <w:sz w:val="24"/>
          <w:szCs w:val="24"/>
          <w:lang w:eastAsia="zh-CN"/>
        </w:rPr>
        <w:t>）</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6"/>
        <w:gridCol w:w="2117"/>
        <w:gridCol w:w="1370"/>
        <w:gridCol w:w="1370"/>
        <w:gridCol w:w="1371"/>
        <w:gridCol w:w="14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826" w:type="dxa"/>
            <w:vMerge w:val="restart"/>
            <w:noWrap w:val="0"/>
            <w:vAlign w:val="center"/>
          </w:tcPr>
          <w:p>
            <w:pPr>
              <w:pStyle w:val="26"/>
              <w:adjustRightInd w:val="0"/>
              <w:snapToGrid w:val="0"/>
              <w:spacing w:before="0" w:beforeAutospacing="0" w:after="0" w:afterAutospacing="0"/>
              <w:ind w:firstLine="0" w:firstLineChars="0"/>
              <w:jc w:val="center"/>
              <w:rPr>
                <w:rFonts w:ascii="Times New Roman" w:hAnsi="Times New Roman"/>
                <w:sz w:val="21"/>
                <w:szCs w:val="21"/>
              </w:rPr>
            </w:pPr>
            <w:bookmarkStart w:id="176" w:name="_Toc499903485"/>
            <w:bookmarkStart w:id="177" w:name="_Toc525142394"/>
            <w:r>
              <w:rPr>
                <w:rFonts w:ascii="Times New Roman" w:hAnsi="Times New Roman"/>
                <w:sz w:val="21"/>
                <w:szCs w:val="21"/>
              </w:rPr>
              <w:t>序号</w:t>
            </w:r>
          </w:p>
        </w:tc>
        <w:tc>
          <w:tcPr>
            <w:tcW w:w="2117" w:type="dxa"/>
            <w:vMerge w:val="restart"/>
            <w:noWrap w:val="0"/>
            <w:vAlign w:val="center"/>
          </w:tcPr>
          <w:p>
            <w:pPr>
              <w:pStyle w:val="26"/>
              <w:adjustRightInd w:val="0"/>
              <w:snapToGrid w:val="0"/>
              <w:spacing w:before="0" w:beforeAutospacing="0" w:after="0" w:afterAutospacing="0"/>
              <w:ind w:firstLine="0" w:firstLineChars="0"/>
              <w:jc w:val="center"/>
              <w:rPr>
                <w:rFonts w:ascii="Times New Roman" w:hAnsi="Times New Roman"/>
                <w:sz w:val="21"/>
                <w:szCs w:val="21"/>
              </w:rPr>
            </w:pPr>
            <w:r>
              <w:rPr>
                <w:rFonts w:ascii="Times New Roman" w:hAnsi="Times New Roman"/>
                <w:sz w:val="21"/>
                <w:szCs w:val="21"/>
              </w:rPr>
              <w:t>监测项目</w:t>
            </w:r>
          </w:p>
        </w:tc>
        <w:tc>
          <w:tcPr>
            <w:tcW w:w="4111" w:type="dxa"/>
            <w:gridSpan w:val="3"/>
            <w:noWrap w:val="0"/>
            <w:vAlign w:val="top"/>
          </w:tcPr>
          <w:p>
            <w:pPr>
              <w:pStyle w:val="26"/>
              <w:adjustRightInd w:val="0"/>
              <w:snapToGrid w:val="0"/>
              <w:spacing w:before="0" w:beforeAutospacing="0" w:after="0" w:afterAutospacing="0"/>
              <w:ind w:firstLine="420"/>
              <w:jc w:val="center"/>
              <w:rPr>
                <w:rFonts w:hint="eastAsia" w:ascii="Times New Roman" w:hAnsi="Times New Roman"/>
                <w:sz w:val="21"/>
                <w:szCs w:val="21"/>
              </w:rPr>
            </w:pPr>
            <w:r>
              <w:rPr>
                <w:rFonts w:ascii="Times New Roman" w:hAnsi="Times New Roman"/>
                <w:sz w:val="21"/>
                <w:szCs w:val="21"/>
              </w:rPr>
              <w:t>实测数据（</w:t>
            </w:r>
            <w:r>
              <w:rPr>
                <w:rFonts w:hint="eastAsia" w:ascii="Times New Roman" w:hAnsi="Times New Roman"/>
                <w:sz w:val="21"/>
                <w:szCs w:val="21"/>
                <w:lang w:val="en-US" w:eastAsia="zh-CN"/>
              </w:rPr>
              <w:t>t</w:t>
            </w:r>
            <w:r>
              <w:rPr>
                <w:rFonts w:ascii="Times New Roman" w:hAnsi="Times New Roman"/>
                <w:sz w:val="21"/>
                <w:szCs w:val="21"/>
              </w:rPr>
              <w:t>）</w:t>
            </w:r>
          </w:p>
        </w:tc>
        <w:tc>
          <w:tcPr>
            <w:tcW w:w="1468" w:type="dxa"/>
            <w:vMerge w:val="restart"/>
            <w:noWrap w:val="0"/>
            <w:vAlign w:val="center"/>
          </w:tcPr>
          <w:p>
            <w:pPr>
              <w:pStyle w:val="26"/>
              <w:adjustRightInd w:val="0"/>
              <w:snapToGrid w:val="0"/>
              <w:spacing w:before="0" w:beforeAutospacing="0" w:after="0" w:afterAutospacing="0"/>
              <w:ind w:firstLine="0" w:firstLineChars="0"/>
              <w:jc w:val="center"/>
              <w:rPr>
                <w:rFonts w:ascii="Times New Roman" w:hAnsi="Times New Roman"/>
                <w:sz w:val="21"/>
                <w:szCs w:val="21"/>
              </w:rPr>
            </w:pPr>
            <w:r>
              <w:rPr>
                <w:rFonts w:ascii="Times New Roman" w:hAnsi="Times New Roman"/>
                <w:sz w:val="21"/>
                <w:szCs w:val="21"/>
              </w:rPr>
              <w:t>平均值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8" w:hRule="atLeast"/>
          <w:jc w:val="center"/>
        </w:trPr>
        <w:tc>
          <w:tcPr>
            <w:tcW w:w="826" w:type="dxa"/>
            <w:vMerge w:val="continue"/>
            <w:noWrap w:val="0"/>
            <w:vAlign w:val="center"/>
          </w:tcPr>
          <w:p>
            <w:pPr>
              <w:pStyle w:val="26"/>
              <w:adjustRightInd w:val="0"/>
              <w:snapToGrid w:val="0"/>
              <w:spacing w:before="0" w:beforeAutospacing="0" w:after="0" w:afterAutospacing="0"/>
              <w:ind w:firstLine="420"/>
              <w:jc w:val="center"/>
              <w:rPr>
                <w:rFonts w:ascii="Times New Roman" w:hAnsi="Times New Roman"/>
                <w:sz w:val="21"/>
                <w:szCs w:val="21"/>
              </w:rPr>
            </w:pPr>
          </w:p>
        </w:tc>
        <w:tc>
          <w:tcPr>
            <w:tcW w:w="2117" w:type="dxa"/>
            <w:vMerge w:val="continue"/>
            <w:noWrap w:val="0"/>
            <w:vAlign w:val="center"/>
          </w:tcPr>
          <w:p>
            <w:pPr>
              <w:pStyle w:val="26"/>
              <w:adjustRightInd w:val="0"/>
              <w:snapToGrid w:val="0"/>
              <w:spacing w:before="0" w:beforeAutospacing="0" w:after="0" w:afterAutospacing="0"/>
              <w:ind w:firstLine="420"/>
              <w:jc w:val="center"/>
              <w:rPr>
                <w:rFonts w:ascii="Times New Roman" w:hAnsi="Times New Roman"/>
                <w:sz w:val="21"/>
                <w:szCs w:val="21"/>
              </w:rPr>
            </w:pPr>
          </w:p>
        </w:tc>
        <w:tc>
          <w:tcPr>
            <w:tcW w:w="1370"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sz w:val="21"/>
                <w:szCs w:val="21"/>
              </w:rPr>
            </w:pPr>
            <w:r>
              <w:rPr>
                <w:rFonts w:ascii="Times New Roman" w:hAnsi="Times New Roman"/>
                <w:sz w:val="21"/>
                <w:szCs w:val="21"/>
              </w:rPr>
              <w:t>第1天</w:t>
            </w:r>
          </w:p>
        </w:tc>
        <w:tc>
          <w:tcPr>
            <w:tcW w:w="1370"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sz w:val="21"/>
                <w:szCs w:val="21"/>
              </w:rPr>
            </w:pPr>
            <w:r>
              <w:rPr>
                <w:rFonts w:ascii="Times New Roman" w:hAnsi="Times New Roman"/>
                <w:sz w:val="21"/>
                <w:szCs w:val="21"/>
              </w:rPr>
              <w:t>第2天</w:t>
            </w:r>
          </w:p>
        </w:tc>
        <w:tc>
          <w:tcPr>
            <w:tcW w:w="1371"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sz w:val="21"/>
                <w:szCs w:val="21"/>
              </w:rPr>
            </w:pPr>
            <w:r>
              <w:rPr>
                <w:rFonts w:hint="eastAsia" w:ascii="Times New Roman" w:hAnsi="Times New Roman"/>
                <w:sz w:val="21"/>
                <w:szCs w:val="21"/>
              </w:rPr>
              <w:t>第3天</w:t>
            </w:r>
          </w:p>
        </w:tc>
        <w:tc>
          <w:tcPr>
            <w:tcW w:w="1468" w:type="dxa"/>
            <w:vMerge w:val="continue"/>
            <w:noWrap w:val="0"/>
            <w:vAlign w:val="center"/>
          </w:tcPr>
          <w:p>
            <w:pPr>
              <w:pStyle w:val="26"/>
              <w:adjustRightInd w:val="0"/>
              <w:snapToGrid w:val="0"/>
              <w:spacing w:before="0" w:beforeAutospacing="0" w:after="0" w:afterAutospacing="0"/>
              <w:ind w:firstLine="420"/>
              <w:jc w:val="center"/>
              <w:rPr>
                <w:rFonts w:ascii="Times New Roman" w:hAnsi="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jc w:val="center"/>
        </w:trPr>
        <w:tc>
          <w:tcPr>
            <w:tcW w:w="826" w:type="dxa"/>
            <w:noWrap w:val="0"/>
            <w:vAlign w:val="center"/>
          </w:tcPr>
          <w:p>
            <w:pPr>
              <w:pStyle w:val="26"/>
              <w:adjustRightInd w:val="0"/>
              <w:snapToGrid w:val="0"/>
              <w:spacing w:before="0" w:beforeAutospacing="0" w:after="0" w:afterAutospacing="0"/>
              <w:ind w:firstLine="0" w:firstLineChars="0"/>
              <w:jc w:val="center"/>
              <w:rPr>
                <w:rFonts w:hint="eastAsia" w:ascii="Times New Roman" w:hAnsi="Times New Roman"/>
                <w:sz w:val="21"/>
                <w:szCs w:val="21"/>
              </w:rPr>
            </w:pPr>
            <w:r>
              <w:rPr>
                <w:rFonts w:hint="eastAsia" w:ascii="Times New Roman" w:hAnsi="Times New Roman"/>
                <w:sz w:val="21"/>
                <w:szCs w:val="21"/>
              </w:rPr>
              <w:t>1</w:t>
            </w:r>
          </w:p>
        </w:tc>
        <w:tc>
          <w:tcPr>
            <w:tcW w:w="2117" w:type="dxa"/>
            <w:noWrap w:val="0"/>
            <w:vAlign w:val="center"/>
          </w:tcPr>
          <w:p>
            <w:pPr>
              <w:pStyle w:val="26"/>
              <w:adjustRightInd w:val="0"/>
              <w:snapToGrid w:val="0"/>
              <w:spacing w:before="0" w:beforeAutospacing="0" w:after="0" w:afterAutospacing="0"/>
              <w:ind w:firstLine="0" w:firstLineChars="0"/>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化料</w:t>
            </w:r>
          </w:p>
        </w:tc>
        <w:tc>
          <w:tcPr>
            <w:tcW w:w="1370" w:type="dxa"/>
            <w:noWrap w:val="0"/>
            <w:vAlign w:val="center"/>
          </w:tcPr>
          <w:p>
            <w:pPr>
              <w:adjustRightInd w:val="0"/>
              <w:snapToGrid w:val="0"/>
              <w:ind w:firstLine="0" w:firstLineChars="0"/>
              <w:jc w:val="center"/>
              <w:rPr>
                <w:rFonts w:hint="default"/>
                <w:color w:val="000000"/>
                <w:sz w:val="21"/>
                <w:szCs w:val="21"/>
                <w:lang w:val="en-US" w:eastAsia="zh-CN"/>
              </w:rPr>
            </w:pPr>
            <w:r>
              <w:rPr>
                <w:rFonts w:hint="eastAsia"/>
                <w:color w:val="000000"/>
                <w:sz w:val="21"/>
                <w:szCs w:val="21"/>
                <w:lang w:val="en-US" w:eastAsia="zh-CN"/>
              </w:rPr>
              <w:t>2.62</w:t>
            </w:r>
          </w:p>
        </w:tc>
        <w:tc>
          <w:tcPr>
            <w:tcW w:w="1370" w:type="dxa"/>
            <w:noWrap w:val="0"/>
            <w:vAlign w:val="center"/>
          </w:tcPr>
          <w:p>
            <w:pPr>
              <w:adjustRightInd w:val="0"/>
              <w:snapToGrid w:val="0"/>
              <w:ind w:firstLine="0" w:firstLineChars="0"/>
              <w:jc w:val="center"/>
              <w:rPr>
                <w:rFonts w:hint="default" w:ascii="宋体" w:hAnsi="宋体" w:cs="宋体" w:eastAsiaTheme="minorEastAsia"/>
                <w:color w:val="000000"/>
                <w:sz w:val="21"/>
                <w:szCs w:val="21"/>
                <w:lang w:val="en-US" w:eastAsia="zh-CN"/>
              </w:rPr>
            </w:pPr>
            <w:r>
              <w:rPr>
                <w:rFonts w:hint="eastAsia"/>
                <w:color w:val="000000"/>
                <w:sz w:val="21"/>
                <w:szCs w:val="21"/>
                <w:lang w:val="en-US" w:eastAsia="zh-CN"/>
              </w:rPr>
              <w:t>2.59</w:t>
            </w:r>
          </w:p>
        </w:tc>
        <w:tc>
          <w:tcPr>
            <w:tcW w:w="1371" w:type="dxa"/>
            <w:noWrap w:val="0"/>
            <w:vAlign w:val="center"/>
          </w:tcPr>
          <w:p>
            <w:pPr>
              <w:adjustRightInd w:val="0"/>
              <w:snapToGrid w:val="0"/>
              <w:ind w:firstLine="0" w:firstLineChars="0"/>
              <w:jc w:val="center"/>
              <w:rPr>
                <w:rFonts w:hint="default" w:ascii="宋体" w:hAnsi="宋体" w:cs="宋体" w:eastAsiaTheme="minorEastAsia"/>
                <w:color w:val="000000"/>
                <w:sz w:val="21"/>
                <w:szCs w:val="21"/>
                <w:lang w:val="en-US" w:eastAsia="zh-CN"/>
              </w:rPr>
            </w:pPr>
            <w:r>
              <w:rPr>
                <w:rFonts w:hint="eastAsia"/>
                <w:color w:val="000000"/>
                <w:sz w:val="21"/>
                <w:szCs w:val="21"/>
                <w:lang w:val="en-US" w:eastAsia="zh-CN"/>
              </w:rPr>
              <w:t>2.63</w:t>
            </w:r>
          </w:p>
        </w:tc>
        <w:tc>
          <w:tcPr>
            <w:tcW w:w="1468" w:type="dxa"/>
            <w:noWrap w:val="0"/>
            <w:vAlign w:val="center"/>
          </w:tcPr>
          <w:p>
            <w:pPr>
              <w:adjustRightInd w:val="0"/>
              <w:snapToGrid w:val="0"/>
              <w:ind w:firstLine="0" w:firstLineChars="0"/>
              <w:jc w:val="center"/>
              <w:rPr>
                <w:rFonts w:hint="default" w:ascii="宋体" w:hAnsi="宋体" w:cs="宋体" w:eastAsiaTheme="minorEastAsia"/>
                <w:color w:val="000000"/>
                <w:sz w:val="21"/>
                <w:szCs w:val="21"/>
                <w:lang w:val="en-US" w:eastAsia="zh-CN"/>
              </w:rPr>
            </w:pPr>
            <w:r>
              <w:rPr>
                <w:rFonts w:hint="eastAsia"/>
                <w:color w:val="000000"/>
                <w:sz w:val="21"/>
                <w:szCs w:val="21"/>
                <w:lang w:val="en-US" w:eastAsia="zh-CN"/>
              </w:rPr>
              <w:t>2.61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jc w:val="center"/>
        </w:trPr>
        <w:tc>
          <w:tcPr>
            <w:tcW w:w="826" w:type="dxa"/>
            <w:noWrap w:val="0"/>
            <w:vAlign w:val="center"/>
          </w:tcPr>
          <w:p>
            <w:pPr>
              <w:pStyle w:val="26"/>
              <w:adjustRightInd w:val="0"/>
              <w:snapToGrid w:val="0"/>
              <w:spacing w:before="0" w:beforeAutospacing="0" w:after="0" w:afterAutospacing="0"/>
              <w:ind w:firstLine="0" w:firstLineChars="0"/>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w:t>
            </w:r>
          </w:p>
        </w:tc>
        <w:tc>
          <w:tcPr>
            <w:tcW w:w="2117" w:type="dxa"/>
            <w:noWrap w:val="0"/>
            <w:vAlign w:val="center"/>
          </w:tcPr>
          <w:p>
            <w:pPr>
              <w:pStyle w:val="26"/>
              <w:adjustRightInd w:val="0"/>
              <w:snapToGrid w:val="0"/>
              <w:spacing w:before="0" w:beforeAutospacing="0" w:after="0" w:afterAutospacing="0"/>
              <w:ind w:firstLine="0" w:firstLineChars="0"/>
              <w:jc w:val="center"/>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水</w:t>
            </w:r>
          </w:p>
        </w:tc>
        <w:tc>
          <w:tcPr>
            <w:tcW w:w="1370" w:type="dxa"/>
            <w:noWrap w:val="0"/>
            <w:vAlign w:val="center"/>
          </w:tcPr>
          <w:p>
            <w:pPr>
              <w:adjustRightInd w:val="0"/>
              <w:snapToGrid w:val="0"/>
              <w:ind w:firstLine="0" w:firstLineChars="0"/>
              <w:jc w:val="center"/>
              <w:rPr>
                <w:rFonts w:hint="default"/>
                <w:color w:val="000000"/>
                <w:sz w:val="21"/>
                <w:szCs w:val="21"/>
                <w:lang w:val="en-US" w:eastAsia="zh-CN"/>
              </w:rPr>
            </w:pPr>
            <w:r>
              <w:rPr>
                <w:rFonts w:hint="eastAsia"/>
                <w:color w:val="000000"/>
                <w:sz w:val="21"/>
                <w:szCs w:val="21"/>
                <w:lang w:val="en-US" w:eastAsia="zh-CN"/>
              </w:rPr>
              <w:t>0.013</w:t>
            </w:r>
          </w:p>
        </w:tc>
        <w:tc>
          <w:tcPr>
            <w:tcW w:w="1370" w:type="dxa"/>
            <w:noWrap w:val="0"/>
            <w:vAlign w:val="center"/>
          </w:tcPr>
          <w:p>
            <w:pPr>
              <w:adjustRightInd w:val="0"/>
              <w:snapToGrid w:val="0"/>
              <w:ind w:firstLine="0" w:firstLineChars="0"/>
              <w:jc w:val="center"/>
              <w:rPr>
                <w:rFonts w:hint="default" w:eastAsiaTheme="minorEastAsia"/>
                <w:color w:val="000000"/>
                <w:sz w:val="21"/>
                <w:szCs w:val="21"/>
                <w:lang w:val="en-US" w:eastAsia="zh-CN"/>
              </w:rPr>
            </w:pPr>
            <w:r>
              <w:rPr>
                <w:rFonts w:hint="eastAsia"/>
                <w:color w:val="000000"/>
                <w:sz w:val="21"/>
                <w:szCs w:val="21"/>
                <w:lang w:val="en-US" w:eastAsia="zh-CN"/>
              </w:rPr>
              <w:t>0.012</w:t>
            </w:r>
          </w:p>
        </w:tc>
        <w:tc>
          <w:tcPr>
            <w:tcW w:w="1371" w:type="dxa"/>
            <w:noWrap w:val="0"/>
            <w:vAlign w:val="center"/>
          </w:tcPr>
          <w:p>
            <w:pPr>
              <w:adjustRightInd w:val="0"/>
              <w:snapToGrid w:val="0"/>
              <w:ind w:firstLine="0" w:firstLineChars="0"/>
              <w:jc w:val="center"/>
              <w:rPr>
                <w:rFonts w:hint="default" w:eastAsiaTheme="minorEastAsia"/>
                <w:color w:val="000000"/>
                <w:sz w:val="21"/>
                <w:szCs w:val="21"/>
                <w:lang w:val="en-US" w:eastAsia="zh-CN"/>
              </w:rPr>
            </w:pPr>
            <w:r>
              <w:rPr>
                <w:rFonts w:hint="eastAsia"/>
                <w:color w:val="000000"/>
                <w:sz w:val="21"/>
                <w:szCs w:val="21"/>
                <w:lang w:val="en-US" w:eastAsia="zh-CN"/>
              </w:rPr>
              <w:t>0.013</w:t>
            </w:r>
          </w:p>
        </w:tc>
        <w:tc>
          <w:tcPr>
            <w:tcW w:w="1468" w:type="dxa"/>
            <w:noWrap w:val="0"/>
            <w:vAlign w:val="center"/>
          </w:tcPr>
          <w:p>
            <w:pPr>
              <w:adjustRightInd w:val="0"/>
              <w:snapToGrid w:val="0"/>
              <w:ind w:firstLine="0" w:firstLineChars="0"/>
              <w:jc w:val="center"/>
              <w:rPr>
                <w:rFonts w:hint="default" w:eastAsiaTheme="minorEastAsia"/>
                <w:color w:val="000000"/>
                <w:sz w:val="21"/>
                <w:szCs w:val="21"/>
                <w:lang w:val="en-US" w:eastAsia="zh-CN"/>
              </w:rPr>
            </w:pPr>
            <w:r>
              <w:rPr>
                <w:rFonts w:hint="eastAsia"/>
                <w:color w:val="000000"/>
                <w:sz w:val="21"/>
                <w:szCs w:val="21"/>
                <w:lang w:val="en-US" w:eastAsia="zh-CN"/>
              </w:rPr>
              <w:t>0.013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jc w:val="center"/>
        </w:trPr>
        <w:tc>
          <w:tcPr>
            <w:tcW w:w="826" w:type="dxa"/>
            <w:noWrap w:val="0"/>
            <w:vAlign w:val="center"/>
          </w:tcPr>
          <w:p>
            <w:pPr>
              <w:pStyle w:val="26"/>
              <w:adjustRightInd w:val="0"/>
              <w:snapToGrid w:val="0"/>
              <w:spacing w:before="0" w:beforeAutospacing="0" w:after="0" w:afterAutospacing="0"/>
              <w:ind w:firstLine="0" w:firstLineChars="0"/>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3</w:t>
            </w:r>
          </w:p>
        </w:tc>
        <w:tc>
          <w:tcPr>
            <w:tcW w:w="2117" w:type="dxa"/>
            <w:noWrap w:val="0"/>
            <w:vAlign w:val="center"/>
          </w:tcPr>
          <w:p>
            <w:pPr>
              <w:pStyle w:val="26"/>
              <w:adjustRightInd w:val="0"/>
              <w:snapToGrid w:val="0"/>
              <w:spacing w:before="0" w:beforeAutospacing="0" w:after="0" w:afterAutospacing="0"/>
              <w:ind w:firstLine="0" w:firstLineChars="0"/>
              <w:jc w:val="center"/>
              <w:rPr>
                <w:rFonts w:hint="default" w:ascii="Times New Roman" w:hAnsi="Times New Roman"/>
                <w:sz w:val="21"/>
                <w:szCs w:val="21"/>
                <w:lang w:val="en-US" w:eastAsia="zh-CN"/>
              </w:rPr>
            </w:pPr>
            <w:r>
              <w:rPr>
                <w:rFonts w:hint="eastAsia" w:ascii="Times New Roman" w:hAnsi="Times New Roman"/>
                <w:sz w:val="21"/>
                <w:szCs w:val="21"/>
                <w:lang w:val="en-US" w:eastAsia="zh-CN"/>
              </w:rPr>
              <w:t>泡棉</w:t>
            </w:r>
          </w:p>
        </w:tc>
        <w:tc>
          <w:tcPr>
            <w:tcW w:w="1370" w:type="dxa"/>
            <w:noWrap w:val="0"/>
            <w:vAlign w:val="center"/>
          </w:tcPr>
          <w:p>
            <w:pPr>
              <w:adjustRightInd w:val="0"/>
              <w:snapToGrid w:val="0"/>
              <w:ind w:firstLine="0" w:firstLineChars="0"/>
              <w:jc w:val="center"/>
              <w:rPr>
                <w:rFonts w:hint="default"/>
                <w:color w:val="000000"/>
                <w:sz w:val="21"/>
                <w:szCs w:val="21"/>
                <w:lang w:val="en-US" w:eastAsia="zh-CN"/>
              </w:rPr>
            </w:pPr>
            <w:r>
              <w:rPr>
                <w:rFonts w:hint="eastAsia"/>
                <w:color w:val="000000"/>
                <w:sz w:val="21"/>
                <w:szCs w:val="21"/>
                <w:lang w:val="en-US" w:eastAsia="zh-CN"/>
              </w:rPr>
              <w:t>259份</w:t>
            </w:r>
          </w:p>
        </w:tc>
        <w:tc>
          <w:tcPr>
            <w:tcW w:w="1370" w:type="dxa"/>
            <w:noWrap w:val="0"/>
            <w:vAlign w:val="center"/>
          </w:tcPr>
          <w:p>
            <w:pPr>
              <w:adjustRightInd w:val="0"/>
              <w:snapToGrid w:val="0"/>
              <w:ind w:firstLine="0" w:firstLineChars="0"/>
              <w:jc w:val="center"/>
              <w:rPr>
                <w:rFonts w:hint="default" w:eastAsiaTheme="minorEastAsia"/>
                <w:color w:val="000000"/>
                <w:sz w:val="21"/>
                <w:szCs w:val="21"/>
                <w:lang w:val="en-US" w:eastAsia="zh-CN"/>
              </w:rPr>
            </w:pPr>
            <w:r>
              <w:rPr>
                <w:rFonts w:hint="eastAsia"/>
                <w:color w:val="000000"/>
                <w:sz w:val="21"/>
                <w:szCs w:val="21"/>
                <w:lang w:val="en-US" w:eastAsia="zh-CN"/>
              </w:rPr>
              <w:t>256份</w:t>
            </w:r>
          </w:p>
        </w:tc>
        <w:tc>
          <w:tcPr>
            <w:tcW w:w="1371" w:type="dxa"/>
            <w:noWrap w:val="0"/>
            <w:vAlign w:val="center"/>
          </w:tcPr>
          <w:p>
            <w:pPr>
              <w:adjustRightInd w:val="0"/>
              <w:snapToGrid w:val="0"/>
              <w:ind w:firstLine="0" w:firstLineChars="0"/>
              <w:jc w:val="center"/>
              <w:rPr>
                <w:rFonts w:hint="default" w:eastAsiaTheme="minorEastAsia"/>
                <w:color w:val="000000"/>
                <w:sz w:val="21"/>
                <w:szCs w:val="21"/>
                <w:lang w:val="en-US" w:eastAsia="zh-CN"/>
              </w:rPr>
            </w:pPr>
            <w:r>
              <w:rPr>
                <w:rFonts w:hint="eastAsia"/>
                <w:color w:val="000000"/>
                <w:sz w:val="21"/>
                <w:szCs w:val="21"/>
                <w:lang w:val="en-US" w:eastAsia="zh-CN"/>
              </w:rPr>
              <w:t>259份</w:t>
            </w:r>
          </w:p>
        </w:tc>
        <w:tc>
          <w:tcPr>
            <w:tcW w:w="1468" w:type="dxa"/>
            <w:noWrap w:val="0"/>
            <w:vAlign w:val="center"/>
          </w:tcPr>
          <w:p>
            <w:pPr>
              <w:adjustRightInd w:val="0"/>
              <w:snapToGrid w:val="0"/>
              <w:ind w:firstLine="0" w:firstLineChars="0"/>
              <w:jc w:val="center"/>
              <w:rPr>
                <w:rFonts w:hint="default" w:eastAsiaTheme="minorEastAsia"/>
                <w:color w:val="000000"/>
                <w:sz w:val="21"/>
                <w:szCs w:val="21"/>
                <w:lang w:val="en-US" w:eastAsia="zh-CN"/>
              </w:rPr>
            </w:pPr>
            <w:r>
              <w:rPr>
                <w:rFonts w:hint="eastAsia"/>
                <w:color w:val="000000"/>
                <w:sz w:val="21"/>
                <w:szCs w:val="21"/>
                <w:lang w:val="en-US" w:eastAsia="zh-CN"/>
              </w:rPr>
              <w:t>258份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1" w:hRule="atLeast"/>
          <w:jc w:val="center"/>
        </w:trPr>
        <w:tc>
          <w:tcPr>
            <w:tcW w:w="826" w:type="dxa"/>
            <w:noWrap w:val="0"/>
            <w:vAlign w:val="center"/>
          </w:tcPr>
          <w:p>
            <w:pPr>
              <w:pStyle w:val="26"/>
              <w:adjustRightInd w:val="0"/>
              <w:snapToGrid w:val="0"/>
              <w:spacing w:before="0" w:beforeAutospacing="0" w:after="0" w:afterAutospacing="0"/>
              <w:ind w:firstLine="0" w:firstLineChars="0"/>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4</w:t>
            </w:r>
          </w:p>
        </w:tc>
        <w:tc>
          <w:tcPr>
            <w:tcW w:w="2117" w:type="dxa"/>
            <w:noWrap w:val="0"/>
            <w:vAlign w:val="center"/>
          </w:tcPr>
          <w:p>
            <w:pPr>
              <w:pStyle w:val="26"/>
              <w:adjustRightInd w:val="0"/>
              <w:snapToGrid w:val="0"/>
              <w:spacing w:before="0" w:beforeAutospacing="0" w:after="0" w:afterAutospacing="0"/>
              <w:ind w:firstLine="0" w:firstLineChars="0"/>
              <w:jc w:val="center"/>
              <w:rPr>
                <w:rFonts w:hint="default" w:ascii="Times New Roman" w:hAnsi="Times New Roman"/>
                <w:sz w:val="21"/>
                <w:szCs w:val="21"/>
                <w:lang w:val="en-US" w:eastAsia="zh-CN"/>
              </w:rPr>
            </w:pPr>
            <w:r>
              <w:rPr>
                <w:rFonts w:hint="eastAsia" w:ascii="Times New Roman" w:hAnsi="Times New Roman"/>
                <w:sz w:val="21"/>
                <w:szCs w:val="21"/>
                <w:lang w:val="en-US" w:eastAsia="zh-CN"/>
              </w:rPr>
              <w:t>边角料</w:t>
            </w:r>
          </w:p>
        </w:tc>
        <w:tc>
          <w:tcPr>
            <w:tcW w:w="1370" w:type="dxa"/>
            <w:noWrap w:val="0"/>
            <w:vAlign w:val="center"/>
          </w:tcPr>
          <w:p>
            <w:pPr>
              <w:adjustRightInd w:val="0"/>
              <w:snapToGrid w:val="0"/>
              <w:ind w:firstLine="0" w:firstLineChars="0"/>
              <w:jc w:val="center"/>
              <w:rPr>
                <w:rFonts w:hint="default"/>
                <w:color w:val="000000"/>
                <w:sz w:val="21"/>
                <w:szCs w:val="21"/>
                <w:lang w:val="en-US"/>
              </w:rPr>
            </w:pPr>
            <w:r>
              <w:rPr>
                <w:rFonts w:hint="eastAsia"/>
                <w:color w:val="000000"/>
                <w:sz w:val="21"/>
                <w:szCs w:val="21"/>
                <w:lang w:val="en-US" w:eastAsia="zh-CN"/>
              </w:rPr>
              <w:t>0.0003</w:t>
            </w:r>
          </w:p>
        </w:tc>
        <w:tc>
          <w:tcPr>
            <w:tcW w:w="1370" w:type="dxa"/>
            <w:noWrap w:val="0"/>
            <w:vAlign w:val="center"/>
          </w:tcPr>
          <w:p>
            <w:pPr>
              <w:adjustRightInd w:val="0"/>
              <w:snapToGrid w:val="0"/>
              <w:ind w:firstLine="0" w:firstLineChars="0"/>
              <w:jc w:val="center"/>
              <w:rPr>
                <w:rFonts w:hint="default" w:ascii="宋体" w:hAnsi="宋体" w:cs="宋体"/>
                <w:color w:val="000000"/>
                <w:sz w:val="21"/>
                <w:szCs w:val="21"/>
                <w:lang w:val="en-US"/>
              </w:rPr>
            </w:pPr>
            <w:r>
              <w:rPr>
                <w:rFonts w:hint="eastAsia"/>
                <w:color w:val="000000"/>
                <w:sz w:val="21"/>
                <w:szCs w:val="21"/>
                <w:lang w:val="en-US" w:eastAsia="zh-CN"/>
              </w:rPr>
              <w:t>0.0002</w:t>
            </w:r>
          </w:p>
        </w:tc>
        <w:tc>
          <w:tcPr>
            <w:tcW w:w="1371" w:type="dxa"/>
            <w:noWrap w:val="0"/>
            <w:vAlign w:val="center"/>
          </w:tcPr>
          <w:p>
            <w:pPr>
              <w:adjustRightInd w:val="0"/>
              <w:snapToGrid w:val="0"/>
              <w:ind w:firstLine="0" w:firstLineChars="0"/>
              <w:jc w:val="center"/>
              <w:rPr>
                <w:rFonts w:hint="default" w:ascii="宋体" w:hAnsi="宋体" w:cs="宋体"/>
                <w:color w:val="000000"/>
                <w:sz w:val="21"/>
                <w:szCs w:val="21"/>
                <w:lang w:val="en-US"/>
              </w:rPr>
            </w:pPr>
            <w:r>
              <w:rPr>
                <w:rFonts w:hint="eastAsia"/>
                <w:color w:val="000000"/>
                <w:sz w:val="21"/>
                <w:szCs w:val="21"/>
                <w:lang w:val="en-US" w:eastAsia="zh-CN"/>
              </w:rPr>
              <w:t>0.0013</w:t>
            </w:r>
          </w:p>
        </w:tc>
        <w:tc>
          <w:tcPr>
            <w:tcW w:w="1468" w:type="dxa"/>
            <w:noWrap w:val="0"/>
            <w:vAlign w:val="center"/>
          </w:tcPr>
          <w:p>
            <w:pPr>
              <w:adjustRightInd w:val="0"/>
              <w:snapToGrid w:val="0"/>
              <w:ind w:firstLine="0" w:firstLineChars="0"/>
              <w:jc w:val="center"/>
              <w:rPr>
                <w:rFonts w:hint="default" w:ascii="宋体" w:hAnsi="宋体" w:cs="宋体" w:eastAsiaTheme="minorEastAsia"/>
                <w:color w:val="000000"/>
                <w:sz w:val="21"/>
                <w:szCs w:val="21"/>
                <w:lang w:val="en-US" w:eastAsia="zh-CN"/>
              </w:rPr>
            </w:pPr>
            <w:r>
              <w:rPr>
                <w:rFonts w:hint="eastAsia"/>
                <w:color w:val="000000"/>
                <w:sz w:val="21"/>
                <w:szCs w:val="21"/>
                <w:lang w:val="en-US" w:eastAsia="zh-CN"/>
              </w:rPr>
              <w:t>0.0006</w:t>
            </w:r>
          </w:p>
        </w:tc>
      </w:tr>
    </w:tbl>
    <w:p>
      <w:pPr>
        <w:pStyle w:val="3"/>
        <w:widowControl w:val="0"/>
        <w:adjustRightInd/>
        <w:snapToGrid/>
        <w:spacing w:beforeLines="50" w:after="0" w:line="360" w:lineRule="auto"/>
        <w:rPr>
          <w:rFonts w:ascii="Times New Roman" w:hAnsi="Times New Roman"/>
          <w:sz w:val="30"/>
          <w:szCs w:val="30"/>
        </w:rPr>
      </w:pPr>
      <w:bookmarkStart w:id="178" w:name="_Toc31902"/>
      <w:r>
        <w:rPr>
          <w:rFonts w:hint="eastAsia" w:ascii="Times New Roman" w:hAnsi="Times New Roman"/>
          <w:sz w:val="30"/>
          <w:szCs w:val="30"/>
        </w:rPr>
        <w:t>4.3建立物料平衡及损失分析</w:t>
      </w:r>
      <w:bookmarkEnd w:id="176"/>
      <w:bookmarkEnd w:id="177"/>
      <w:bookmarkEnd w:id="178"/>
    </w:p>
    <w:p>
      <w:pPr>
        <w:pStyle w:val="26"/>
        <w:spacing w:before="120" w:beforeAutospacing="0" w:after="0" w:afterAutospacing="0"/>
        <w:ind w:firstLine="480"/>
        <w:jc w:val="both"/>
        <w:rPr>
          <w:rFonts w:ascii="Times New Roman" w:cs="Times New Roman"/>
          <w:kern w:val="2"/>
        </w:rPr>
      </w:pPr>
      <w:r>
        <w:rPr>
          <w:rFonts w:ascii="Times New Roman" w:cs="Times New Roman"/>
          <w:kern w:val="2"/>
        </w:rPr>
        <w:t>为了绘制审核重点的物料平衡图，审核小组对前述实测进行了分类汇总，汇总结果见表</w:t>
      </w:r>
      <w:r>
        <w:rPr>
          <w:rFonts w:hint="eastAsia" w:ascii="Times New Roman" w:cs="Times New Roman"/>
          <w:kern w:val="2"/>
        </w:rPr>
        <w:t>4-</w:t>
      </w:r>
      <w:r>
        <w:rPr>
          <w:rFonts w:hint="eastAsia" w:ascii="Times New Roman" w:cs="Times New Roman"/>
          <w:kern w:val="2"/>
          <w:lang w:val="en-US" w:eastAsia="zh-CN"/>
        </w:rPr>
        <w:t>4</w:t>
      </w:r>
      <w:r>
        <w:rPr>
          <w:rFonts w:hint="eastAsia" w:ascii="Times New Roman" w:cs="Times New Roman"/>
          <w:kern w:val="2"/>
        </w:rPr>
        <w:t>。</w:t>
      </w:r>
    </w:p>
    <w:p>
      <w:pPr>
        <w:spacing w:line="360" w:lineRule="auto"/>
        <w:ind w:firstLine="200"/>
        <w:jc w:val="center"/>
        <w:rPr>
          <w:rFonts w:asciiTheme="minorEastAsia" w:hAnsiTheme="minorEastAsia"/>
          <w:b/>
          <w:sz w:val="24"/>
          <w:szCs w:val="24"/>
        </w:rPr>
      </w:pPr>
      <w:r>
        <w:rPr>
          <w:rFonts w:asciiTheme="minorEastAsia" w:hAnsiTheme="minorEastAsia"/>
          <w:b/>
          <w:sz w:val="24"/>
          <w:szCs w:val="24"/>
        </w:rPr>
        <w:t>表</w:t>
      </w:r>
      <w:r>
        <w:rPr>
          <w:rFonts w:hint="eastAsia" w:asciiTheme="minorEastAsia" w:hAnsiTheme="minorEastAsia"/>
          <w:b/>
          <w:sz w:val="24"/>
          <w:szCs w:val="24"/>
        </w:rPr>
        <w:t>4-</w:t>
      </w:r>
      <w:r>
        <w:rPr>
          <w:rFonts w:hint="eastAsia" w:asciiTheme="minorEastAsia" w:hAnsiTheme="minorEastAsia"/>
          <w:b/>
          <w:sz w:val="24"/>
          <w:szCs w:val="24"/>
          <w:lang w:val="en-US" w:eastAsia="zh-CN"/>
        </w:rPr>
        <w:t>4</w:t>
      </w:r>
      <w:r>
        <w:rPr>
          <w:rFonts w:hint="eastAsia" w:asciiTheme="minorEastAsia" w:hAnsiTheme="minorEastAsia"/>
          <w:b/>
          <w:sz w:val="24"/>
          <w:szCs w:val="24"/>
        </w:rPr>
        <w:t xml:space="preserve">  审核重点</w:t>
      </w:r>
      <w:r>
        <w:rPr>
          <w:rFonts w:asciiTheme="minorEastAsia" w:hAnsiTheme="minorEastAsia"/>
          <w:b/>
          <w:sz w:val="24"/>
          <w:szCs w:val="24"/>
        </w:rPr>
        <w:t>输入和输出物料汇总表</w:t>
      </w:r>
    </w:p>
    <w:tbl>
      <w:tblPr>
        <w:tblStyle w:val="27"/>
        <w:tblW w:w="5000" w:type="pct"/>
        <w:tblInd w:w="10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10"/>
        <w:gridCol w:w="1988"/>
        <w:gridCol w:w="2123"/>
        <w:gridCol w:w="20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398" w:type="dxa"/>
            <w:gridSpan w:val="2"/>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b/>
                <w:sz w:val="21"/>
                <w:szCs w:val="21"/>
              </w:rPr>
            </w:pPr>
            <w:r>
              <w:rPr>
                <w:rFonts w:ascii="Times New Roman" w:hAnsi="Times New Roman" w:cs="Times New Roman"/>
                <w:b/>
                <w:sz w:val="21"/>
                <w:szCs w:val="21"/>
              </w:rPr>
              <w:t>输入量（</w:t>
            </w:r>
            <w:r>
              <w:rPr>
                <w:rFonts w:hint="eastAsia" w:ascii="Times New Roman" w:hAnsi="Times New Roman" w:cs="Times New Roman"/>
                <w:b/>
                <w:sz w:val="21"/>
                <w:szCs w:val="21"/>
                <w:lang w:val="en-US" w:eastAsia="zh-CN"/>
              </w:rPr>
              <w:t>t</w:t>
            </w:r>
            <w:r>
              <w:rPr>
                <w:rFonts w:ascii="Times New Roman" w:hAnsi="Times New Roman" w:cs="Times New Roman"/>
                <w:b/>
                <w:sz w:val="21"/>
                <w:szCs w:val="21"/>
              </w:rPr>
              <w:t>）</w:t>
            </w:r>
          </w:p>
        </w:tc>
        <w:tc>
          <w:tcPr>
            <w:tcW w:w="4124" w:type="dxa"/>
            <w:gridSpan w:val="2"/>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b/>
                <w:sz w:val="21"/>
                <w:szCs w:val="21"/>
              </w:rPr>
            </w:pPr>
            <w:r>
              <w:rPr>
                <w:rFonts w:ascii="Times New Roman" w:hAnsi="Times New Roman" w:cs="Times New Roman"/>
                <w:b/>
                <w:sz w:val="21"/>
                <w:szCs w:val="21"/>
              </w:rPr>
              <w:t>输出量（</w:t>
            </w:r>
            <w:r>
              <w:rPr>
                <w:rFonts w:hint="eastAsia" w:ascii="Times New Roman" w:hAnsi="Times New Roman" w:cs="Times New Roman"/>
                <w:b/>
                <w:sz w:val="21"/>
                <w:szCs w:val="21"/>
                <w:lang w:val="en-US" w:eastAsia="zh-CN"/>
              </w:rPr>
              <w:t>t</w:t>
            </w:r>
            <w:r>
              <w:rPr>
                <w:rFonts w:ascii="Times New Roman" w:hAnsi="Times New Roman" w:cs="Times New Roman"/>
                <w:b/>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10" w:type="dxa"/>
            <w:shd w:val="clear" w:color="auto" w:fill="auto"/>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sz w:val="21"/>
                <w:szCs w:val="21"/>
              </w:rPr>
            </w:pPr>
            <w:r>
              <w:rPr>
                <w:rFonts w:hint="eastAsia" w:ascii="Times New Roman" w:hAnsi="Times New Roman"/>
                <w:sz w:val="21"/>
                <w:szCs w:val="21"/>
                <w:lang w:val="en-US" w:eastAsia="zh-CN"/>
              </w:rPr>
              <w:t>化料</w:t>
            </w:r>
          </w:p>
        </w:tc>
        <w:tc>
          <w:tcPr>
            <w:tcW w:w="1988" w:type="dxa"/>
            <w:shd w:val="clear" w:color="auto" w:fill="auto"/>
            <w:noWrap w:val="0"/>
            <w:vAlign w:val="center"/>
          </w:tcPr>
          <w:p>
            <w:pPr>
              <w:adjustRightInd w:val="0"/>
              <w:snapToGrid w:val="0"/>
              <w:ind w:firstLine="0" w:firstLineChars="0"/>
              <w:jc w:val="center"/>
              <w:rPr>
                <w:rFonts w:hint="default" w:ascii="Times New Roman" w:hAnsi="Times New Roman" w:cs="Times New Roman" w:eastAsiaTheme="minorEastAsia"/>
                <w:color w:val="FF0000"/>
                <w:sz w:val="21"/>
                <w:szCs w:val="21"/>
                <w:lang w:val="en-US" w:eastAsia="zh-CN"/>
              </w:rPr>
            </w:pPr>
            <w:r>
              <w:rPr>
                <w:rFonts w:hint="eastAsia"/>
                <w:color w:val="000000"/>
                <w:sz w:val="21"/>
                <w:szCs w:val="21"/>
                <w:lang w:val="en-US" w:eastAsia="zh-CN"/>
              </w:rPr>
              <w:t>2.61</w:t>
            </w:r>
          </w:p>
        </w:tc>
        <w:tc>
          <w:tcPr>
            <w:tcW w:w="2123"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sz w:val="21"/>
                <w:szCs w:val="21"/>
              </w:rPr>
            </w:pPr>
            <w:r>
              <w:rPr>
                <w:rFonts w:hint="eastAsia" w:ascii="Times New Roman" w:hAnsi="Times New Roman"/>
                <w:sz w:val="21"/>
                <w:szCs w:val="21"/>
                <w:lang w:val="en-US" w:eastAsia="zh-CN"/>
              </w:rPr>
              <w:t>泡棉</w:t>
            </w:r>
          </w:p>
        </w:tc>
        <w:tc>
          <w:tcPr>
            <w:tcW w:w="2001" w:type="dxa"/>
            <w:noWrap w:val="0"/>
            <w:vAlign w:val="center"/>
          </w:tcPr>
          <w:p>
            <w:pPr>
              <w:adjustRightInd w:val="0"/>
              <w:snapToGrid w:val="0"/>
              <w:ind w:firstLine="0" w:firstLineChars="0"/>
              <w:jc w:val="center"/>
              <w:rPr>
                <w:rFonts w:hint="default"/>
                <w:color w:val="FF0000"/>
                <w:sz w:val="21"/>
                <w:szCs w:val="21"/>
                <w:lang w:val="en-US"/>
              </w:rPr>
            </w:pPr>
            <w:r>
              <w:rPr>
                <w:rFonts w:hint="eastAsia"/>
                <w:color w:val="000000"/>
                <w:sz w:val="21"/>
                <w:szCs w:val="21"/>
                <w:lang w:val="en-US" w:eastAsia="zh-CN"/>
              </w:rPr>
              <w:t>2.58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10" w:type="dxa"/>
            <w:shd w:val="clear" w:color="auto" w:fill="auto"/>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sz w:val="21"/>
                <w:szCs w:val="21"/>
              </w:rPr>
            </w:pPr>
            <w:r>
              <w:rPr>
                <w:rFonts w:hint="eastAsia" w:ascii="Times New Roman" w:hAnsi="Times New Roman"/>
                <w:sz w:val="21"/>
                <w:szCs w:val="21"/>
                <w:lang w:val="en-US" w:eastAsia="zh-CN"/>
              </w:rPr>
              <w:t>水</w:t>
            </w:r>
          </w:p>
        </w:tc>
        <w:tc>
          <w:tcPr>
            <w:tcW w:w="1988" w:type="dxa"/>
            <w:shd w:val="clear" w:color="auto" w:fill="auto"/>
            <w:noWrap w:val="0"/>
            <w:vAlign w:val="center"/>
          </w:tcPr>
          <w:p>
            <w:pPr>
              <w:adjustRightInd w:val="0"/>
              <w:snapToGrid w:val="0"/>
              <w:ind w:firstLine="0" w:firstLineChars="0"/>
              <w:jc w:val="center"/>
              <w:rPr>
                <w:rFonts w:hint="default" w:ascii="Times New Roman" w:hAnsi="Times New Roman" w:cs="Times New Roman" w:eastAsiaTheme="minorEastAsia"/>
                <w:color w:val="FF0000"/>
                <w:sz w:val="21"/>
                <w:szCs w:val="21"/>
                <w:lang w:val="en-US" w:eastAsia="zh-CN"/>
              </w:rPr>
            </w:pPr>
            <w:r>
              <w:rPr>
                <w:rFonts w:hint="eastAsia"/>
                <w:color w:val="000000"/>
                <w:sz w:val="21"/>
                <w:szCs w:val="21"/>
                <w:lang w:val="en-US" w:eastAsia="zh-CN"/>
              </w:rPr>
              <w:t>0.013</w:t>
            </w:r>
          </w:p>
        </w:tc>
        <w:tc>
          <w:tcPr>
            <w:tcW w:w="2123"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sz w:val="21"/>
                <w:szCs w:val="21"/>
              </w:rPr>
            </w:pPr>
            <w:r>
              <w:rPr>
                <w:rFonts w:hint="eastAsia" w:ascii="Times New Roman" w:hAnsi="Times New Roman"/>
                <w:sz w:val="21"/>
                <w:szCs w:val="21"/>
                <w:lang w:val="en-US" w:eastAsia="zh-CN"/>
              </w:rPr>
              <w:t>边角料</w:t>
            </w:r>
          </w:p>
        </w:tc>
        <w:tc>
          <w:tcPr>
            <w:tcW w:w="2001" w:type="dxa"/>
            <w:noWrap w:val="0"/>
            <w:vAlign w:val="center"/>
          </w:tcPr>
          <w:p>
            <w:pPr>
              <w:adjustRightInd w:val="0"/>
              <w:snapToGrid w:val="0"/>
              <w:ind w:firstLine="0" w:firstLineChars="0"/>
              <w:jc w:val="center"/>
              <w:rPr>
                <w:color w:val="FF0000"/>
                <w:sz w:val="21"/>
                <w:szCs w:val="21"/>
              </w:rPr>
            </w:pPr>
            <w:r>
              <w:rPr>
                <w:rFonts w:hint="eastAsia"/>
                <w:color w:val="000000"/>
                <w:sz w:val="21"/>
                <w:szCs w:val="21"/>
                <w:lang w:val="en-US" w:eastAsia="zh-CN"/>
              </w:rPr>
              <w:t>0.0006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2410"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sz w:val="21"/>
                <w:szCs w:val="21"/>
              </w:rPr>
            </w:pPr>
            <w:r>
              <w:rPr>
                <w:rFonts w:ascii="Times New Roman" w:hAnsi="Times New Roman" w:cs="Times New Roman"/>
                <w:sz w:val="21"/>
                <w:szCs w:val="21"/>
              </w:rPr>
              <w:t>合计</w:t>
            </w:r>
          </w:p>
        </w:tc>
        <w:tc>
          <w:tcPr>
            <w:tcW w:w="1988"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2.623</w:t>
            </w:r>
          </w:p>
        </w:tc>
        <w:tc>
          <w:tcPr>
            <w:tcW w:w="2123" w:type="dxa"/>
            <w:noWrap w:val="0"/>
            <w:vAlign w:val="center"/>
          </w:tcPr>
          <w:p>
            <w:pPr>
              <w:pStyle w:val="26"/>
              <w:adjustRightInd w:val="0"/>
              <w:snapToGrid w:val="0"/>
              <w:spacing w:before="0" w:beforeAutospacing="0" w:after="0" w:afterAutospacing="0"/>
              <w:ind w:firstLine="0" w:firstLineChars="0"/>
              <w:jc w:val="center"/>
              <w:rPr>
                <w:rFonts w:ascii="Times New Roman" w:hAnsi="Times New Roman" w:cs="Times New Roman"/>
                <w:sz w:val="21"/>
                <w:szCs w:val="21"/>
              </w:rPr>
            </w:pPr>
            <w:r>
              <w:rPr>
                <w:rFonts w:ascii="Times New Roman" w:hAnsi="Times New Roman" w:cs="Times New Roman"/>
                <w:sz w:val="21"/>
                <w:szCs w:val="21"/>
              </w:rPr>
              <w:t>合计</w:t>
            </w:r>
          </w:p>
        </w:tc>
        <w:tc>
          <w:tcPr>
            <w:tcW w:w="2001"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2.5806</w:t>
            </w:r>
          </w:p>
        </w:tc>
      </w:tr>
    </w:tbl>
    <w:p>
      <w:pPr>
        <w:spacing w:before="120"/>
        <w:ind w:firstLine="559" w:firstLineChars="233"/>
        <w:textAlignment w:val="baseline"/>
        <w:rPr>
          <w:rFonts w:ascii="Times New Roman" w:hAnsi="宋体" w:eastAsia="宋体"/>
          <w:sz w:val="24"/>
          <w:szCs w:val="24"/>
        </w:rPr>
      </w:pPr>
      <w:r>
        <w:rPr>
          <w:rFonts w:hint="eastAsia" w:ascii="Times New Roman" w:hAnsi="宋体" w:eastAsia="宋体"/>
          <w:sz w:val="24"/>
          <w:szCs w:val="24"/>
        </w:rPr>
        <w:t>根据上述统计数据， 可做如下物料平衡图：</w:t>
      </w:r>
    </w:p>
    <w:p>
      <w:pPr>
        <w:spacing w:before="120"/>
        <w:jc w:val="center"/>
        <w:rPr>
          <w:color w:val="FF0000"/>
        </w:rPr>
      </w:pPr>
      <w:r>
        <w:rPr>
          <w:color w:val="FF0000"/>
          <w:kern w:val="0"/>
        </w:rPr>
        <mc:AlternateContent>
          <mc:Choice Requires="wpc">
            <w:drawing>
              <wp:inline distT="0" distB="0" distL="114300" distR="114300">
                <wp:extent cx="5177790" cy="2443480"/>
                <wp:effectExtent l="0" t="0" r="0" b="0"/>
                <wp:docPr id="43" name="画布 3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 name="矩形 316"/>
                        <wps:cNvSpPr/>
                        <wps:spPr>
                          <a:xfrm>
                            <a:off x="1828800" y="103532"/>
                            <a:ext cx="1010920" cy="214622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ind w:firstLine="0" w:firstLineChars="0"/>
                                <w:jc w:val="left"/>
                                <w:rPr>
                                  <w:rFonts w:hint="eastAsia" w:hAnsi="宋体"/>
                                  <w:b/>
                                  <w:sz w:val="21"/>
                                  <w:szCs w:val="21"/>
                                </w:rPr>
                              </w:pPr>
                            </w:p>
                            <w:p>
                              <w:pPr>
                                <w:spacing w:line="300" w:lineRule="exact"/>
                                <w:ind w:firstLine="0" w:firstLineChars="0"/>
                                <w:jc w:val="left"/>
                                <w:rPr>
                                  <w:rFonts w:hint="eastAsia" w:hAnsi="宋体"/>
                                  <w:b/>
                                  <w:sz w:val="21"/>
                                  <w:szCs w:val="21"/>
                                </w:rPr>
                              </w:pPr>
                            </w:p>
                            <w:p>
                              <w:pPr>
                                <w:spacing w:line="300" w:lineRule="exact"/>
                                <w:ind w:firstLine="0" w:firstLineChars="0"/>
                                <w:jc w:val="left"/>
                                <w:rPr>
                                  <w:rFonts w:hint="eastAsia" w:hAnsi="宋体"/>
                                  <w:b/>
                                  <w:sz w:val="21"/>
                                  <w:szCs w:val="21"/>
                                </w:rPr>
                              </w:pPr>
                            </w:p>
                            <w:p>
                              <w:pPr>
                                <w:spacing w:line="300" w:lineRule="exact"/>
                                <w:ind w:firstLine="0" w:firstLineChars="0"/>
                                <w:jc w:val="center"/>
                                <w:rPr>
                                  <w:rFonts w:hint="eastAsia"/>
                                  <w:b/>
                                  <w:sz w:val="21"/>
                                  <w:szCs w:val="21"/>
                                </w:rPr>
                              </w:pPr>
                              <w:r>
                                <w:rPr>
                                  <w:b/>
                                  <w:sz w:val="21"/>
                                  <w:szCs w:val="21"/>
                                </w:rPr>
                                <w:t>生产车间</w:t>
                              </w:r>
                            </w:p>
                            <w:p>
                              <w:pPr>
                                <w:spacing w:line="300" w:lineRule="exact"/>
                                <w:ind w:firstLine="0" w:firstLineChars="0"/>
                                <w:jc w:val="center"/>
                                <w:rPr>
                                  <w:rFonts w:hint="eastAsia"/>
                                  <w:b/>
                                  <w:sz w:val="21"/>
                                  <w:szCs w:val="21"/>
                                </w:rPr>
                              </w:pPr>
                            </w:p>
                            <w:p>
                              <w:pPr>
                                <w:spacing w:line="300" w:lineRule="exact"/>
                                <w:ind w:firstLine="0" w:firstLineChars="0"/>
                                <w:jc w:val="center"/>
                                <w:rPr>
                                  <w:b/>
                                  <w:sz w:val="21"/>
                                  <w:szCs w:val="21"/>
                                </w:rPr>
                              </w:pPr>
                            </w:p>
                          </w:txbxContent>
                        </wps:txbx>
                        <wps:bodyPr lIns="0" tIns="0" rIns="0" bIns="0" upright="1"/>
                      </wps:wsp>
                      <wps:wsp>
                        <wps:cNvPr id="32" name="矩形 325"/>
                        <wps:cNvSpPr/>
                        <wps:spPr>
                          <a:xfrm>
                            <a:off x="3432175" y="262323"/>
                            <a:ext cx="1254125" cy="297892"/>
                          </a:xfrm>
                          <a:prstGeom prst="rect">
                            <a:avLst/>
                          </a:prstGeom>
                          <a:solidFill>
                            <a:srgbClr val="FFFFFF"/>
                          </a:solidFill>
                          <a:ln>
                            <a:noFill/>
                          </a:ln>
                        </wps:spPr>
                        <wps:txbx>
                          <w:txbxContent>
                            <w:p>
                              <w:pPr>
                                <w:ind w:firstLine="0" w:firstLineChars="0"/>
                                <w:rPr>
                                  <w:rFonts w:hint="default"/>
                                  <w:lang w:val="en-US"/>
                                </w:rPr>
                              </w:pPr>
                              <w:r>
                                <w:rPr>
                                  <w:rFonts w:hint="eastAsia"/>
                                  <w:b/>
                                  <w:kern w:val="0"/>
                                  <w:sz w:val="21"/>
                                  <w:szCs w:val="21"/>
                                  <w:lang w:val="en-US" w:eastAsia="zh-CN"/>
                                </w:rPr>
                                <w:t>泡棉2.58吨</w:t>
                              </w:r>
                            </w:p>
                          </w:txbxContent>
                        </wps:txbx>
                        <wps:bodyPr lIns="0" tIns="0" rIns="0" bIns="0" upright="1"/>
                      </wps:wsp>
                      <wps:wsp>
                        <wps:cNvPr id="33" name="直线 326"/>
                        <wps:cNvSpPr/>
                        <wps:spPr>
                          <a:xfrm>
                            <a:off x="2849245" y="415398"/>
                            <a:ext cx="571500" cy="635"/>
                          </a:xfrm>
                          <a:prstGeom prst="line">
                            <a:avLst/>
                          </a:prstGeom>
                          <a:ln w="9525" cap="flat" cmpd="sng">
                            <a:solidFill>
                              <a:srgbClr val="000000"/>
                            </a:solidFill>
                            <a:prstDash val="solid"/>
                            <a:headEnd type="none" w="med" len="med"/>
                            <a:tailEnd type="triangle" w="med" len="med"/>
                          </a:ln>
                        </wps:spPr>
                        <wps:bodyPr upright="1"/>
                      </wps:wsp>
                      <wps:wsp>
                        <wps:cNvPr id="34" name="直线 329"/>
                        <wps:cNvSpPr/>
                        <wps:spPr>
                          <a:xfrm>
                            <a:off x="1266825" y="741238"/>
                            <a:ext cx="571500" cy="635"/>
                          </a:xfrm>
                          <a:prstGeom prst="line">
                            <a:avLst/>
                          </a:prstGeom>
                          <a:ln w="9525" cap="flat" cmpd="sng">
                            <a:solidFill>
                              <a:srgbClr val="000000"/>
                            </a:solidFill>
                            <a:prstDash val="solid"/>
                            <a:headEnd type="none" w="med" len="med"/>
                            <a:tailEnd type="triangle" w="med" len="med"/>
                          </a:ln>
                        </wps:spPr>
                        <wps:bodyPr upright="1"/>
                      </wps:wsp>
                      <wps:wsp>
                        <wps:cNvPr id="38" name="矩形 331"/>
                        <wps:cNvSpPr/>
                        <wps:spPr>
                          <a:xfrm>
                            <a:off x="163830" y="656761"/>
                            <a:ext cx="1050925" cy="297257"/>
                          </a:xfrm>
                          <a:prstGeom prst="rect">
                            <a:avLst/>
                          </a:prstGeom>
                          <a:solidFill>
                            <a:srgbClr val="FFFFFF"/>
                          </a:solidFill>
                          <a:ln>
                            <a:noFill/>
                          </a:ln>
                        </wps:spPr>
                        <wps:txbx>
                          <w:txbxContent>
                            <w:p>
                              <w:pPr>
                                <w:ind w:firstLine="0" w:firstLineChars="0"/>
                                <w:rPr>
                                  <w:rFonts w:hint="default"/>
                                  <w:b/>
                                  <w:sz w:val="21"/>
                                  <w:szCs w:val="21"/>
                                  <w:lang w:val="en-US"/>
                                </w:rPr>
                              </w:pPr>
                              <w:r>
                                <w:rPr>
                                  <w:rFonts w:hint="eastAsia"/>
                                  <w:b/>
                                  <w:sz w:val="21"/>
                                  <w:szCs w:val="21"/>
                                  <w:lang w:val="en-US" w:eastAsia="zh-CN"/>
                                </w:rPr>
                                <w:t>化料2.61吨</w:t>
                              </w:r>
                            </w:p>
                          </w:txbxContent>
                        </wps:txbx>
                        <wps:bodyPr lIns="0" tIns="0" rIns="0" bIns="0" upright="1"/>
                      </wps:wsp>
                      <wps:wsp>
                        <wps:cNvPr id="39" name="直线 333"/>
                        <wps:cNvSpPr/>
                        <wps:spPr>
                          <a:xfrm>
                            <a:off x="2858770" y="1269060"/>
                            <a:ext cx="571500" cy="635"/>
                          </a:xfrm>
                          <a:prstGeom prst="line">
                            <a:avLst/>
                          </a:prstGeom>
                          <a:ln w="9525" cap="flat" cmpd="sng">
                            <a:solidFill>
                              <a:srgbClr val="000000"/>
                            </a:solidFill>
                            <a:prstDash val="solid"/>
                            <a:headEnd type="none" w="med" len="med"/>
                            <a:tailEnd type="triangle" w="med" len="med"/>
                          </a:ln>
                        </wps:spPr>
                        <wps:bodyPr upright="1"/>
                      </wps:wsp>
                      <wps:wsp>
                        <wps:cNvPr id="40" name="矩形 334"/>
                        <wps:cNvSpPr/>
                        <wps:spPr>
                          <a:xfrm>
                            <a:off x="3441700" y="1120431"/>
                            <a:ext cx="1254125" cy="297892"/>
                          </a:xfrm>
                          <a:prstGeom prst="rect">
                            <a:avLst/>
                          </a:prstGeom>
                          <a:solidFill>
                            <a:srgbClr val="FFFFFF"/>
                          </a:solidFill>
                          <a:ln>
                            <a:noFill/>
                          </a:ln>
                        </wps:spPr>
                        <wps:txbx>
                          <w:txbxContent>
                            <w:p>
                              <w:pPr>
                                <w:ind w:firstLine="0" w:firstLineChars="0"/>
                                <w:rPr>
                                  <w:rFonts w:hint="default" w:eastAsiaTheme="minorEastAsia"/>
                                  <w:b/>
                                  <w:bCs/>
                                  <w:lang w:val="en-US" w:eastAsia="zh-CN"/>
                                </w:rPr>
                              </w:pPr>
                              <w:r>
                                <w:rPr>
                                  <w:rFonts w:hint="eastAsia"/>
                                  <w:b/>
                                  <w:bCs/>
                                  <w:lang w:val="en-US" w:eastAsia="zh-CN"/>
                                </w:rPr>
                                <w:t>边角料 0.0006吨</w:t>
                              </w:r>
                            </w:p>
                          </w:txbxContent>
                        </wps:txbx>
                        <wps:bodyPr lIns="0" tIns="0" rIns="0" bIns="0" upright="1"/>
                      </wps:wsp>
                      <wps:wsp>
                        <wps:cNvPr id="41" name="直线 336"/>
                        <wps:cNvSpPr/>
                        <wps:spPr>
                          <a:xfrm>
                            <a:off x="1219200" y="1505341"/>
                            <a:ext cx="571500" cy="0"/>
                          </a:xfrm>
                          <a:prstGeom prst="line">
                            <a:avLst/>
                          </a:prstGeom>
                          <a:ln w="9525" cap="flat" cmpd="sng">
                            <a:solidFill>
                              <a:srgbClr val="000000"/>
                            </a:solidFill>
                            <a:prstDash val="solid"/>
                            <a:headEnd type="none" w="med" len="med"/>
                            <a:tailEnd type="triangle" w="med" len="med"/>
                          </a:ln>
                        </wps:spPr>
                        <wps:bodyPr upright="1"/>
                      </wps:wsp>
                      <wps:wsp>
                        <wps:cNvPr id="42" name="矩形 338"/>
                        <wps:cNvSpPr/>
                        <wps:spPr>
                          <a:xfrm>
                            <a:off x="92075" y="1357983"/>
                            <a:ext cx="1102360" cy="395073"/>
                          </a:xfrm>
                          <a:prstGeom prst="rect">
                            <a:avLst/>
                          </a:prstGeom>
                          <a:solidFill>
                            <a:srgbClr val="FFFFFF"/>
                          </a:solidFill>
                          <a:ln>
                            <a:noFill/>
                          </a:ln>
                        </wps:spPr>
                        <wps:txbx>
                          <w:txbxContent>
                            <w:p>
                              <w:pPr>
                                <w:ind w:firstLine="0" w:firstLineChars="0"/>
                                <w:rPr>
                                  <w:rFonts w:hint="default" w:eastAsiaTheme="minorEastAsia"/>
                                  <w:b/>
                                  <w:sz w:val="21"/>
                                  <w:szCs w:val="21"/>
                                  <w:lang w:val="en-US" w:eastAsia="zh-CN"/>
                                </w:rPr>
                              </w:pPr>
                              <w:r>
                                <w:rPr>
                                  <w:rFonts w:hint="eastAsia"/>
                                  <w:b/>
                                  <w:sz w:val="21"/>
                                  <w:szCs w:val="21"/>
                                  <w:lang w:val="en-US" w:eastAsia="zh-CN"/>
                                </w:rPr>
                                <w:t>水 0.013吨</w:t>
                              </w:r>
                            </w:p>
                          </w:txbxContent>
                        </wps:txbx>
                        <wps:bodyPr lIns="0" tIns="0" rIns="0" bIns="0" upright="1"/>
                      </wps:wsp>
                    </wpc:wpc>
                  </a:graphicData>
                </a:graphic>
              </wp:inline>
            </w:drawing>
          </mc:Choice>
          <mc:Fallback>
            <w:pict>
              <v:group id="画布 314" o:spid="_x0000_s1026" o:spt="203" style="height:192.4pt;width:407.7pt;" coordsize="5177790,2443480" editas="canvas" o:gfxdata="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">
                <o:lock v:ext="edit" aspectratio="f"/>
                <v:rect id="画布 314" o:spid="_x0000_s1026" o:spt="1" style="position:absolute;left:0;top:0;height:2443480;width:5177790;" filled="f" stroked="f" coordsize="21600,21600" o:gfxdata="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">
                  <v:fill on="f" focussize="0,0"/>
                  <v:stroke on="f"/>
                  <v:imagedata o:title=""/>
                  <o:lock v:ext="edit" rotation="t" text="t" aspectratio="t"/>
                </v:rect>
                <v:rect id="矩形 316" o:spid="_x0000_s1026" o:spt="1" style="position:absolute;left:1828800;top:103531;height:2146222;width:1010920;" fillcolor="#FFFFFF" filled="t" stroked="t" coordsize="21600,21600" o:gfxdata="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cJCIo1wAAAAUB&#10;AAAPAAAAAAAAAAEAIAAAACIAAABkcnMvZG93bnJldi54bWxQSwECFAAUAAAACACHTuJAy1tFGxwC&#10;AABcBAAADgAAAAAAAAABACAAAAAmAQAAZHJzL2Uyb0RvYy54bWxQSwUGAAAAAAYABgBZAQAAtAUA&#10;AAAA&#10;">
                  <v:fill on="t" focussize="0,0"/>
                  <v:stroke color="#000000" joinstyle="miter"/>
                  <v:imagedata o:title=""/>
                  <o:lock v:ext="edit" aspectratio="f"/>
                  <v:textbox inset="0mm,0mm,0mm,0mm">
                    <w:txbxContent>
                      <w:p>
                        <w:pPr>
                          <w:spacing w:line="300" w:lineRule="exact"/>
                          <w:ind w:firstLine="0" w:firstLineChars="0"/>
                          <w:jc w:val="left"/>
                          <w:rPr>
                            <w:rFonts w:hint="eastAsia" w:hAnsi="宋体"/>
                            <w:b/>
                            <w:sz w:val="21"/>
                            <w:szCs w:val="21"/>
                          </w:rPr>
                        </w:pPr>
                      </w:p>
                      <w:p>
                        <w:pPr>
                          <w:spacing w:line="300" w:lineRule="exact"/>
                          <w:ind w:firstLine="0" w:firstLineChars="0"/>
                          <w:jc w:val="left"/>
                          <w:rPr>
                            <w:rFonts w:hint="eastAsia" w:hAnsi="宋体"/>
                            <w:b/>
                            <w:sz w:val="21"/>
                            <w:szCs w:val="21"/>
                          </w:rPr>
                        </w:pPr>
                      </w:p>
                      <w:p>
                        <w:pPr>
                          <w:spacing w:line="300" w:lineRule="exact"/>
                          <w:ind w:firstLine="0" w:firstLineChars="0"/>
                          <w:jc w:val="left"/>
                          <w:rPr>
                            <w:rFonts w:hint="eastAsia" w:hAnsi="宋体"/>
                            <w:b/>
                            <w:sz w:val="21"/>
                            <w:szCs w:val="21"/>
                          </w:rPr>
                        </w:pPr>
                      </w:p>
                      <w:p>
                        <w:pPr>
                          <w:spacing w:line="300" w:lineRule="exact"/>
                          <w:ind w:firstLine="0" w:firstLineChars="0"/>
                          <w:jc w:val="center"/>
                          <w:rPr>
                            <w:rFonts w:hint="eastAsia"/>
                            <w:b/>
                            <w:sz w:val="21"/>
                            <w:szCs w:val="21"/>
                          </w:rPr>
                        </w:pPr>
                        <w:r>
                          <w:rPr>
                            <w:b/>
                            <w:sz w:val="21"/>
                            <w:szCs w:val="21"/>
                          </w:rPr>
                          <w:t>生产车间</w:t>
                        </w:r>
                      </w:p>
                      <w:p>
                        <w:pPr>
                          <w:spacing w:line="300" w:lineRule="exact"/>
                          <w:ind w:firstLine="0" w:firstLineChars="0"/>
                          <w:jc w:val="center"/>
                          <w:rPr>
                            <w:rFonts w:hint="eastAsia"/>
                            <w:b/>
                            <w:sz w:val="21"/>
                            <w:szCs w:val="21"/>
                          </w:rPr>
                        </w:pPr>
                      </w:p>
                      <w:p>
                        <w:pPr>
                          <w:spacing w:line="300" w:lineRule="exact"/>
                          <w:ind w:firstLine="0" w:firstLineChars="0"/>
                          <w:jc w:val="center"/>
                          <w:rPr>
                            <w:b/>
                            <w:sz w:val="21"/>
                            <w:szCs w:val="21"/>
                          </w:rPr>
                        </w:pPr>
                      </w:p>
                    </w:txbxContent>
                  </v:textbox>
                </v:rect>
                <v:rect id="矩形 325" o:spid="_x0000_s1026" o:spt="1" style="position:absolute;left:3432175;top:262323;height:297892;width:1254125;" fillcolor="#FFFFFF" filled="t" stroked="f" coordsize="21600,21600" o:gfxdata="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ytWYV0wAAAAUBAAAPAAAAAAAAAAEAIAAAACIAAABk&#10;cnMvZG93bnJldi54bWxQSwECFAAUAAAACACHTuJAmZJNWNIBAACcAwAADgAAAAAAAAABACAAAAAi&#10;AQAAZHJzL2Uyb0RvYy54bWxQSwUGAAAAAAYABgBZAQAAZgUAAAAA&#10;">
                  <v:fill on="t" focussize="0,0"/>
                  <v:stroke on="f"/>
                  <v:imagedata o:title=""/>
                  <o:lock v:ext="edit" aspectratio="f"/>
                  <v:textbox inset="0mm,0mm,0mm,0mm">
                    <w:txbxContent>
                      <w:p>
                        <w:pPr>
                          <w:ind w:firstLine="0" w:firstLineChars="0"/>
                          <w:rPr>
                            <w:rFonts w:hint="default"/>
                            <w:lang w:val="en-US"/>
                          </w:rPr>
                        </w:pPr>
                        <w:r>
                          <w:rPr>
                            <w:rFonts w:hint="eastAsia"/>
                            <w:b/>
                            <w:kern w:val="0"/>
                            <w:sz w:val="21"/>
                            <w:szCs w:val="21"/>
                            <w:lang w:val="en-US" w:eastAsia="zh-CN"/>
                          </w:rPr>
                          <w:t>泡棉2.58吨</w:t>
                        </w:r>
                      </w:p>
                    </w:txbxContent>
                  </v:textbox>
                </v:rect>
                <v:line id="直线 326" o:spid="_x0000_s1026" o:spt="20" style="position:absolute;left:2849245;top:415397;height:635;width:571500;" filled="f" stroked="t" coordsize="21600,21600" o:gfxdata="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JpJNcAAAAFAQAADwAAAAAAAAABACAAAAAiAAAAZHJzL2Rvd25y&#10;ZXYueG1sUEsBAhQAFAAAAAgAh07iQPZoPzD/AQAA7gMAAA4AAAAAAAAAAQAgAAAAJgEAAGRycy9l&#10;Mm9Eb2MueG1sUEsFBgAAAAAGAAYAWQEAAJcFAAAAAA==&#10;">
                  <v:fill on="f" focussize="0,0"/>
                  <v:stroke color="#000000" joinstyle="round" endarrow="block"/>
                  <v:imagedata o:title=""/>
                  <o:lock v:ext="edit" aspectratio="f"/>
                </v:line>
                <v:line id="直线 329" o:spid="_x0000_s1026" o:spt="20" style="position:absolute;left:1266825;top:741237;height:635;width:571500;" filled="f" stroked="t" coordsize="21600,21600" o:gfxdata="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JpJNcAAAAFAQAADwAAAAAAAAABACAAAAAiAAAAZHJzL2Rvd25y&#10;ZXYueG1sUEsBAhQAFAAAAAgAh07iQBeQeSj/AQAA7gMAAA4AAAAAAAAAAQAgAAAAJgEAAGRycy9l&#10;Mm9Eb2MueG1sUEsFBgAAAAAGAAYAWQEAAJcFAAAAAA==&#10;">
                  <v:fill on="f" focussize="0,0"/>
                  <v:stroke color="#000000" joinstyle="round" endarrow="block"/>
                  <v:imagedata o:title=""/>
                  <o:lock v:ext="edit" aspectratio="f"/>
                </v:line>
                <v:rect id="矩形 331" o:spid="_x0000_s1026" o:spt="1" style="position:absolute;left:163830;top:656760;height:297257;width:1050925;" fillcolor="#FFFFFF" filled="t" stroked="f" coordsize="21600,21600" o:gfxdata="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&#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K1ZhXTAAAABQEAAA8AAAAAAAAAAQAgAAAAIgAAAGRy&#10;cy9kb3ducmV2LnhtbFBLAQIUABQAAAAIAIdO4kDPHAsY0QEAAJsDAAAOAAAAAAAAAAEAIAAAACIB&#10;AABkcnMvZTJvRG9jLnhtbFBLBQYAAAAABgAGAFkBAABlBQAAAAA=&#10;">
                  <v:fill on="t" focussize="0,0"/>
                  <v:stroke on="f"/>
                  <v:imagedata o:title=""/>
                  <o:lock v:ext="edit" aspectratio="f"/>
                  <v:textbox inset="0mm,0mm,0mm,0mm">
                    <w:txbxContent>
                      <w:p>
                        <w:pPr>
                          <w:ind w:firstLine="0" w:firstLineChars="0"/>
                          <w:rPr>
                            <w:rFonts w:hint="default"/>
                            <w:b/>
                            <w:sz w:val="21"/>
                            <w:szCs w:val="21"/>
                            <w:lang w:val="en-US"/>
                          </w:rPr>
                        </w:pPr>
                        <w:r>
                          <w:rPr>
                            <w:rFonts w:hint="eastAsia"/>
                            <w:b/>
                            <w:sz w:val="21"/>
                            <w:szCs w:val="21"/>
                            <w:lang w:val="en-US" w:eastAsia="zh-CN"/>
                          </w:rPr>
                          <w:t>化料2.61吨</w:t>
                        </w:r>
                      </w:p>
                    </w:txbxContent>
                  </v:textbox>
                </v:rect>
                <v:line id="直线 333" o:spid="_x0000_s1026" o:spt="20" style="position:absolute;left:2858769;top:1269059;height:635;width:571500;" filled="f" stroked="t" coordsize="21600,21600" o:gfxdata="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7Emkk1wAAAAUBAAAPAAAAAAAAAAEAIAAAACIAAABkcnMvZG93bnJl&#10;di54bWxQSwECFAAUAAAACACHTuJAD8GSSf4BAADvAwAADgAAAAAAAAABACAAAAAmAQAAZHJzL2Uy&#10;b0RvYy54bWxQSwUGAAAAAAYABgBZAQAAlgUAAAAA&#10;">
                  <v:fill on="f" focussize="0,0"/>
                  <v:stroke color="#000000" joinstyle="round" endarrow="block"/>
                  <v:imagedata o:title=""/>
                  <o:lock v:ext="edit" aspectratio="f"/>
                </v:line>
                <v:rect id="矩形 334" o:spid="_x0000_s1026" o:spt="1" style="position:absolute;left:3441700;top:1120431;height:297892;width:1254125;" fillcolor="#FFFFFF" filled="t" stroked="f" coordsize="21600,21600" o:gfxdata="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&#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ytWYV0wAAAAUBAAAPAAAAAAAAAAEAIAAAACIAAABk&#10;cnMvZG93bnJldi54bWxQSwECFAAUAAAACACHTuJA5qwluNIBAACdAwAADgAAAAAAAAABACAAAAAi&#10;AQAAZHJzL2Uyb0RvYy54bWxQSwUGAAAAAAYABgBZAQAAZgUAAAAA&#10;">
                  <v:fill on="t" focussize="0,0"/>
                  <v:stroke on="f"/>
                  <v:imagedata o:title=""/>
                  <o:lock v:ext="edit" aspectratio="f"/>
                  <v:textbox inset="0mm,0mm,0mm,0mm">
                    <w:txbxContent>
                      <w:p>
                        <w:pPr>
                          <w:ind w:firstLine="0" w:firstLineChars="0"/>
                          <w:rPr>
                            <w:rFonts w:hint="default" w:eastAsiaTheme="minorEastAsia"/>
                            <w:b/>
                            <w:bCs/>
                            <w:lang w:val="en-US" w:eastAsia="zh-CN"/>
                          </w:rPr>
                        </w:pPr>
                        <w:r>
                          <w:rPr>
                            <w:rFonts w:hint="eastAsia"/>
                            <w:b/>
                            <w:bCs/>
                            <w:lang w:val="en-US" w:eastAsia="zh-CN"/>
                          </w:rPr>
                          <w:t>边角料 0.0006吨</w:t>
                        </w:r>
                      </w:p>
                    </w:txbxContent>
                  </v:textbox>
                </v:rect>
                <v:line id="直线 336" o:spid="_x0000_s1026" o:spt="20" style="position:absolute;left:1219200;top:1505341;height:0;width:571500;" filled="f" stroked="t" coordsize="21600,21600" o:gfxdata="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sSaSTXAAAABQEAAA8AAAAAAAAAAQAgAAAAIgAAAGRycy9kb3ducmV2Lnht&#10;bFBLAQIUABQAAAAIAIdO4kB6Kg0X+gEAAO0DAAAOAAAAAAAAAAEAIAAAACYBAABkcnMvZTJvRG9j&#10;LnhtbFBLBQYAAAAABgAGAFkBAACSBQAAAAA=&#10;">
                  <v:fill on="f" focussize="0,0"/>
                  <v:stroke color="#000000" joinstyle="round" endarrow="block"/>
                  <v:imagedata o:title=""/>
                  <o:lock v:ext="edit" aspectratio="f"/>
                </v:line>
                <v:rect id="矩形 338" o:spid="_x0000_s1026" o:spt="1" style="position:absolute;left:92075;top:1357982;height:395072;width:1102360;" fillcolor="#FFFFFF" filled="t" stroked="f" coordsize="21600,21600" o:gfxdata="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ytWYV0wAAAAUBAAAPAAAAAAAAAAEAIAAAACIA&#10;AABkcnMvZG93bnJldi54bWxQSwECFAAUAAAACACHTuJAxQCWJ9UBAACbAwAADgAAAAAAAAABACAA&#10;AAAiAQAAZHJzL2Uyb0RvYy54bWxQSwUGAAAAAAYABgBZAQAAaQUAAAAA&#10;">
                  <v:fill on="t" focussize="0,0"/>
                  <v:stroke on="f"/>
                  <v:imagedata o:title=""/>
                  <o:lock v:ext="edit" aspectratio="f"/>
                  <v:textbox inset="0mm,0mm,0mm,0mm">
                    <w:txbxContent>
                      <w:p>
                        <w:pPr>
                          <w:ind w:firstLine="0" w:firstLineChars="0"/>
                          <w:rPr>
                            <w:rFonts w:hint="default" w:eastAsiaTheme="minorEastAsia"/>
                            <w:b/>
                            <w:sz w:val="21"/>
                            <w:szCs w:val="21"/>
                            <w:lang w:val="en-US" w:eastAsia="zh-CN"/>
                          </w:rPr>
                        </w:pPr>
                        <w:r>
                          <w:rPr>
                            <w:rFonts w:hint="eastAsia"/>
                            <w:b/>
                            <w:sz w:val="21"/>
                            <w:szCs w:val="21"/>
                            <w:lang w:val="en-US" w:eastAsia="zh-CN"/>
                          </w:rPr>
                          <w:t>水 0.013吨</w:t>
                        </w:r>
                      </w:p>
                    </w:txbxContent>
                  </v:textbox>
                </v:rect>
                <w10:wrap type="none"/>
                <w10:anchorlock/>
              </v:group>
            </w:pict>
          </mc:Fallback>
        </mc:AlternateContent>
      </w:r>
    </w:p>
    <w:p>
      <w:pPr>
        <w:spacing w:line="360" w:lineRule="auto"/>
        <w:ind w:firstLine="200"/>
        <w:jc w:val="center"/>
        <w:rPr>
          <w:rFonts w:ascii="Times New Roman" w:hAnsi="楷体" w:eastAsia="楷体"/>
          <w:b/>
          <w:color w:val="000000" w:themeColor="text1"/>
          <w:sz w:val="24"/>
          <w:szCs w:val="24"/>
        </w:rPr>
      </w:pPr>
      <w:r>
        <w:rPr>
          <w:rFonts w:ascii="Times New Roman" w:hAnsi="楷体" w:eastAsia="楷体"/>
          <w:b/>
          <w:color w:val="000000" w:themeColor="text1"/>
          <w:sz w:val="24"/>
          <w:szCs w:val="24"/>
        </w:rPr>
        <w:t>图4.</w:t>
      </w:r>
      <w:r>
        <w:rPr>
          <w:rFonts w:hint="eastAsia" w:ascii="Times New Roman" w:hAnsi="楷体" w:eastAsia="楷体"/>
          <w:b/>
          <w:color w:val="000000" w:themeColor="text1"/>
          <w:sz w:val="24"/>
          <w:szCs w:val="24"/>
          <w:lang w:val="en-US" w:eastAsia="zh-CN"/>
        </w:rPr>
        <w:t>2</w:t>
      </w:r>
      <w:r>
        <w:rPr>
          <w:rFonts w:ascii="Times New Roman" w:hAnsi="楷体" w:eastAsia="楷体"/>
          <w:b/>
          <w:color w:val="000000" w:themeColor="text1"/>
          <w:sz w:val="24"/>
          <w:szCs w:val="24"/>
        </w:rPr>
        <w:t xml:space="preserve">  审核重点</w:t>
      </w:r>
      <w:r>
        <w:rPr>
          <w:rFonts w:hint="eastAsia" w:ascii="Times New Roman" w:hAnsi="楷体" w:eastAsia="楷体"/>
          <w:b/>
          <w:color w:val="000000" w:themeColor="text1"/>
          <w:sz w:val="24"/>
          <w:szCs w:val="24"/>
          <w:lang w:eastAsia="zh-CN"/>
        </w:rPr>
        <w:t>平缝车间</w:t>
      </w:r>
      <w:r>
        <w:rPr>
          <w:rFonts w:hint="eastAsia" w:ascii="Times New Roman" w:hAnsi="楷体" w:eastAsia="楷体"/>
          <w:b/>
          <w:color w:val="000000" w:themeColor="text1"/>
          <w:sz w:val="24"/>
          <w:szCs w:val="24"/>
        </w:rPr>
        <w:t>管材</w:t>
      </w:r>
      <w:r>
        <w:rPr>
          <w:rFonts w:ascii="Times New Roman" w:hAnsi="楷体" w:eastAsia="楷体"/>
          <w:b/>
          <w:color w:val="000000" w:themeColor="text1"/>
          <w:sz w:val="24"/>
          <w:szCs w:val="24"/>
        </w:rPr>
        <w:t>物料平衡图（单位：kg）</w:t>
      </w:r>
    </w:p>
    <w:p>
      <w:pPr>
        <w:pStyle w:val="42"/>
        <w:ind w:firstLine="480" w:firstLineChars="200"/>
        <w:jc w:val="left"/>
        <w:rPr>
          <w:rFonts w:eastAsia="宋体"/>
          <w:bCs/>
          <w:szCs w:val="24"/>
        </w:rPr>
      </w:pPr>
      <w:r>
        <w:rPr>
          <w:rFonts w:hint="eastAsia" w:eastAsia="宋体"/>
          <w:bCs/>
          <w:szCs w:val="24"/>
        </w:rPr>
        <w:t>根据上述实测以及物料平衡图测算出物料损失率：</w:t>
      </w:r>
    </w:p>
    <w:p>
      <w:pPr>
        <w:pStyle w:val="42"/>
        <w:ind w:firstLine="480" w:firstLineChars="200"/>
        <w:jc w:val="left"/>
        <w:rPr>
          <w:rFonts w:hint="default" w:eastAsia="宋体"/>
          <w:bCs/>
          <w:szCs w:val="24"/>
          <w:lang w:val="en-US" w:eastAsia="zh-CN"/>
        </w:rPr>
      </w:pPr>
      <w:r>
        <w:rPr>
          <w:rFonts w:hint="eastAsia" w:eastAsia="宋体"/>
          <w:bCs/>
          <w:szCs w:val="24"/>
        </w:rPr>
        <w:t>输入：</w:t>
      </w:r>
      <w:r>
        <w:rPr>
          <w:rFonts w:hint="eastAsia" w:eastAsia="宋体"/>
          <w:bCs/>
          <w:szCs w:val="24"/>
          <w:lang w:val="en-US" w:eastAsia="zh-CN"/>
        </w:rPr>
        <w:t>2.623吨</w:t>
      </w:r>
    </w:p>
    <w:p>
      <w:pPr>
        <w:pStyle w:val="42"/>
        <w:ind w:firstLine="480" w:firstLineChars="200"/>
        <w:jc w:val="left"/>
        <w:rPr>
          <w:rFonts w:hint="default" w:eastAsia="宋体"/>
          <w:bCs/>
          <w:szCs w:val="24"/>
          <w:lang w:val="en-US"/>
        </w:rPr>
      </w:pPr>
      <w:r>
        <w:rPr>
          <w:rFonts w:hint="eastAsia" w:eastAsia="宋体"/>
          <w:bCs/>
          <w:szCs w:val="24"/>
        </w:rPr>
        <w:t>输出：</w:t>
      </w:r>
      <w:r>
        <w:rPr>
          <w:rFonts w:hint="eastAsia" w:eastAsia="宋体"/>
          <w:bCs/>
          <w:szCs w:val="24"/>
          <w:lang w:val="en-US" w:eastAsia="zh-CN"/>
        </w:rPr>
        <w:t>2.5806吨</w:t>
      </w:r>
    </w:p>
    <w:p>
      <w:pPr>
        <w:pStyle w:val="42"/>
        <w:ind w:firstLine="480" w:firstLineChars="200"/>
        <w:jc w:val="left"/>
        <w:rPr>
          <w:rFonts w:hint="eastAsia" w:eastAsia="宋体"/>
          <w:bCs/>
          <w:szCs w:val="24"/>
        </w:rPr>
      </w:pPr>
      <w:r>
        <w:rPr>
          <w:rFonts w:hint="eastAsia" w:eastAsia="宋体"/>
          <w:bCs/>
          <w:szCs w:val="24"/>
        </w:rPr>
        <w:t xml:space="preserve">物料平衡偏差 = （输入流 – 输出流）/输入流 = </w:t>
      </w:r>
      <w:r>
        <w:rPr>
          <w:rFonts w:hint="eastAsia" w:eastAsia="宋体"/>
          <w:bCs/>
          <w:szCs w:val="24"/>
          <w:lang w:val="en-US" w:eastAsia="zh-CN"/>
        </w:rPr>
        <w:t>（2.623-2.5806）</w:t>
      </w:r>
      <w:r>
        <w:rPr>
          <w:rFonts w:hint="eastAsia" w:eastAsia="宋体"/>
          <w:bCs/>
          <w:szCs w:val="24"/>
        </w:rPr>
        <w:t>/</w:t>
      </w:r>
      <w:r>
        <w:rPr>
          <w:rFonts w:hint="eastAsia" w:eastAsia="宋体"/>
          <w:bCs/>
          <w:szCs w:val="24"/>
          <w:lang w:val="en-US" w:eastAsia="zh-CN"/>
        </w:rPr>
        <w:t>2.623</w:t>
      </w:r>
      <w:r>
        <w:rPr>
          <w:rFonts w:hint="eastAsia" w:eastAsia="宋体"/>
          <w:bCs/>
          <w:szCs w:val="24"/>
        </w:rPr>
        <w:t xml:space="preserve">= </w:t>
      </w:r>
      <w:r>
        <w:rPr>
          <w:rFonts w:hint="eastAsia" w:eastAsia="宋体"/>
          <w:bCs/>
          <w:szCs w:val="24"/>
          <w:lang w:val="en-US" w:eastAsia="zh-CN"/>
        </w:rPr>
        <w:t>1.62</w:t>
      </w:r>
      <w:r>
        <w:rPr>
          <w:rFonts w:hint="eastAsia" w:eastAsia="宋体"/>
          <w:bCs/>
          <w:szCs w:val="24"/>
        </w:rPr>
        <w:t>% &lt; 5%，符合物料平衡的要求。根据以上物料平衡分析，企业产生的主要污染物有</w:t>
      </w:r>
      <w:r>
        <w:rPr>
          <w:rFonts w:hint="eastAsia" w:eastAsia="宋体"/>
          <w:bCs/>
          <w:szCs w:val="24"/>
          <w:lang w:val="en-US" w:eastAsia="zh-CN"/>
        </w:rPr>
        <w:t>浇注废气、边角料</w:t>
      </w:r>
      <w:r>
        <w:rPr>
          <w:rFonts w:hint="eastAsia" w:eastAsia="宋体"/>
          <w:bCs/>
          <w:szCs w:val="24"/>
        </w:rPr>
        <w:t>等。</w:t>
      </w:r>
      <w:r>
        <w:rPr>
          <w:rFonts w:hint="eastAsia" w:eastAsia="宋体"/>
          <w:bCs/>
          <w:szCs w:val="24"/>
          <w:lang w:val="en-US" w:eastAsia="zh-CN"/>
        </w:rPr>
        <w:t>边角料</w:t>
      </w:r>
      <w:r>
        <w:rPr>
          <w:rFonts w:hint="eastAsia" w:eastAsia="宋体"/>
          <w:bCs/>
          <w:szCs w:val="24"/>
        </w:rPr>
        <w:t>主要在</w:t>
      </w:r>
      <w:r>
        <w:rPr>
          <w:rFonts w:hint="eastAsia" w:eastAsia="宋体"/>
          <w:bCs/>
          <w:szCs w:val="24"/>
          <w:lang w:val="en-US" w:eastAsia="zh-CN"/>
        </w:rPr>
        <w:t>修整</w:t>
      </w:r>
      <w:r>
        <w:rPr>
          <w:rFonts w:hint="eastAsia" w:eastAsia="宋体"/>
          <w:bCs/>
          <w:szCs w:val="24"/>
        </w:rPr>
        <w:t>部位产生，</w:t>
      </w:r>
      <w:r>
        <w:rPr>
          <w:rFonts w:hint="eastAsia" w:eastAsia="宋体"/>
          <w:bCs/>
          <w:szCs w:val="24"/>
          <w:lang w:val="en-US" w:eastAsia="zh-CN"/>
        </w:rPr>
        <w:t>废气</w:t>
      </w:r>
      <w:r>
        <w:rPr>
          <w:rFonts w:hint="eastAsia" w:eastAsia="宋体"/>
          <w:bCs/>
          <w:szCs w:val="24"/>
        </w:rPr>
        <w:t>主要是</w:t>
      </w:r>
      <w:r>
        <w:rPr>
          <w:rFonts w:hint="eastAsia" w:eastAsia="宋体"/>
          <w:bCs/>
          <w:szCs w:val="24"/>
          <w:lang w:val="en-US" w:eastAsia="zh-CN"/>
        </w:rPr>
        <w:t>浇注阶段</w:t>
      </w:r>
      <w:r>
        <w:rPr>
          <w:rFonts w:hint="eastAsia" w:eastAsia="宋体"/>
          <w:bCs/>
          <w:szCs w:val="24"/>
        </w:rPr>
        <w:t>。根据物料平衡，可知企业的</w:t>
      </w:r>
      <w:r>
        <w:rPr>
          <w:rFonts w:hint="eastAsia" w:eastAsia="宋体"/>
          <w:bCs/>
          <w:szCs w:val="24"/>
          <w:lang w:val="en-US" w:eastAsia="zh-CN"/>
        </w:rPr>
        <w:t>原材料可利用</w:t>
      </w:r>
      <w:r>
        <w:rPr>
          <w:rFonts w:hint="eastAsia" w:eastAsia="宋体"/>
          <w:bCs/>
          <w:szCs w:val="24"/>
        </w:rPr>
        <w:t>，存在较大的清洁生产空间。</w:t>
      </w:r>
    </w:p>
    <w:p>
      <w:pPr>
        <w:pStyle w:val="42"/>
        <w:ind w:firstLine="480" w:firstLineChars="200"/>
        <w:jc w:val="left"/>
        <w:rPr>
          <w:rFonts w:hint="eastAsia" w:eastAsia="宋体"/>
          <w:bCs/>
          <w:szCs w:val="24"/>
        </w:rPr>
        <w:sectPr>
          <w:pgSz w:w="11906" w:h="16838"/>
          <w:pgMar w:top="1440" w:right="1800" w:bottom="1440" w:left="1800" w:header="851" w:footer="992" w:gutter="0"/>
          <w:cols w:space="425" w:num="1"/>
          <w:docGrid w:type="lines" w:linePitch="312" w:charSpace="0"/>
        </w:sectPr>
      </w:pPr>
    </w:p>
    <w:p>
      <w:pPr>
        <w:spacing w:line="360" w:lineRule="auto"/>
        <w:ind w:firstLine="482"/>
        <w:jc w:val="center"/>
        <w:rPr>
          <w:rFonts w:ascii="Times New Roman" w:hAnsi="宋体" w:eastAsia="宋体"/>
          <w:b/>
          <w:sz w:val="24"/>
          <w:szCs w:val="24"/>
        </w:rPr>
      </w:pPr>
      <w:r>
        <w:rPr>
          <w:rFonts w:ascii="Times New Roman" w:hAnsi="宋体" w:eastAsia="宋体"/>
          <w:b/>
          <w:sz w:val="24"/>
          <w:szCs w:val="24"/>
        </w:rPr>
        <w:t>表</w:t>
      </w:r>
      <w:r>
        <w:rPr>
          <w:rFonts w:hint="eastAsia" w:ascii="Times New Roman" w:hAnsi="宋体" w:eastAsia="宋体"/>
          <w:b/>
          <w:sz w:val="24"/>
          <w:szCs w:val="24"/>
        </w:rPr>
        <w:t>4-</w:t>
      </w:r>
      <w:r>
        <w:rPr>
          <w:rFonts w:hint="eastAsia" w:ascii="Times New Roman" w:hAnsi="宋体" w:eastAsia="宋体"/>
          <w:b/>
          <w:sz w:val="24"/>
          <w:szCs w:val="24"/>
          <w:lang w:val="en-US" w:eastAsia="zh-CN"/>
        </w:rPr>
        <w:t>5</w:t>
      </w:r>
      <w:r>
        <w:rPr>
          <w:rFonts w:ascii="Times New Roman" w:hAnsi="宋体" w:eastAsia="宋体"/>
          <w:b/>
          <w:sz w:val="24"/>
          <w:szCs w:val="24"/>
        </w:rPr>
        <w:t xml:space="preserve">  废弃物产生原因分析表</w:t>
      </w:r>
    </w:p>
    <w:tbl>
      <w:tblPr>
        <w:tblStyle w:val="27"/>
        <w:tblW w:w="1255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3"/>
        <w:gridCol w:w="1083"/>
        <w:gridCol w:w="1307"/>
        <w:gridCol w:w="1237"/>
        <w:gridCol w:w="1310"/>
        <w:gridCol w:w="1439"/>
        <w:gridCol w:w="1383"/>
        <w:gridCol w:w="1439"/>
        <w:gridCol w:w="1195"/>
        <w:gridCol w:w="12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3" w:hRule="atLeast"/>
          <w:jc w:val="center"/>
        </w:trPr>
        <w:tc>
          <w:tcPr>
            <w:tcW w:w="953" w:type="dxa"/>
            <w:vMerge w:val="restart"/>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废弃物产生源</w:t>
            </w:r>
          </w:p>
        </w:tc>
        <w:tc>
          <w:tcPr>
            <w:tcW w:w="1083" w:type="dxa"/>
            <w:vMerge w:val="restart"/>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废弃物名称</w:t>
            </w:r>
          </w:p>
        </w:tc>
        <w:tc>
          <w:tcPr>
            <w:tcW w:w="10516" w:type="dxa"/>
            <w:gridSpan w:val="8"/>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原因分类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3" w:hRule="atLeast"/>
          <w:jc w:val="center"/>
        </w:trPr>
        <w:tc>
          <w:tcPr>
            <w:tcW w:w="953" w:type="dxa"/>
            <w:vMerge w:val="continue"/>
            <w:vAlign w:val="center"/>
          </w:tcPr>
          <w:p>
            <w:pPr>
              <w:spacing w:beforeLines="20" w:afterLines="20"/>
              <w:jc w:val="center"/>
              <w:rPr>
                <w:rFonts w:ascii="Times New Roman" w:hAnsi="Times New Roman" w:eastAsia="宋体" w:cs="Times New Roman"/>
                <w:szCs w:val="21"/>
              </w:rPr>
            </w:pPr>
          </w:p>
        </w:tc>
        <w:tc>
          <w:tcPr>
            <w:tcW w:w="1083" w:type="dxa"/>
            <w:vMerge w:val="continue"/>
            <w:vAlign w:val="center"/>
          </w:tcPr>
          <w:p>
            <w:pPr>
              <w:spacing w:beforeLines="20" w:afterLines="20"/>
              <w:jc w:val="center"/>
              <w:rPr>
                <w:rFonts w:ascii="Times New Roman" w:hAnsi="Times New Roman" w:eastAsia="宋体" w:cs="Times New Roman"/>
                <w:szCs w:val="21"/>
              </w:rPr>
            </w:pPr>
          </w:p>
        </w:tc>
        <w:tc>
          <w:tcPr>
            <w:tcW w:w="1307"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原辅材料和能源</w:t>
            </w:r>
          </w:p>
        </w:tc>
        <w:tc>
          <w:tcPr>
            <w:tcW w:w="1237"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技术工艺</w:t>
            </w:r>
          </w:p>
        </w:tc>
        <w:tc>
          <w:tcPr>
            <w:tcW w:w="1310"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设备</w:t>
            </w:r>
          </w:p>
        </w:tc>
        <w:tc>
          <w:tcPr>
            <w:tcW w:w="1439"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过程</w:t>
            </w:r>
          </w:p>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控制</w:t>
            </w:r>
          </w:p>
        </w:tc>
        <w:tc>
          <w:tcPr>
            <w:tcW w:w="1383"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产品</w:t>
            </w:r>
          </w:p>
        </w:tc>
        <w:tc>
          <w:tcPr>
            <w:tcW w:w="1439"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废弃物特性</w:t>
            </w:r>
          </w:p>
        </w:tc>
        <w:tc>
          <w:tcPr>
            <w:tcW w:w="1195"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管理</w:t>
            </w:r>
          </w:p>
        </w:tc>
        <w:tc>
          <w:tcPr>
            <w:tcW w:w="1206"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员工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65" w:hRule="atLeast"/>
          <w:jc w:val="center"/>
        </w:trPr>
        <w:tc>
          <w:tcPr>
            <w:tcW w:w="953" w:type="dxa"/>
            <w:vMerge w:val="restart"/>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审核重点</w:t>
            </w:r>
          </w:p>
        </w:tc>
        <w:tc>
          <w:tcPr>
            <w:tcW w:w="1083" w:type="dxa"/>
            <w:vAlign w:val="center"/>
          </w:tcPr>
          <w:p>
            <w:pPr>
              <w:spacing w:beforeLines="20" w:afterLines="20"/>
              <w:jc w:val="center"/>
              <w:rPr>
                <w:rFonts w:ascii="Times New Roman" w:hAnsi="Times New Roman" w:eastAsia="宋体" w:cs="Times New Roman"/>
                <w:szCs w:val="21"/>
              </w:rPr>
            </w:pPr>
            <w:r>
              <w:rPr>
                <w:rFonts w:hint="eastAsia" w:eastAsia="宋体"/>
                <w:bCs/>
                <w:szCs w:val="24"/>
                <w:lang w:val="en-US" w:eastAsia="zh-CN"/>
              </w:rPr>
              <w:t>废气</w:t>
            </w:r>
          </w:p>
        </w:tc>
        <w:tc>
          <w:tcPr>
            <w:tcW w:w="1307" w:type="dxa"/>
            <w:vAlign w:val="center"/>
          </w:tcPr>
          <w:p>
            <w:pPr>
              <w:spacing w:beforeLines="20" w:afterLines="2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浇注</w:t>
            </w:r>
          </w:p>
        </w:tc>
        <w:tc>
          <w:tcPr>
            <w:tcW w:w="1237" w:type="dxa"/>
            <w:vAlign w:val="center"/>
          </w:tcPr>
          <w:p>
            <w:pPr>
              <w:spacing w:beforeLines="20" w:afterLines="20"/>
              <w:rPr>
                <w:rFonts w:ascii="Times New Roman" w:hAnsi="Times New Roman" w:eastAsia="宋体" w:cs="Times New Roman"/>
                <w:szCs w:val="21"/>
              </w:rPr>
            </w:pPr>
            <w:r>
              <w:t>不可避免的会产生</w:t>
            </w:r>
          </w:p>
        </w:tc>
        <w:tc>
          <w:tcPr>
            <w:tcW w:w="1310" w:type="dxa"/>
            <w:vAlign w:val="center"/>
          </w:tcPr>
          <w:p>
            <w:pPr>
              <w:spacing w:beforeLines="20" w:afterLines="2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发泡机</w:t>
            </w:r>
          </w:p>
        </w:tc>
        <w:tc>
          <w:tcPr>
            <w:tcW w:w="1439" w:type="dxa"/>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控制参数的准确性影响</w:t>
            </w:r>
          </w:p>
        </w:tc>
        <w:tc>
          <w:tcPr>
            <w:tcW w:w="1383" w:type="dxa"/>
            <w:vMerge w:val="restart"/>
            <w:vAlign w:val="center"/>
          </w:tcPr>
          <w:p>
            <w:pPr>
              <w:spacing w:beforeLines="20" w:afterLines="20"/>
              <w:jc w:val="center"/>
              <w:rPr>
                <w:rFonts w:ascii="Times New Roman" w:hAnsi="Times New Roman" w:eastAsia="宋体" w:cs="Times New Roman"/>
                <w:szCs w:val="21"/>
              </w:rPr>
            </w:pPr>
            <w:r>
              <w:rPr>
                <w:rFonts w:ascii="Times New Roman" w:hAnsi="Times New Roman" w:eastAsia="宋体" w:cs="Times New Roman"/>
                <w:szCs w:val="21"/>
              </w:rPr>
              <w:t>/</w:t>
            </w:r>
          </w:p>
        </w:tc>
        <w:tc>
          <w:tcPr>
            <w:tcW w:w="1439" w:type="dxa"/>
            <w:vAlign w:val="center"/>
          </w:tcPr>
          <w:p>
            <w:pPr>
              <w:spacing w:beforeLines="20" w:afterLines="20"/>
              <w:jc w:val="center"/>
              <w:rPr>
                <w:rFonts w:ascii="Times New Roman" w:hAnsi="Times New Roman" w:eastAsia="宋体" w:cs="Times New Roman"/>
                <w:szCs w:val="21"/>
              </w:rPr>
            </w:pPr>
            <w:r>
              <w:rPr>
                <w:rFonts w:hint="eastAsia" w:ascii="Times New Roman" w:hAnsi="宋体" w:eastAsia="宋体" w:cs="Times New Roman"/>
                <w:szCs w:val="21"/>
              </w:rPr>
              <w:t>成本浪费较大</w:t>
            </w:r>
          </w:p>
        </w:tc>
        <w:tc>
          <w:tcPr>
            <w:tcW w:w="1195" w:type="dxa"/>
            <w:vMerge w:val="restart"/>
            <w:tcBorders>
              <w:right w:val="single" w:color="auto" w:sz="4" w:space="0"/>
            </w:tcBorders>
            <w:vAlign w:val="center"/>
          </w:tcPr>
          <w:p>
            <w:pPr>
              <w:spacing w:beforeLines="20" w:afterLines="20"/>
              <w:jc w:val="center"/>
              <w:rPr>
                <w:rFonts w:ascii="Times New Roman" w:hAnsi="Times New Roman" w:eastAsia="宋体" w:cs="Times New Roman"/>
                <w:szCs w:val="21"/>
              </w:rPr>
            </w:pPr>
            <w:r>
              <w:rPr>
                <w:rFonts w:ascii="Times New Roman" w:hAnsi="Times New Roman" w:eastAsia="宋体" w:cs="Times New Roman"/>
                <w:szCs w:val="21"/>
              </w:rPr>
              <w:t>1</w:t>
            </w:r>
            <w:r>
              <w:rPr>
                <w:rFonts w:ascii="Times New Roman" w:hAnsi="宋体" w:eastAsia="宋体" w:cs="Times New Roman"/>
                <w:szCs w:val="21"/>
              </w:rPr>
              <w:t>、生产、工艺指标的制定与考核对生产的稳定性有一定影响；</w:t>
            </w:r>
          </w:p>
          <w:p>
            <w:pPr>
              <w:spacing w:beforeLines="20" w:afterLines="20"/>
              <w:jc w:val="center"/>
              <w:rPr>
                <w:rFonts w:ascii="Times New Roman" w:hAnsi="Times New Roman" w:eastAsia="宋体" w:cs="Times New Roman"/>
                <w:szCs w:val="21"/>
              </w:rPr>
            </w:pPr>
            <w:r>
              <w:rPr>
                <w:rFonts w:ascii="Times New Roman" w:hAnsi="Times New Roman" w:eastAsia="宋体" w:cs="Times New Roman"/>
                <w:szCs w:val="21"/>
              </w:rPr>
              <w:t>2</w:t>
            </w:r>
            <w:r>
              <w:rPr>
                <w:rFonts w:ascii="Times New Roman" w:hAnsi="宋体" w:eastAsia="宋体" w:cs="Times New Roman"/>
                <w:szCs w:val="21"/>
              </w:rPr>
              <w:t>、设备的维护保养状态影响废弃物的产生</w:t>
            </w:r>
          </w:p>
        </w:tc>
        <w:tc>
          <w:tcPr>
            <w:tcW w:w="1206" w:type="dxa"/>
            <w:vMerge w:val="restart"/>
            <w:tcBorders>
              <w:left w:val="single" w:color="auto" w:sz="4" w:space="0"/>
            </w:tcBorders>
            <w:vAlign w:val="center"/>
          </w:tcPr>
          <w:p>
            <w:pPr>
              <w:spacing w:beforeLines="20" w:afterLines="20"/>
              <w:jc w:val="center"/>
              <w:rPr>
                <w:rFonts w:ascii="Times New Roman" w:hAnsi="Times New Roman" w:eastAsia="宋体" w:cs="Times New Roman"/>
                <w:szCs w:val="21"/>
              </w:rPr>
            </w:pPr>
            <w:r>
              <w:rPr>
                <w:rFonts w:ascii="Times New Roman" w:hAnsi="宋体" w:eastAsia="宋体" w:cs="Times New Roman"/>
                <w:szCs w:val="21"/>
              </w:rPr>
              <w:t>员工的操作技能、敬业精神和环保意识对生产的稳定性和污染的产生有一定的影响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65" w:hRule="atLeast"/>
          <w:jc w:val="center"/>
        </w:trPr>
        <w:tc>
          <w:tcPr>
            <w:tcW w:w="953" w:type="dxa"/>
            <w:vMerge w:val="continue"/>
            <w:vAlign w:val="center"/>
          </w:tcPr>
          <w:p>
            <w:pPr>
              <w:spacing w:beforeLines="20" w:afterLines="20"/>
              <w:jc w:val="center"/>
              <w:rPr>
                <w:rFonts w:ascii="Times New Roman" w:hAnsi="宋体" w:eastAsia="宋体" w:cs="Times New Roman"/>
                <w:szCs w:val="21"/>
              </w:rPr>
            </w:pPr>
          </w:p>
        </w:tc>
        <w:tc>
          <w:tcPr>
            <w:tcW w:w="1083" w:type="dxa"/>
            <w:vAlign w:val="center"/>
          </w:tcPr>
          <w:p>
            <w:pPr>
              <w:spacing w:beforeLines="20" w:afterLines="2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边角料</w:t>
            </w:r>
          </w:p>
        </w:tc>
        <w:tc>
          <w:tcPr>
            <w:tcW w:w="1307" w:type="dxa"/>
            <w:vAlign w:val="center"/>
          </w:tcPr>
          <w:p>
            <w:pPr>
              <w:spacing w:beforeLines="20" w:afterLines="2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泡棉修整</w:t>
            </w:r>
          </w:p>
        </w:tc>
        <w:tc>
          <w:tcPr>
            <w:tcW w:w="1237" w:type="dxa"/>
            <w:vAlign w:val="center"/>
          </w:tcPr>
          <w:p>
            <w:pPr>
              <w:spacing w:beforeLines="20" w:afterLines="20"/>
              <w:rPr>
                <w:rFonts w:ascii="Times New Roman" w:hAnsi="宋体" w:eastAsia="宋体" w:cs="Times New Roman"/>
                <w:szCs w:val="21"/>
              </w:rPr>
            </w:pPr>
            <w:r>
              <w:t>不可避免的存在现象</w:t>
            </w:r>
          </w:p>
        </w:tc>
        <w:tc>
          <w:tcPr>
            <w:tcW w:w="1310" w:type="dxa"/>
            <w:vAlign w:val="center"/>
          </w:tcPr>
          <w:p>
            <w:pPr>
              <w:spacing w:beforeLines="20" w:afterLines="20"/>
              <w:jc w:val="center"/>
              <w:rPr>
                <w:rFonts w:hint="default" w:ascii="Times New Roman" w:hAnsi="宋体" w:eastAsia="宋体" w:cs="Times New Roman"/>
                <w:szCs w:val="21"/>
                <w:lang w:val="en-US" w:eastAsia="zh-CN"/>
              </w:rPr>
            </w:pPr>
            <w:r>
              <w:rPr>
                <w:rFonts w:hint="eastAsia" w:eastAsia="宋体"/>
                <w:spacing w:val="-1"/>
                <w:lang w:val="en-US" w:eastAsia="zh-CN"/>
              </w:rPr>
              <w:t>半成品修整</w:t>
            </w:r>
          </w:p>
        </w:tc>
        <w:tc>
          <w:tcPr>
            <w:tcW w:w="1439" w:type="dxa"/>
            <w:vAlign w:val="center"/>
          </w:tcPr>
          <w:p>
            <w:pPr>
              <w:pStyle w:val="64"/>
              <w:spacing w:before="6"/>
              <w:rPr>
                <w:rFonts w:ascii="楷体"/>
                <w:b/>
                <w:sz w:val="14"/>
              </w:rPr>
            </w:pPr>
          </w:p>
          <w:p>
            <w:pPr>
              <w:spacing w:beforeLines="20" w:afterLines="20"/>
              <w:jc w:val="center"/>
              <w:rPr>
                <w:rFonts w:hint="default" w:ascii="Times New Roman" w:hAnsi="宋体" w:eastAsia="宋体" w:cs="Times New Roman"/>
                <w:szCs w:val="21"/>
                <w:lang w:val="en-US" w:eastAsia="zh-CN"/>
              </w:rPr>
            </w:pPr>
            <w:r>
              <w:rPr>
                <w:rFonts w:hint="eastAsia" w:eastAsia="宋体"/>
                <w:lang w:val="en-US" w:eastAsia="zh-CN"/>
              </w:rPr>
              <w:t>回收利用</w:t>
            </w:r>
          </w:p>
        </w:tc>
        <w:tc>
          <w:tcPr>
            <w:tcW w:w="1383" w:type="dxa"/>
            <w:vMerge w:val="continue"/>
            <w:vAlign w:val="center"/>
          </w:tcPr>
          <w:p>
            <w:pPr>
              <w:spacing w:beforeLines="20" w:afterLines="20"/>
              <w:jc w:val="center"/>
              <w:rPr>
                <w:rFonts w:ascii="Times New Roman" w:hAnsi="Times New Roman" w:eastAsia="宋体" w:cs="Times New Roman"/>
                <w:szCs w:val="21"/>
              </w:rPr>
            </w:pPr>
          </w:p>
        </w:tc>
        <w:tc>
          <w:tcPr>
            <w:tcW w:w="1439" w:type="dxa"/>
            <w:vAlign w:val="center"/>
          </w:tcPr>
          <w:p>
            <w:pPr>
              <w:spacing w:beforeLines="20" w:afterLines="20"/>
              <w:jc w:val="center"/>
              <w:rPr>
                <w:rFonts w:hint="default" w:ascii="Times New Roman" w:hAnsi="Times New Roman" w:eastAsia="宋体" w:cs="Times New Roman"/>
                <w:szCs w:val="21"/>
                <w:lang w:val="en-US" w:eastAsia="zh-CN"/>
              </w:rPr>
            </w:pPr>
            <w:r>
              <w:rPr>
                <w:rFonts w:hint="eastAsia" w:ascii="Times New Roman" w:hAnsi="宋体" w:eastAsia="宋体" w:cs="Times New Roman"/>
                <w:szCs w:val="21"/>
                <w:lang w:val="en-US" w:eastAsia="zh-CN"/>
              </w:rPr>
              <w:t>一般固废</w:t>
            </w:r>
          </w:p>
        </w:tc>
        <w:tc>
          <w:tcPr>
            <w:tcW w:w="1195" w:type="dxa"/>
            <w:vMerge w:val="continue"/>
            <w:tcBorders>
              <w:right w:val="single" w:color="auto" w:sz="4" w:space="0"/>
            </w:tcBorders>
            <w:vAlign w:val="center"/>
          </w:tcPr>
          <w:p>
            <w:pPr>
              <w:spacing w:beforeLines="20" w:afterLines="20"/>
              <w:jc w:val="center"/>
              <w:rPr>
                <w:rFonts w:ascii="Times New Roman" w:hAnsi="Times New Roman" w:eastAsia="宋体" w:cs="Times New Roman"/>
                <w:szCs w:val="21"/>
              </w:rPr>
            </w:pPr>
          </w:p>
        </w:tc>
        <w:tc>
          <w:tcPr>
            <w:tcW w:w="1206" w:type="dxa"/>
            <w:vMerge w:val="continue"/>
            <w:tcBorders>
              <w:left w:val="single" w:color="auto" w:sz="4" w:space="0"/>
            </w:tcBorders>
            <w:vAlign w:val="center"/>
          </w:tcPr>
          <w:p>
            <w:pPr>
              <w:spacing w:beforeLines="20" w:afterLines="20"/>
              <w:jc w:val="center"/>
              <w:rPr>
                <w:rFonts w:ascii="Times New Roman" w:hAnsi="宋体" w:eastAsia="宋体" w:cs="Times New Roman"/>
                <w:szCs w:val="21"/>
              </w:rPr>
            </w:pPr>
          </w:p>
        </w:tc>
      </w:tr>
    </w:tbl>
    <w:p>
      <w:pPr>
        <w:spacing w:line="360" w:lineRule="auto"/>
        <w:ind w:firstLine="480" w:firstLineChars="200"/>
        <w:rPr>
          <w:rFonts w:ascii="Times New Roman" w:hAnsi="Times New Roman" w:eastAsia="宋体" w:cs="Times New Roman"/>
          <w:sz w:val="24"/>
          <w:szCs w:val="24"/>
        </w:rPr>
        <w:sectPr>
          <w:pgSz w:w="16838" w:h="11906" w:orient="landscape"/>
          <w:pgMar w:top="1800" w:right="1440" w:bottom="1800" w:left="1440" w:header="851" w:footer="992" w:gutter="0"/>
          <w:cols w:space="425" w:num="1"/>
          <w:docGrid w:type="lines" w:linePitch="312" w:charSpace="0"/>
        </w:sectPr>
      </w:pPr>
    </w:p>
    <w:p>
      <w:pPr>
        <w:pStyle w:val="3"/>
        <w:widowControl w:val="0"/>
        <w:adjustRightInd/>
        <w:snapToGrid/>
        <w:spacing w:beforeLines="50" w:after="0" w:line="360" w:lineRule="auto"/>
        <w:rPr>
          <w:rFonts w:ascii="Times New Roman" w:hAnsi="Times New Roman"/>
          <w:sz w:val="30"/>
          <w:szCs w:val="30"/>
        </w:rPr>
      </w:pPr>
      <w:bookmarkStart w:id="179" w:name="_Toc499903487"/>
      <w:bookmarkStart w:id="180" w:name="_Toc525138262"/>
      <w:bookmarkStart w:id="181" w:name="_Toc525138406"/>
      <w:bookmarkStart w:id="182" w:name="_Toc1630"/>
      <w:r>
        <w:rPr>
          <w:rFonts w:hint="eastAsia" w:ascii="Times New Roman" w:hAnsi="Times New Roman"/>
          <w:sz w:val="30"/>
          <w:szCs w:val="30"/>
        </w:rPr>
        <w:t>4.4</w:t>
      </w:r>
      <w:bookmarkEnd w:id="179"/>
      <w:bookmarkEnd w:id="180"/>
      <w:bookmarkEnd w:id="181"/>
      <w:r>
        <w:rPr>
          <w:rFonts w:hint="eastAsia" w:ascii="Times New Roman" w:hAnsi="Times New Roman"/>
          <w:sz w:val="30"/>
          <w:szCs w:val="30"/>
        </w:rPr>
        <w:t>能耗、物耗以及废弃物产生原因分析</w:t>
      </w:r>
      <w:bookmarkEnd w:id="182"/>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从实测结果与日常记录数据相比，车间的实测数据能比较准确地反映生产情况，以及工艺设备运行中存在的问题，可利用该实测结果进行废弃物及物耗能耗评估、分析，并发现找出提高产率，降低原材料及能源消耗，减少废弃物排放及降低其对健康影响的方案。</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1、原辅材料和能源</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原材料和辅助材料本身所具有的特性，在一定程度上决定了产品及其生产过程对环境的危害程度。公司的主要原料是</w:t>
      </w:r>
      <w:r>
        <w:rPr>
          <w:rFonts w:hint="eastAsia" w:ascii="Times New Roman" w:hAnsi="宋体" w:eastAsia="宋体"/>
          <w:sz w:val="24"/>
          <w:szCs w:val="24"/>
          <w:lang w:val="en-US" w:eastAsia="zh-CN"/>
        </w:rPr>
        <w:t>钢管材</w:t>
      </w:r>
      <w:r>
        <w:rPr>
          <w:rFonts w:hint="eastAsia" w:ascii="Times New Roman" w:hAnsi="宋体" w:eastAsia="宋体"/>
          <w:sz w:val="24"/>
          <w:szCs w:val="24"/>
        </w:rPr>
        <w:t>、</w:t>
      </w:r>
      <w:r>
        <w:rPr>
          <w:rFonts w:hint="eastAsia" w:ascii="Times New Roman" w:hAnsi="宋体" w:eastAsia="宋体"/>
          <w:sz w:val="24"/>
          <w:szCs w:val="24"/>
          <w:lang w:val="en-US" w:eastAsia="zh-CN"/>
        </w:rPr>
        <w:t>化料</w:t>
      </w:r>
      <w:r>
        <w:rPr>
          <w:rFonts w:hint="eastAsia" w:ascii="Times New Roman" w:hAnsi="宋体" w:eastAsia="宋体"/>
          <w:sz w:val="24"/>
          <w:szCs w:val="24"/>
        </w:rPr>
        <w:t>等，不涉及有毒有害品种，原材料的取用过冲中需注意的有：</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（1）应严格控制入厂原材料质量，对进厂原材料严格检验，合格后方可进厂，从而提高原材料的质量，提高利用率，保证产品质量，减少废物的排放。</w:t>
      </w:r>
    </w:p>
    <w:p>
      <w:pPr>
        <w:spacing w:line="360" w:lineRule="auto"/>
        <w:ind w:firstLine="480" w:firstLineChars="200"/>
        <w:rPr>
          <w:rFonts w:hint="eastAsia" w:ascii="Times New Roman" w:hAnsi="宋体" w:eastAsia="宋体"/>
          <w:sz w:val="24"/>
          <w:szCs w:val="24"/>
          <w:lang w:eastAsia="zh-CN"/>
        </w:rPr>
      </w:pPr>
      <w:r>
        <w:rPr>
          <w:rFonts w:hint="eastAsia" w:ascii="Times New Roman" w:hAnsi="宋体" w:eastAsia="宋体"/>
          <w:sz w:val="24"/>
          <w:szCs w:val="24"/>
        </w:rPr>
        <w:t>（2）进厂原料要注意分类保存，取用时要做到先入先出</w:t>
      </w:r>
      <w:r>
        <w:rPr>
          <w:rFonts w:hint="eastAsia" w:ascii="Times New Roman" w:hAnsi="宋体" w:eastAsia="宋体"/>
          <w:sz w:val="24"/>
          <w:szCs w:val="24"/>
          <w:lang w:eastAsia="zh-CN"/>
        </w:rPr>
        <w:t>。</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（3）公司能源主要是电能，在使用过程中对环境无直接影响。</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2、生产工艺及设备</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生产过程的技术工艺水平基本上决定了废弃物的产生量和状态，先进而有效的技术可以提高原材料的利用效率；从而减少废弃物的产生；同时设备作为技术工艺的具体体现，在生产过程中也具有重要作用，设备的适用性及其维护、保养情况等均会影响到废弃物的产生。</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公司工艺及设备，处于较好水平；但企业部分设备未进行有效保养，未建立设备定期保养制度；</w:t>
      </w:r>
      <w:r>
        <w:rPr>
          <w:rFonts w:hint="eastAsia" w:ascii="Times New Roman" w:hAnsi="宋体" w:eastAsia="宋体"/>
          <w:sz w:val="24"/>
          <w:szCs w:val="24"/>
          <w:lang w:eastAsia="zh-CN"/>
        </w:rPr>
        <w:t>打磨</w:t>
      </w:r>
      <w:r>
        <w:rPr>
          <w:rFonts w:hint="eastAsia" w:ascii="Times New Roman" w:hAnsi="宋体" w:eastAsia="宋体"/>
          <w:sz w:val="24"/>
          <w:szCs w:val="24"/>
        </w:rPr>
        <w:t>过程中</w:t>
      </w:r>
      <w:r>
        <w:rPr>
          <w:rFonts w:hint="eastAsia" w:ascii="Times New Roman" w:hAnsi="宋体" w:eastAsia="宋体"/>
          <w:sz w:val="24"/>
          <w:szCs w:val="24"/>
          <w:lang w:val="en-US" w:eastAsia="zh-CN"/>
        </w:rPr>
        <w:t>粉尘烟尘无组织排放</w:t>
      </w:r>
      <w:r>
        <w:rPr>
          <w:rFonts w:hint="eastAsia" w:ascii="Times New Roman" w:hAnsi="宋体" w:eastAsia="宋体"/>
          <w:sz w:val="24"/>
          <w:szCs w:val="24"/>
        </w:rPr>
        <w:t>。建议应加强设备维护，设备进行定期保养；同时进行</w:t>
      </w:r>
      <w:r>
        <w:rPr>
          <w:rFonts w:hint="eastAsia" w:ascii="Times New Roman" w:hAnsi="宋体" w:eastAsia="宋体"/>
          <w:sz w:val="24"/>
          <w:szCs w:val="24"/>
          <w:lang w:val="en-US" w:eastAsia="zh-CN"/>
        </w:rPr>
        <w:t>排放处理</w:t>
      </w:r>
      <w:r>
        <w:rPr>
          <w:rFonts w:hint="eastAsia" w:ascii="Times New Roman" w:hAnsi="宋体" w:eastAsia="宋体"/>
          <w:sz w:val="24"/>
          <w:szCs w:val="24"/>
        </w:rPr>
        <w:t>改造，提高</w:t>
      </w:r>
      <w:r>
        <w:rPr>
          <w:rFonts w:hint="eastAsia" w:ascii="Times New Roman" w:hAnsi="宋体" w:eastAsia="宋体"/>
          <w:sz w:val="24"/>
          <w:szCs w:val="24"/>
          <w:lang w:val="en-US" w:eastAsia="zh-CN"/>
        </w:rPr>
        <w:t>污染治理</w:t>
      </w:r>
      <w:r>
        <w:rPr>
          <w:rFonts w:hint="eastAsia" w:ascii="Times New Roman" w:hAnsi="宋体" w:eastAsia="宋体"/>
          <w:sz w:val="24"/>
          <w:szCs w:val="24"/>
        </w:rPr>
        <w:t>水平。</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3、管理和过程控制</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过程控制对生产过程极为重要，决定了产品的质量及得率；另外，加强管理是公司发展的永恒主题，任何管理上的松懈均会严重影响到废弃物的产生。公司产品加工工艺参数处于受控状态，企业建立了一定的管理制度，但审核发现在管理和过程控制中企业有待改进的地方有：</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1）公司尚未制定专项节能、节水等环保管理制度，且已有的一些制度及措施，也执行不力，导致措施落实不到实处，效果有限。建议完善管理体系，且保证制定的制度落到实处；同时建议公司建立清洁生产管理制度，制定清洁生产激励政策，提高全员参与的积极性和主动性。</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（2）</w:t>
      </w:r>
      <w:r>
        <w:rPr>
          <w:rFonts w:hint="eastAsia" w:ascii="Times New Roman" w:hAnsi="宋体" w:eastAsia="宋体"/>
          <w:sz w:val="24"/>
          <w:szCs w:val="24"/>
          <w:lang w:val="en-US" w:eastAsia="zh-CN"/>
        </w:rPr>
        <w:t>切管</w:t>
      </w:r>
      <w:r>
        <w:rPr>
          <w:rFonts w:hint="eastAsia" w:ascii="Times New Roman" w:hAnsi="宋体" w:eastAsia="宋体"/>
          <w:sz w:val="24"/>
          <w:szCs w:val="24"/>
        </w:rPr>
        <w:t>过程中</w:t>
      </w:r>
      <w:r>
        <w:rPr>
          <w:rFonts w:hint="eastAsia" w:ascii="Times New Roman" w:hAnsi="宋体" w:eastAsia="宋体"/>
          <w:sz w:val="24"/>
          <w:szCs w:val="24"/>
          <w:lang w:val="en-US" w:eastAsia="zh-CN"/>
        </w:rPr>
        <w:t>粉尘无组织排放</w:t>
      </w:r>
      <w:r>
        <w:rPr>
          <w:rFonts w:hint="eastAsia" w:ascii="Times New Roman" w:hAnsi="宋体" w:eastAsia="宋体"/>
          <w:sz w:val="24"/>
          <w:szCs w:val="24"/>
        </w:rPr>
        <w:t>。建议应加强设备维护，设备进行定期保养；同时进行</w:t>
      </w:r>
      <w:r>
        <w:rPr>
          <w:rFonts w:hint="eastAsia" w:ascii="Times New Roman" w:hAnsi="宋体" w:eastAsia="宋体"/>
          <w:sz w:val="24"/>
          <w:szCs w:val="24"/>
          <w:lang w:val="en-US" w:eastAsia="zh-CN"/>
        </w:rPr>
        <w:t>排放处理</w:t>
      </w:r>
      <w:r>
        <w:rPr>
          <w:rFonts w:hint="eastAsia" w:ascii="Times New Roman" w:hAnsi="宋体" w:eastAsia="宋体"/>
          <w:sz w:val="24"/>
          <w:szCs w:val="24"/>
        </w:rPr>
        <w:t>改造，提高</w:t>
      </w:r>
      <w:r>
        <w:rPr>
          <w:rFonts w:hint="eastAsia" w:ascii="Times New Roman" w:hAnsi="宋体" w:eastAsia="宋体"/>
          <w:sz w:val="24"/>
          <w:szCs w:val="24"/>
          <w:lang w:val="en-US" w:eastAsia="zh-CN"/>
        </w:rPr>
        <w:t>污染治理</w:t>
      </w:r>
      <w:r>
        <w:rPr>
          <w:rFonts w:hint="eastAsia" w:ascii="Times New Roman" w:hAnsi="宋体" w:eastAsia="宋体"/>
          <w:sz w:val="24"/>
          <w:szCs w:val="24"/>
        </w:rPr>
        <w:t>水平。</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4、产品及包装</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产品结构的特殊性决定了生产工艺过程，产品性能、种类和结构等的变化往往要求生产工艺过程做出相应的改变和调整，因而也会影响到废弃物的产生；产品的包装、体积等也会对生产过程及其废弃物的产生造成影响，因而也就影响到废弃物的产生量。</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5、废弃物</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废弃物本身所具有的特性和所处的状态直接关系到它是否可现场再用和循环使用。生产过程中公司排放的主要废弃物有</w:t>
      </w:r>
      <w:r>
        <w:rPr>
          <w:rFonts w:hint="eastAsia" w:ascii="Times New Roman" w:hAnsi="宋体" w:eastAsia="宋体"/>
          <w:sz w:val="24"/>
          <w:szCs w:val="24"/>
          <w:lang w:val="en-US" w:eastAsia="zh-CN"/>
        </w:rPr>
        <w:t>边角料</w:t>
      </w:r>
      <w:r>
        <w:rPr>
          <w:rFonts w:hint="eastAsia" w:ascii="Times New Roman" w:hAnsi="宋体" w:eastAsia="宋体"/>
          <w:sz w:val="24"/>
          <w:szCs w:val="24"/>
        </w:rPr>
        <w:t>和</w:t>
      </w:r>
      <w:r>
        <w:rPr>
          <w:rFonts w:hint="eastAsia" w:ascii="Times New Roman" w:hAnsi="宋体" w:eastAsia="宋体"/>
          <w:sz w:val="24"/>
          <w:szCs w:val="24"/>
          <w:lang w:eastAsia="zh-CN"/>
        </w:rPr>
        <w:t>废异氢酸脂空桶</w:t>
      </w:r>
      <w:r>
        <w:rPr>
          <w:rFonts w:hint="eastAsia" w:ascii="Times New Roman" w:hAnsi="宋体" w:eastAsia="宋体"/>
          <w:sz w:val="24"/>
          <w:szCs w:val="24"/>
        </w:rPr>
        <w:t>、</w:t>
      </w:r>
      <w:r>
        <w:rPr>
          <w:rFonts w:hint="eastAsia" w:ascii="Times New Roman" w:hAnsi="宋体" w:eastAsia="宋体"/>
          <w:sz w:val="24"/>
          <w:szCs w:val="24"/>
          <w:lang w:val="en-US" w:eastAsia="zh-CN"/>
        </w:rPr>
        <w:t>废修补胶桶</w:t>
      </w:r>
      <w:r>
        <w:rPr>
          <w:rFonts w:hint="eastAsia" w:ascii="Times New Roman" w:hAnsi="宋体" w:eastAsia="宋体"/>
          <w:sz w:val="24"/>
          <w:szCs w:val="24"/>
        </w:rPr>
        <w:t>、噪声及</w:t>
      </w:r>
      <w:r>
        <w:rPr>
          <w:rFonts w:hint="eastAsia" w:ascii="Times New Roman" w:hAnsi="宋体" w:eastAsia="宋体"/>
          <w:sz w:val="24"/>
          <w:szCs w:val="24"/>
          <w:lang w:val="en-US" w:eastAsia="zh-CN"/>
        </w:rPr>
        <w:t>焊接和浇注</w:t>
      </w:r>
      <w:r>
        <w:rPr>
          <w:rFonts w:hint="eastAsia" w:ascii="Times New Roman" w:hAnsi="宋体" w:eastAsia="宋体"/>
          <w:sz w:val="24"/>
          <w:szCs w:val="24"/>
        </w:rPr>
        <w:t>废气。</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企业较好的控制了设备噪声和</w:t>
      </w:r>
      <w:r>
        <w:rPr>
          <w:rFonts w:hint="eastAsia" w:ascii="Times New Roman" w:hAnsi="宋体" w:eastAsia="宋体"/>
          <w:sz w:val="24"/>
          <w:szCs w:val="24"/>
          <w:lang w:eastAsia="zh-CN"/>
        </w:rPr>
        <w:t>打磨</w:t>
      </w:r>
      <w:r>
        <w:rPr>
          <w:rFonts w:hint="eastAsia" w:ascii="Times New Roman" w:hAnsi="宋体" w:eastAsia="宋体"/>
          <w:sz w:val="24"/>
          <w:szCs w:val="24"/>
        </w:rPr>
        <w:t>废气的排放，噪声及废气对周围环境的影响小。</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6、员工素质</w:t>
      </w:r>
    </w:p>
    <w:p>
      <w:pPr>
        <w:spacing w:line="360" w:lineRule="auto"/>
        <w:ind w:firstLine="480" w:firstLineChars="200"/>
        <w:rPr>
          <w:rFonts w:hint="eastAsia" w:ascii="Times New Roman" w:hAnsi="宋体" w:eastAsia="宋体"/>
          <w:sz w:val="24"/>
          <w:szCs w:val="24"/>
        </w:rPr>
      </w:pPr>
      <w:r>
        <w:rPr>
          <w:rFonts w:hint="eastAsia" w:ascii="Times New Roman" w:hAnsi="宋体" w:eastAsia="宋体"/>
          <w:sz w:val="24"/>
          <w:szCs w:val="24"/>
        </w:rPr>
        <w:t>员工素质的提高及积极性的激励是有效控制生产过程和废弃物产生的重要因素。应定期培训，开展技能竞赛等，加强员工的操作技能和责任心。同时，还应加强环保及清洁生产相关培训和宣传，提高员工的清洁生产意识，减少废弃物的产生，提高产品质量。</w:t>
      </w:r>
    </w:p>
    <w:p>
      <w:pPr>
        <w:pStyle w:val="3"/>
        <w:widowControl w:val="0"/>
        <w:adjustRightInd/>
        <w:snapToGrid/>
        <w:spacing w:beforeLines="50" w:after="0" w:line="360" w:lineRule="auto"/>
        <w:rPr>
          <w:rFonts w:ascii="Times New Roman" w:hAnsi="Times New Roman"/>
          <w:sz w:val="30"/>
          <w:szCs w:val="30"/>
        </w:rPr>
      </w:pPr>
      <w:bookmarkStart w:id="183" w:name="_Toc315"/>
      <w:bookmarkStart w:id="184" w:name="_Toc525138407"/>
      <w:bookmarkStart w:id="185" w:name="_Toc499903488"/>
      <w:bookmarkStart w:id="186" w:name="_Toc525138263"/>
      <w:r>
        <w:rPr>
          <w:rFonts w:hint="eastAsia" w:ascii="Times New Roman" w:hAnsi="Times New Roman"/>
          <w:sz w:val="30"/>
          <w:szCs w:val="30"/>
        </w:rPr>
        <w:t>4.5针对审核重点提出清洁生产方案</w:t>
      </w:r>
      <w:bookmarkEnd w:id="183"/>
      <w:bookmarkEnd w:id="184"/>
      <w:bookmarkEnd w:id="185"/>
      <w:bookmarkEnd w:id="186"/>
    </w:p>
    <w:p>
      <w:pPr>
        <w:pStyle w:val="42"/>
        <w:ind w:firstLine="480" w:firstLineChars="200"/>
        <w:jc w:val="left"/>
        <w:rPr>
          <w:rFonts w:hint="eastAsia" w:ascii="Times New Roman" w:hAnsi="宋体" w:eastAsia="宋体"/>
          <w:b/>
          <w:sz w:val="24"/>
          <w:szCs w:val="24"/>
        </w:rPr>
      </w:pPr>
      <w:r>
        <w:rPr>
          <w:rFonts w:hint="eastAsia" w:eastAsia="宋体"/>
          <w:bCs/>
          <w:szCs w:val="24"/>
        </w:rPr>
        <w:t>对审核重点生产车间，我们从物料平衡方面入手，详细分析各种废弃物产生原因，全厂动员，集思广益，继续提出了很多方案，本着边审核边实施的原则，企业对提出的可行的无/低费方案进行了实施并取得了预期效果，同时对审核重点车间以外车间提出的可行的无低费方案进行了实施。</w:t>
      </w:r>
      <w:r>
        <w:rPr>
          <w:rFonts w:eastAsia="宋体"/>
          <w:szCs w:val="24"/>
        </w:rPr>
        <w:t>将其列入表</w:t>
      </w:r>
      <w:r>
        <w:rPr>
          <w:rFonts w:hint="eastAsia" w:eastAsia="宋体"/>
          <w:szCs w:val="24"/>
        </w:rPr>
        <w:t>4-</w:t>
      </w:r>
      <w:r>
        <w:rPr>
          <w:rFonts w:hint="eastAsia" w:eastAsia="宋体"/>
          <w:szCs w:val="24"/>
          <w:lang w:val="en-US" w:eastAsia="zh-CN"/>
        </w:rPr>
        <w:t>6</w:t>
      </w:r>
      <w:r>
        <w:rPr>
          <w:rFonts w:eastAsia="宋体"/>
          <w:szCs w:val="24"/>
        </w:rPr>
        <w:t>中。</w:t>
      </w:r>
    </w:p>
    <w:p>
      <w:pPr>
        <w:spacing w:line="360" w:lineRule="auto"/>
        <w:ind w:firstLine="482"/>
        <w:jc w:val="center"/>
        <w:rPr>
          <w:rFonts w:ascii="Times New Roman" w:hAnsi="宋体" w:eastAsia="宋体"/>
          <w:b/>
          <w:sz w:val="24"/>
          <w:szCs w:val="24"/>
        </w:rPr>
      </w:pPr>
      <w:r>
        <w:rPr>
          <w:rFonts w:hint="eastAsia" w:ascii="Times New Roman" w:hAnsi="宋体" w:eastAsia="宋体"/>
          <w:b/>
          <w:sz w:val="24"/>
          <w:szCs w:val="24"/>
        </w:rPr>
        <w:t>表4-</w:t>
      </w:r>
      <w:r>
        <w:rPr>
          <w:rFonts w:hint="eastAsia" w:ascii="Times New Roman" w:hAnsi="宋体" w:eastAsia="宋体"/>
          <w:b/>
          <w:sz w:val="24"/>
          <w:szCs w:val="24"/>
          <w:lang w:val="en-US" w:eastAsia="zh-CN"/>
        </w:rPr>
        <w:t>6</w:t>
      </w:r>
      <w:r>
        <w:rPr>
          <w:rFonts w:hint="eastAsia" w:ascii="Times New Roman" w:hAnsi="宋体" w:eastAsia="宋体"/>
          <w:b/>
          <w:sz w:val="24"/>
          <w:szCs w:val="24"/>
        </w:rPr>
        <w:t xml:space="preserve">  清</w:t>
      </w:r>
      <w:r>
        <w:rPr>
          <w:rFonts w:ascii="Times New Roman" w:hAnsi="宋体" w:eastAsia="宋体"/>
          <w:b/>
          <w:sz w:val="24"/>
          <w:szCs w:val="24"/>
        </w:rPr>
        <w:t>洁生产方案一览表（2）</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986"/>
        <w:gridCol w:w="2459"/>
        <w:gridCol w:w="1110"/>
        <w:gridCol w:w="22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tblHeader/>
          <w:jc w:val="center"/>
        </w:trPr>
        <w:tc>
          <w:tcPr>
            <w:tcW w:w="396" w:type="pct"/>
            <w:noWrap w:val="0"/>
            <w:vAlign w:val="center"/>
          </w:tcPr>
          <w:p>
            <w:pPr>
              <w:pStyle w:val="44"/>
              <w:snapToGrid w:val="0"/>
            </w:pPr>
            <w:r>
              <w:t>序号</w:t>
            </w:r>
          </w:p>
        </w:tc>
        <w:tc>
          <w:tcPr>
            <w:tcW w:w="1165" w:type="pct"/>
            <w:noWrap w:val="0"/>
            <w:vAlign w:val="center"/>
          </w:tcPr>
          <w:p>
            <w:pPr>
              <w:pStyle w:val="44"/>
              <w:snapToGrid w:val="0"/>
              <w:ind w:firstLine="420" w:firstLineChars="200"/>
              <w:jc w:val="both"/>
            </w:pPr>
            <w:r>
              <w:t>问题描述</w:t>
            </w:r>
          </w:p>
        </w:tc>
        <w:tc>
          <w:tcPr>
            <w:tcW w:w="1442" w:type="pct"/>
            <w:noWrap w:val="0"/>
            <w:vAlign w:val="center"/>
          </w:tcPr>
          <w:p>
            <w:pPr>
              <w:pStyle w:val="44"/>
              <w:snapToGrid w:val="0"/>
            </w:pPr>
            <w:r>
              <w:t>审核建议</w:t>
            </w:r>
          </w:p>
        </w:tc>
        <w:tc>
          <w:tcPr>
            <w:tcW w:w="651" w:type="pct"/>
            <w:noWrap w:val="0"/>
            <w:vAlign w:val="center"/>
          </w:tcPr>
          <w:p>
            <w:pPr>
              <w:pStyle w:val="44"/>
              <w:snapToGrid w:val="0"/>
            </w:pPr>
            <w:r>
              <w:t>预计投资（万元）</w:t>
            </w:r>
          </w:p>
        </w:tc>
        <w:tc>
          <w:tcPr>
            <w:tcW w:w="1344" w:type="pct"/>
            <w:noWrap w:val="0"/>
            <w:vAlign w:val="center"/>
          </w:tcPr>
          <w:p>
            <w:pPr>
              <w:pStyle w:val="44"/>
              <w:snapToGrid w:val="0"/>
            </w:pPr>
            <w:r>
              <w:t>预期经济环境效益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396" w:type="pct"/>
            <w:noWrap w:val="0"/>
            <w:vAlign w:val="center"/>
          </w:tcPr>
          <w:p>
            <w:pPr>
              <w:pStyle w:val="44"/>
              <w:snapToGrid w:val="0"/>
              <w:rPr>
                <w:rFonts w:hint="default" w:eastAsiaTheme="minorEastAsia"/>
                <w:lang w:val="en-US" w:eastAsia="zh-CN"/>
              </w:rPr>
            </w:pPr>
            <w:r>
              <w:rPr>
                <w:rFonts w:hint="eastAsia"/>
                <w:lang w:val="en-US" w:eastAsia="zh-CN"/>
              </w:rPr>
              <w:t>F2-1</w:t>
            </w:r>
          </w:p>
        </w:tc>
        <w:tc>
          <w:tcPr>
            <w:tcW w:w="1165" w:type="pct"/>
            <w:noWrap w:val="0"/>
            <w:vAlign w:val="center"/>
          </w:tcPr>
          <w:p>
            <w:pPr>
              <w:pStyle w:val="44"/>
              <w:snapToGrid w:val="0"/>
            </w:pPr>
            <w:r>
              <w:t>原辅料入场缺少检验</w:t>
            </w:r>
          </w:p>
        </w:tc>
        <w:tc>
          <w:tcPr>
            <w:tcW w:w="1442" w:type="pct"/>
            <w:noWrap w:val="0"/>
            <w:vAlign w:val="center"/>
          </w:tcPr>
          <w:p>
            <w:pPr>
              <w:pStyle w:val="44"/>
              <w:snapToGrid w:val="0"/>
            </w:pPr>
            <w:r>
              <w:t>加强对入场原辅料的检验，不合格产品不能入场</w:t>
            </w:r>
          </w:p>
        </w:tc>
        <w:tc>
          <w:tcPr>
            <w:tcW w:w="651" w:type="pct"/>
            <w:noWrap w:val="0"/>
            <w:vAlign w:val="center"/>
          </w:tcPr>
          <w:p>
            <w:pPr>
              <w:pStyle w:val="44"/>
              <w:snapToGrid w:val="0"/>
            </w:pPr>
            <w:r>
              <w:rPr>
                <w:rFonts w:hint="eastAsia"/>
              </w:rPr>
              <w:t>0</w:t>
            </w:r>
          </w:p>
        </w:tc>
        <w:tc>
          <w:tcPr>
            <w:tcW w:w="1344" w:type="pct"/>
            <w:noWrap w:val="0"/>
            <w:vAlign w:val="center"/>
          </w:tcPr>
          <w:p>
            <w:pPr>
              <w:pStyle w:val="44"/>
              <w:snapToGrid w:val="0"/>
            </w:pPr>
            <w:r>
              <w:t>确保原辅料质量，减少废物排放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396" w:type="pct"/>
            <w:noWrap w:val="0"/>
            <w:vAlign w:val="center"/>
          </w:tcPr>
          <w:p>
            <w:pPr>
              <w:pStyle w:val="44"/>
              <w:snapToGrid w:val="0"/>
              <w:rPr>
                <w:rFonts w:hint="default" w:eastAsiaTheme="minorEastAsia"/>
                <w:lang w:val="en-US" w:eastAsia="zh-CN"/>
              </w:rPr>
            </w:pPr>
            <w:r>
              <w:rPr>
                <w:rFonts w:hint="eastAsia"/>
                <w:lang w:val="en-US" w:eastAsia="zh-CN"/>
              </w:rPr>
              <w:t>F2-2</w:t>
            </w:r>
          </w:p>
        </w:tc>
        <w:tc>
          <w:tcPr>
            <w:tcW w:w="1986" w:type="dxa"/>
            <w:noWrap w:val="0"/>
            <w:vAlign w:val="center"/>
          </w:tcPr>
          <w:p>
            <w:pPr>
              <w:pStyle w:val="52"/>
              <w:keepNext w:val="0"/>
              <w:keepLines w:val="0"/>
              <w:pageBreakBefore w:val="0"/>
              <w:kinsoku/>
              <w:wordWrap/>
              <w:overflowPunct/>
              <w:topLinePunct w:val="0"/>
              <w:autoSpaceDE/>
              <w:autoSpaceDN/>
              <w:bidi w:val="0"/>
              <w:adjustRightInd w:val="0"/>
              <w:snapToGrid w:val="0"/>
              <w:spacing w:before="66" w:beforeLines="20" w:line="240" w:lineRule="auto"/>
              <w:ind w:left="0" w:leftChars="0" w:right="0" w:rightChars="0"/>
              <w:outlineLvl w:val="9"/>
              <w:rPr>
                <w:rFonts w:hint="default" w:eastAsia="宋体"/>
                <w:lang w:val="en-US" w:eastAsia="zh-CN"/>
              </w:rPr>
            </w:pPr>
            <w:r>
              <w:rPr>
                <w:rFonts w:hint="eastAsia" w:eastAsia="宋体"/>
                <w:lang w:val="en-US" w:eastAsia="zh-CN"/>
              </w:rPr>
              <w:t>发泡车间环线牵引链条不稳定</w:t>
            </w:r>
          </w:p>
        </w:tc>
        <w:tc>
          <w:tcPr>
            <w:tcW w:w="2459" w:type="dxa"/>
            <w:noWrap w:val="0"/>
            <w:vAlign w:val="center"/>
          </w:tcPr>
          <w:p>
            <w:pPr>
              <w:pStyle w:val="52"/>
              <w:keepNext w:val="0"/>
              <w:keepLines w:val="0"/>
              <w:pageBreakBefore w:val="0"/>
              <w:kinsoku/>
              <w:wordWrap/>
              <w:overflowPunct/>
              <w:topLinePunct w:val="0"/>
              <w:autoSpaceDE/>
              <w:autoSpaceDN/>
              <w:bidi w:val="0"/>
              <w:adjustRightInd w:val="0"/>
              <w:snapToGrid w:val="0"/>
              <w:spacing w:before="66" w:beforeLines="20" w:line="240" w:lineRule="auto"/>
              <w:ind w:left="0" w:leftChars="0" w:right="0" w:rightChars="0"/>
              <w:outlineLvl w:val="9"/>
              <w:rPr>
                <w:rFonts w:hint="default" w:eastAsia="宋体"/>
                <w:lang w:val="en-US" w:eastAsia="zh-CN"/>
              </w:rPr>
            </w:pPr>
            <w:r>
              <w:rPr>
                <w:rFonts w:hint="eastAsia" w:eastAsia="宋体"/>
                <w:snapToGrid w:val="0"/>
                <w:color w:val="auto"/>
                <w:kern w:val="24"/>
                <w:lang w:val="en-US" w:eastAsia="zh-CN"/>
              </w:rPr>
              <w:t>更换牵引链条</w:t>
            </w:r>
          </w:p>
        </w:tc>
        <w:tc>
          <w:tcPr>
            <w:tcW w:w="651" w:type="pct"/>
            <w:noWrap w:val="0"/>
            <w:vAlign w:val="center"/>
          </w:tcPr>
          <w:p>
            <w:pPr>
              <w:pStyle w:val="44"/>
              <w:snapToGrid w:val="0"/>
              <w:rPr>
                <w:rFonts w:hint="default" w:eastAsiaTheme="minorEastAsia"/>
                <w:lang w:val="en-US" w:eastAsia="zh-CN"/>
              </w:rPr>
            </w:pPr>
            <w:r>
              <w:rPr>
                <w:rFonts w:hint="eastAsia"/>
                <w:lang w:val="en-US" w:eastAsia="zh-CN"/>
              </w:rPr>
              <w:t>12</w:t>
            </w:r>
          </w:p>
        </w:tc>
        <w:tc>
          <w:tcPr>
            <w:tcW w:w="1344" w:type="pct"/>
            <w:noWrap w:val="0"/>
            <w:vAlign w:val="center"/>
          </w:tcPr>
          <w:p>
            <w:pPr>
              <w:pStyle w:val="44"/>
              <w:snapToGrid w:val="0"/>
              <w:rPr>
                <w:rFonts w:hint="default" w:eastAsia="宋体"/>
                <w:lang w:val="en-US" w:eastAsia="zh-CN"/>
              </w:rPr>
            </w:pPr>
            <w:r>
              <w:rPr>
                <w:rFonts w:hAnsi="宋体" w:eastAsia="宋体"/>
              </w:rPr>
              <w:t>减少</w:t>
            </w:r>
            <w:r>
              <w:rPr>
                <w:rFonts w:hint="eastAsia" w:hAnsi="宋体" w:eastAsia="宋体"/>
                <w:lang w:val="en-US" w:eastAsia="zh-CN"/>
              </w:rPr>
              <w:t>故障率，降低能耗，提高生产效率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396" w:type="pct"/>
            <w:noWrap w:val="0"/>
            <w:vAlign w:val="center"/>
          </w:tcPr>
          <w:p>
            <w:pPr>
              <w:pStyle w:val="44"/>
              <w:snapToGrid w:val="0"/>
              <w:rPr>
                <w:rFonts w:hint="default" w:eastAsiaTheme="minorEastAsia"/>
                <w:lang w:val="en-US" w:eastAsia="zh-CN"/>
              </w:rPr>
            </w:pPr>
            <w:r>
              <w:rPr>
                <w:rFonts w:hint="eastAsia"/>
                <w:lang w:val="en-US" w:eastAsia="zh-CN"/>
              </w:rPr>
              <w:t>F2-3</w:t>
            </w:r>
          </w:p>
        </w:tc>
        <w:tc>
          <w:tcPr>
            <w:tcW w:w="1165" w:type="pct"/>
            <w:noWrap w:val="0"/>
            <w:vAlign w:val="center"/>
          </w:tcPr>
          <w:p>
            <w:pPr>
              <w:pStyle w:val="44"/>
              <w:snapToGrid w:val="0"/>
            </w:pPr>
            <w:r>
              <w:t>废包装袋随生活垃圾丢弃</w:t>
            </w:r>
          </w:p>
        </w:tc>
        <w:tc>
          <w:tcPr>
            <w:tcW w:w="1442" w:type="pct"/>
            <w:noWrap w:val="0"/>
            <w:vAlign w:val="center"/>
          </w:tcPr>
          <w:p>
            <w:pPr>
              <w:pStyle w:val="44"/>
              <w:snapToGrid w:val="0"/>
            </w:pPr>
            <w:r>
              <w:t>对废包装袋分类回收，尽可能循环利用</w:t>
            </w:r>
          </w:p>
        </w:tc>
        <w:tc>
          <w:tcPr>
            <w:tcW w:w="651" w:type="pct"/>
            <w:noWrap w:val="0"/>
            <w:vAlign w:val="center"/>
          </w:tcPr>
          <w:p>
            <w:pPr>
              <w:pStyle w:val="44"/>
              <w:snapToGrid w:val="0"/>
              <w:rPr>
                <w:rFonts w:hint="eastAsia"/>
              </w:rPr>
            </w:pPr>
            <w:r>
              <w:rPr>
                <w:rFonts w:hint="eastAsia"/>
              </w:rPr>
              <w:t>0</w:t>
            </w:r>
          </w:p>
        </w:tc>
        <w:tc>
          <w:tcPr>
            <w:tcW w:w="1344" w:type="pct"/>
            <w:noWrap w:val="0"/>
            <w:vAlign w:val="center"/>
          </w:tcPr>
          <w:p>
            <w:pPr>
              <w:pStyle w:val="44"/>
              <w:snapToGrid w:val="0"/>
            </w:pPr>
            <w:r>
              <w:t>减少废包装袋的排放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396" w:type="pct"/>
            <w:noWrap w:val="0"/>
            <w:vAlign w:val="center"/>
          </w:tcPr>
          <w:p>
            <w:pPr>
              <w:pStyle w:val="44"/>
              <w:snapToGrid w:val="0"/>
              <w:rPr>
                <w:rFonts w:hint="default"/>
                <w:lang w:val="en-US" w:eastAsia="zh-CN"/>
              </w:rPr>
            </w:pPr>
            <w:r>
              <w:rPr>
                <w:rFonts w:hint="eastAsia"/>
                <w:lang w:val="en-US" w:eastAsia="zh-CN"/>
              </w:rPr>
              <w:t>F2-4</w:t>
            </w:r>
          </w:p>
        </w:tc>
        <w:tc>
          <w:tcPr>
            <w:tcW w:w="1986" w:type="dxa"/>
            <w:noWrap w:val="0"/>
            <w:vAlign w:val="center"/>
          </w:tcPr>
          <w:p>
            <w:pPr>
              <w:pStyle w:val="44"/>
              <w:snapToGrid w:val="0"/>
              <w:rPr>
                <w:lang w:eastAsia="zh-CN"/>
              </w:rPr>
            </w:pPr>
            <w:r>
              <w:rPr>
                <w:rFonts w:hint="eastAsia"/>
                <w:lang w:eastAsia="zh-CN"/>
              </w:rPr>
              <w:t>人工混料装置粉尘量产生较大</w:t>
            </w:r>
          </w:p>
          <w:p>
            <w:pPr>
              <w:pStyle w:val="44"/>
              <w:snapToGrid w:val="0"/>
            </w:pPr>
          </w:p>
        </w:tc>
        <w:tc>
          <w:tcPr>
            <w:tcW w:w="2459" w:type="dxa"/>
            <w:noWrap w:val="0"/>
            <w:vAlign w:val="center"/>
          </w:tcPr>
          <w:p>
            <w:pPr>
              <w:pStyle w:val="44"/>
              <w:snapToGrid w:val="0"/>
              <w:rPr>
                <w:lang w:eastAsia="en-US"/>
              </w:rPr>
            </w:pPr>
            <w:r>
              <w:rPr>
                <w:rFonts w:hint="eastAsia"/>
                <w:lang w:eastAsia="en-US"/>
              </w:rPr>
              <w:t>增加自动混料系统</w:t>
            </w:r>
          </w:p>
          <w:p>
            <w:pPr>
              <w:pStyle w:val="44"/>
              <w:snapToGrid w:val="0"/>
            </w:pPr>
          </w:p>
        </w:tc>
        <w:tc>
          <w:tcPr>
            <w:tcW w:w="651" w:type="pct"/>
            <w:noWrap w:val="0"/>
            <w:vAlign w:val="center"/>
          </w:tcPr>
          <w:p>
            <w:pPr>
              <w:pStyle w:val="44"/>
              <w:snapToGrid w:val="0"/>
              <w:rPr>
                <w:rFonts w:hint="default"/>
                <w:lang w:val="en-US" w:eastAsia="zh-CN"/>
              </w:rPr>
            </w:pPr>
            <w:r>
              <w:rPr>
                <w:rFonts w:hint="eastAsia"/>
                <w:lang w:val="en-US" w:eastAsia="zh-CN"/>
              </w:rPr>
              <w:t>20</w:t>
            </w:r>
          </w:p>
        </w:tc>
        <w:tc>
          <w:tcPr>
            <w:tcW w:w="1344" w:type="pct"/>
            <w:noWrap w:val="0"/>
            <w:vAlign w:val="center"/>
          </w:tcPr>
          <w:p>
            <w:pPr>
              <w:pStyle w:val="44"/>
              <w:snapToGrid w:val="0"/>
              <w:rPr>
                <w:rFonts w:hint="default" w:eastAsiaTheme="minorEastAsia"/>
                <w:lang w:val="en-US" w:eastAsia="zh-CN"/>
              </w:rPr>
            </w:pPr>
            <w:r>
              <w:rPr>
                <w:rFonts w:hint="eastAsia"/>
                <w:lang w:val="en-US" w:eastAsia="zh-CN"/>
              </w:rPr>
              <w:t>提高生产效率，降低粉尘排放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396" w:type="pct"/>
            <w:noWrap w:val="0"/>
            <w:vAlign w:val="center"/>
          </w:tcPr>
          <w:p>
            <w:pPr>
              <w:pStyle w:val="44"/>
              <w:snapToGrid w:val="0"/>
              <w:rPr>
                <w:rFonts w:hint="default" w:eastAsiaTheme="minorEastAsia"/>
                <w:lang w:val="en-US" w:eastAsia="zh-CN"/>
              </w:rPr>
            </w:pPr>
            <w:r>
              <w:rPr>
                <w:rFonts w:hint="eastAsia"/>
                <w:lang w:val="en-US" w:eastAsia="zh-CN"/>
              </w:rPr>
              <w:t>F2-5</w:t>
            </w:r>
          </w:p>
        </w:tc>
        <w:tc>
          <w:tcPr>
            <w:tcW w:w="1165" w:type="pct"/>
            <w:noWrap w:val="0"/>
            <w:vAlign w:val="center"/>
          </w:tcPr>
          <w:p>
            <w:pPr>
              <w:pStyle w:val="44"/>
              <w:snapToGrid w:val="0"/>
            </w:pPr>
            <w:r>
              <w:rPr>
                <w:szCs w:val="21"/>
              </w:rPr>
              <w:t>部分员工操作技术不熟练</w:t>
            </w:r>
          </w:p>
        </w:tc>
        <w:tc>
          <w:tcPr>
            <w:tcW w:w="1442" w:type="pct"/>
            <w:noWrap w:val="0"/>
            <w:vAlign w:val="center"/>
          </w:tcPr>
          <w:p>
            <w:pPr>
              <w:pStyle w:val="44"/>
              <w:snapToGrid w:val="0"/>
            </w:pPr>
            <w:r>
              <w:t>加强员工技术培训，提高员工操作技能</w:t>
            </w:r>
          </w:p>
        </w:tc>
        <w:tc>
          <w:tcPr>
            <w:tcW w:w="651" w:type="pct"/>
            <w:noWrap w:val="0"/>
            <w:vAlign w:val="center"/>
          </w:tcPr>
          <w:p>
            <w:pPr>
              <w:pStyle w:val="44"/>
              <w:snapToGrid w:val="0"/>
            </w:pPr>
            <w:r>
              <w:t>1.0</w:t>
            </w:r>
          </w:p>
        </w:tc>
        <w:tc>
          <w:tcPr>
            <w:tcW w:w="1344" w:type="pct"/>
            <w:noWrap w:val="0"/>
            <w:vAlign w:val="center"/>
          </w:tcPr>
          <w:p>
            <w:pPr>
              <w:pStyle w:val="44"/>
              <w:snapToGrid w:val="0"/>
            </w:pPr>
            <w:r>
              <w:t>减少污染物排放，节约原辅料；减少系统故障，提高生产效率</w:t>
            </w:r>
          </w:p>
        </w:tc>
      </w:tr>
    </w:tbl>
    <w:p>
      <w:pPr>
        <w:spacing w:line="360" w:lineRule="auto"/>
        <w:ind w:firstLine="480" w:firstLineChars="200"/>
        <w:rPr>
          <w:rFonts w:ascii="Times New Roman" w:hAnsi="Times New Roman" w:eastAsia="宋体" w:cs="Times New Roman"/>
          <w:sz w:val="24"/>
          <w:szCs w:val="24"/>
        </w:rPr>
      </w:pPr>
    </w:p>
    <w:p>
      <w:pPr>
        <w:widowControl/>
        <w:jc w:val="left"/>
        <w:rPr>
          <w:rFonts w:ascii="Times New Roman" w:hAnsi="宋体" w:eastAsia="宋体"/>
          <w:sz w:val="24"/>
          <w:szCs w:val="24"/>
        </w:rPr>
      </w:pPr>
      <w:r>
        <w:rPr>
          <w:rFonts w:ascii="Times New Roman" w:hAnsi="宋体" w:eastAsia="宋体"/>
          <w:sz w:val="24"/>
          <w:szCs w:val="24"/>
        </w:rPr>
        <w:br w:type="page"/>
      </w: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color w:val="000000" w:themeColor="text1"/>
          <w:sz w:val="36"/>
          <w:szCs w:val="36"/>
        </w:rPr>
      </w:pPr>
      <w:bookmarkStart w:id="187" w:name="_Toc525138264"/>
      <w:bookmarkStart w:id="188" w:name="_Toc525138408"/>
      <w:bookmarkStart w:id="189" w:name="_Toc19131"/>
      <w:bookmarkStart w:id="190" w:name="_Toc499903489"/>
      <w:r>
        <w:rPr>
          <w:rFonts w:hint="eastAsia" w:cs="Times New Roman" w:asciiTheme="minorEastAsia" w:hAnsiTheme="minorEastAsia" w:eastAsiaTheme="minorEastAsia"/>
          <w:color w:val="000000" w:themeColor="text1"/>
          <w:sz w:val="36"/>
          <w:szCs w:val="36"/>
        </w:rPr>
        <w:t>五、</w:t>
      </w:r>
      <w:r>
        <w:rPr>
          <w:rFonts w:cs="Times New Roman" w:asciiTheme="minorEastAsia" w:hAnsiTheme="minorEastAsia" w:eastAsiaTheme="minorEastAsia"/>
          <w:color w:val="000000" w:themeColor="text1"/>
          <w:sz w:val="36"/>
          <w:szCs w:val="36"/>
        </w:rPr>
        <w:t>方案的</w:t>
      </w:r>
      <w:r>
        <w:rPr>
          <w:rFonts w:hint="eastAsia" w:cs="Times New Roman" w:asciiTheme="minorEastAsia" w:hAnsiTheme="minorEastAsia" w:eastAsiaTheme="minorEastAsia"/>
          <w:color w:val="000000" w:themeColor="text1"/>
          <w:sz w:val="36"/>
          <w:szCs w:val="36"/>
        </w:rPr>
        <w:t>产生</w:t>
      </w:r>
      <w:r>
        <w:rPr>
          <w:rFonts w:cs="Times New Roman" w:asciiTheme="minorEastAsia" w:hAnsiTheme="minorEastAsia" w:eastAsiaTheme="minorEastAsia"/>
          <w:color w:val="000000" w:themeColor="text1"/>
          <w:sz w:val="36"/>
          <w:szCs w:val="36"/>
        </w:rPr>
        <w:t>与</w:t>
      </w:r>
      <w:r>
        <w:rPr>
          <w:rFonts w:hint="eastAsia" w:cs="Times New Roman" w:asciiTheme="minorEastAsia" w:hAnsiTheme="minorEastAsia" w:eastAsiaTheme="minorEastAsia"/>
          <w:color w:val="000000" w:themeColor="text1"/>
          <w:sz w:val="36"/>
          <w:szCs w:val="36"/>
        </w:rPr>
        <w:t>筛选</w:t>
      </w:r>
      <w:bookmarkEnd w:id="187"/>
      <w:bookmarkEnd w:id="188"/>
      <w:bookmarkEnd w:id="189"/>
      <w:bookmarkEnd w:id="190"/>
    </w:p>
    <w:p>
      <w:pPr>
        <w:spacing w:line="360" w:lineRule="auto"/>
        <w:ind w:firstLine="480" w:firstLineChars="200"/>
        <w:rPr>
          <w:rFonts w:ascii="Times New Roman" w:hAnsi="宋体" w:eastAsia="宋体"/>
          <w:bCs/>
          <w:sz w:val="24"/>
          <w:szCs w:val="24"/>
        </w:rPr>
      </w:pPr>
      <w:r>
        <w:rPr>
          <w:rFonts w:ascii="Times New Roman" w:hAnsi="宋体" w:eastAsia="宋体"/>
          <w:bCs/>
          <w:sz w:val="24"/>
          <w:szCs w:val="24"/>
        </w:rPr>
        <w:t>方案的筛选</w:t>
      </w:r>
      <w:r>
        <w:rPr>
          <w:rFonts w:hint="eastAsia" w:ascii="Times New Roman" w:hAnsi="宋体" w:eastAsia="宋体"/>
          <w:bCs/>
          <w:sz w:val="24"/>
          <w:szCs w:val="24"/>
        </w:rPr>
        <w:t>与</w:t>
      </w:r>
      <w:r>
        <w:rPr>
          <w:rFonts w:ascii="Times New Roman" w:hAnsi="宋体" w:eastAsia="宋体"/>
          <w:bCs/>
          <w:sz w:val="24"/>
          <w:szCs w:val="24"/>
        </w:rPr>
        <w:t>确定</w:t>
      </w:r>
      <w:r>
        <w:rPr>
          <w:rFonts w:ascii="Times New Roman" w:hAnsi="宋体" w:eastAsia="宋体"/>
          <w:sz w:val="24"/>
          <w:szCs w:val="24"/>
        </w:rPr>
        <w:t>是</w:t>
      </w:r>
      <w:r>
        <w:rPr>
          <w:rFonts w:hint="eastAsia" w:ascii="Times New Roman" w:hAnsi="宋体" w:eastAsia="宋体"/>
          <w:sz w:val="24"/>
          <w:szCs w:val="24"/>
          <w:lang w:eastAsia="zh-CN"/>
        </w:rPr>
        <w:t>湖南光华荣昌汽车部件有限公司</w:t>
      </w:r>
      <w:r>
        <w:rPr>
          <w:rFonts w:ascii="Times New Roman" w:hAnsi="宋体" w:eastAsia="宋体"/>
          <w:sz w:val="24"/>
          <w:szCs w:val="24"/>
        </w:rPr>
        <w:t>开展清洁生产审核工作的第四阶段。</w:t>
      </w:r>
      <w:r>
        <w:rPr>
          <w:rFonts w:ascii="Times New Roman" w:hAnsi="宋体" w:eastAsia="宋体"/>
          <w:bCs/>
          <w:sz w:val="24"/>
          <w:szCs w:val="24"/>
        </w:rPr>
        <w:t>在清洁生产审核过程中，</w:t>
      </w:r>
      <w:r>
        <w:rPr>
          <w:rFonts w:hint="eastAsia" w:ascii="Times New Roman" w:hAnsi="宋体" w:eastAsia="宋体"/>
          <w:sz w:val="24"/>
          <w:szCs w:val="24"/>
          <w:lang w:eastAsia="zh-CN"/>
        </w:rPr>
        <w:t>湖南光华荣昌汽车部件有限公司</w:t>
      </w:r>
      <w:r>
        <w:rPr>
          <w:rFonts w:ascii="Times New Roman" w:hAnsi="宋体" w:eastAsia="宋体"/>
          <w:bCs/>
          <w:sz w:val="24"/>
          <w:szCs w:val="24"/>
        </w:rPr>
        <w:t>领导和</w:t>
      </w:r>
      <w:r>
        <w:rPr>
          <w:rFonts w:hint="eastAsia" w:ascii="Times New Roman" w:hAnsi="宋体" w:eastAsia="宋体"/>
          <w:bCs/>
          <w:sz w:val="24"/>
          <w:szCs w:val="24"/>
        </w:rPr>
        <w:t>清洁生产</w:t>
      </w:r>
      <w:r>
        <w:rPr>
          <w:rFonts w:ascii="Times New Roman" w:hAnsi="宋体" w:eastAsia="宋体"/>
          <w:bCs/>
          <w:sz w:val="24"/>
          <w:szCs w:val="24"/>
        </w:rPr>
        <w:t>审核小组动员技术人员、管理人员、一线生产工人根据</w:t>
      </w:r>
      <w:r>
        <w:rPr>
          <w:rFonts w:hint="eastAsia" w:ascii="Times New Roman" w:hAnsi="宋体" w:eastAsia="宋体"/>
          <w:bCs/>
          <w:sz w:val="24"/>
          <w:szCs w:val="24"/>
        </w:rPr>
        <w:t>公司</w:t>
      </w:r>
      <w:r>
        <w:rPr>
          <w:rFonts w:ascii="Times New Roman" w:hAnsi="宋体" w:eastAsia="宋体"/>
          <w:bCs/>
          <w:sz w:val="24"/>
          <w:szCs w:val="24"/>
        </w:rPr>
        <w:t>的实际情况提出各种清洁生产方案。审核小组对员工提出的清洁生产方案进行筛选，同时对已实施的无/低费清洁生产方案进行实施效果核定与汇总。</w:t>
      </w:r>
    </w:p>
    <w:p>
      <w:pPr>
        <w:pStyle w:val="3"/>
        <w:widowControl w:val="0"/>
        <w:adjustRightInd/>
        <w:snapToGrid/>
        <w:spacing w:beforeLines="50" w:after="0" w:line="360" w:lineRule="auto"/>
        <w:rPr>
          <w:rFonts w:ascii="Times New Roman" w:hAnsi="Times New Roman"/>
          <w:sz w:val="30"/>
          <w:szCs w:val="30"/>
        </w:rPr>
      </w:pPr>
      <w:bookmarkStart w:id="191" w:name="_Toc206126889"/>
      <w:bookmarkStart w:id="192" w:name="_Toc309399547"/>
      <w:bookmarkStart w:id="193" w:name="_Toc30888"/>
      <w:bookmarkStart w:id="194" w:name="_Toc499903490"/>
      <w:bookmarkStart w:id="195" w:name="_Toc525138409"/>
      <w:bookmarkStart w:id="196" w:name="_Toc525138265"/>
      <w:r>
        <w:rPr>
          <w:rFonts w:hint="eastAsia" w:ascii="Times New Roman" w:hAnsi="Times New Roman"/>
          <w:sz w:val="30"/>
          <w:szCs w:val="30"/>
        </w:rPr>
        <w:t>5</w:t>
      </w:r>
      <w:r>
        <w:rPr>
          <w:rFonts w:ascii="Times New Roman" w:hAnsi="Times New Roman"/>
          <w:sz w:val="30"/>
          <w:szCs w:val="30"/>
        </w:rPr>
        <w:t>.1</w:t>
      </w:r>
      <w:bookmarkEnd w:id="191"/>
      <w:r>
        <w:rPr>
          <w:rFonts w:ascii="Times New Roman" w:hAnsi="Times New Roman"/>
          <w:sz w:val="30"/>
          <w:szCs w:val="30"/>
        </w:rPr>
        <w:t>方案</w:t>
      </w:r>
      <w:r>
        <w:rPr>
          <w:rFonts w:hint="eastAsia" w:ascii="Times New Roman" w:hAnsi="Times New Roman"/>
          <w:sz w:val="30"/>
          <w:szCs w:val="30"/>
        </w:rPr>
        <w:t>的</w:t>
      </w:r>
      <w:r>
        <w:rPr>
          <w:rFonts w:ascii="Times New Roman" w:hAnsi="Times New Roman"/>
          <w:sz w:val="30"/>
          <w:szCs w:val="30"/>
        </w:rPr>
        <w:t>产生</w:t>
      </w:r>
      <w:bookmarkEnd w:id="192"/>
      <w:r>
        <w:rPr>
          <w:rFonts w:ascii="Times New Roman" w:hAnsi="Times New Roman"/>
          <w:sz w:val="30"/>
          <w:szCs w:val="30"/>
        </w:rPr>
        <w:t>与汇总</w:t>
      </w:r>
      <w:bookmarkEnd w:id="193"/>
      <w:bookmarkEnd w:id="194"/>
      <w:bookmarkEnd w:id="195"/>
      <w:bookmarkEnd w:id="196"/>
    </w:p>
    <w:p>
      <w:pPr>
        <w:pStyle w:val="4"/>
        <w:widowControl w:val="0"/>
        <w:spacing w:beforeLines="50" w:after="0" w:line="360" w:lineRule="auto"/>
        <w:rPr>
          <w:rFonts w:ascii="Times New Roman" w:hAnsi="Times New Roman" w:eastAsia="宋体" w:cs="Courier New"/>
          <w:sz w:val="28"/>
          <w:szCs w:val="30"/>
        </w:rPr>
      </w:pPr>
      <w:bookmarkStart w:id="197" w:name="_Toc499903491"/>
      <w:bookmarkStart w:id="198" w:name="_Toc25994"/>
      <w:bookmarkStart w:id="199" w:name="_Toc525138410"/>
      <w:bookmarkStart w:id="200" w:name="_Toc525138266"/>
      <w:r>
        <w:rPr>
          <w:rFonts w:hint="eastAsia" w:ascii="Times New Roman" w:hAnsi="Times New Roman" w:eastAsia="宋体" w:cs="Courier New"/>
          <w:sz w:val="28"/>
          <w:szCs w:val="30"/>
        </w:rPr>
        <w:t>5.1.1方案的产生</w:t>
      </w:r>
      <w:bookmarkEnd w:id="197"/>
      <w:bookmarkEnd w:id="198"/>
      <w:bookmarkEnd w:id="199"/>
      <w:bookmarkEnd w:id="200"/>
    </w:p>
    <w:p>
      <w:pPr>
        <w:spacing w:line="360" w:lineRule="auto"/>
        <w:ind w:firstLine="482"/>
        <w:rPr>
          <w:rFonts w:ascii="Times New Roman" w:hAnsi="宋体" w:eastAsia="宋体"/>
          <w:sz w:val="24"/>
          <w:szCs w:val="24"/>
        </w:rPr>
      </w:pPr>
      <w:r>
        <w:rPr>
          <w:rFonts w:ascii="Times New Roman" w:hAnsi="宋体" w:eastAsia="宋体"/>
          <w:sz w:val="24"/>
          <w:szCs w:val="24"/>
        </w:rPr>
        <w:t>方案产生主要是通过以下三</w:t>
      </w:r>
      <w:r>
        <w:rPr>
          <w:rFonts w:hint="eastAsia" w:ascii="Times New Roman" w:hAnsi="宋体" w:eastAsia="宋体"/>
          <w:sz w:val="24"/>
          <w:szCs w:val="24"/>
        </w:rPr>
        <w:t>种方式：</w:t>
      </w:r>
    </w:p>
    <w:p>
      <w:pPr>
        <w:spacing w:line="360" w:lineRule="auto"/>
        <w:ind w:firstLine="482"/>
        <w:rPr>
          <w:rFonts w:ascii="Times New Roman" w:hAnsi="宋体" w:eastAsia="宋体"/>
          <w:sz w:val="24"/>
          <w:szCs w:val="24"/>
        </w:rPr>
      </w:pPr>
      <w:r>
        <w:rPr>
          <w:rFonts w:hint="eastAsia" w:ascii="Times New Roman" w:hAnsi="宋体" w:eastAsia="宋体"/>
          <w:sz w:val="24"/>
          <w:szCs w:val="24"/>
        </w:rPr>
        <w:t>（1）</w:t>
      </w:r>
      <w:r>
        <w:rPr>
          <w:rFonts w:ascii="Times New Roman" w:hAnsi="宋体" w:eastAsia="宋体"/>
          <w:sz w:val="24"/>
          <w:szCs w:val="24"/>
        </w:rPr>
        <w:t>审核小组根据物料平衡测算、水平衡测算、</w:t>
      </w:r>
      <w:r>
        <w:rPr>
          <w:rFonts w:hint="eastAsia" w:ascii="Times New Roman" w:hAnsi="宋体" w:eastAsia="宋体"/>
          <w:sz w:val="24"/>
          <w:szCs w:val="24"/>
        </w:rPr>
        <w:t>“</w:t>
      </w:r>
      <w:r>
        <w:rPr>
          <w:rFonts w:ascii="Times New Roman" w:hAnsi="宋体" w:eastAsia="宋体"/>
          <w:sz w:val="24"/>
          <w:szCs w:val="24"/>
        </w:rPr>
        <w:t>三废</w:t>
      </w:r>
      <w:r>
        <w:rPr>
          <w:rFonts w:hint="eastAsia" w:ascii="Times New Roman" w:hAnsi="宋体" w:eastAsia="宋体"/>
          <w:sz w:val="24"/>
          <w:szCs w:val="24"/>
        </w:rPr>
        <w:t>”</w:t>
      </w:r>
      <w:r>
        <w:rPr>
          <w:rFonts w:ascii="Times New Roman" w:hAnsi="宋体" w:eastAsia="宋体"/>
          <w:sz w:val="24"/>
          <w:szCs w:val="24"/>
        </w:rPr>
        <w:t>产生原因分析以及资源能源消耗和产污</w:t>
      </w:r>
      <w:r>
        <w:rPr>
          <w:rFonts w:hint="eastAsia" w:ascii="Times New Roman" w:hAnsi="宋体" w:eastAsia="宋体"/>
          <w:sz w:val="24"/>
          <w:szCs w:val="24"/>
        </w:rPr>
        <w:t>情况</w:t>
      </w:r>
      <w:r>
        <w:rPr>
          <w:rFonts w:ascii="Times New Roman" w:hAnsi="宋体" w:eastAsia="宋体"/>
          <w:sz w:val="24"/>
          <w:szCs w:val="24"/>
        </w:rPr>
        <w:t>分析，提出清洁生产方案。</w:t>
      </w:r>
    </w:p>
    <w:p>
      <w:pPr>
        <w:spacing w:line="360" w:lineRule="auto"/>
        <w:ind w:firstLine="482"/>
        <w:rPr>
          <w:rFonts w:ascii="Times New Roman" w:hAnsi="宋体" w:eastAsia="宋体"/>
          <w:sz w:val="24"/>
          <w:szCs w:val="24"/>
        </w:rPr>
      </w:pPr>
      <w:r>
        <w:rPr>
          <w:rFonts w:hint="eastAsia" w:ascii="Times New Roman" w:hAnsi="宋体" w:eastAsia="宋体"/>
          <w:sz w:val="24"/>
          <w:szCs w:val="24"/>
        </w:rPr>
        <w:t>（2）</w:t>
      </w:r>
      <w:r>
        <w:rPr>
          <w:rFonts w:ascii="Times New Roman" w:hAnsi="宋体" w:eastAsia="宋体"/>
          <w:sz w:val="24"/>
          <w:szCs w:val="24"/>
        </w:rPr>
        <w:t>通过开展清洁生产合理化建议活动，在全厂范围内利用</w:t>
      </w:r>
      <w:r>
        <w:rPr>
          <w:rFonts w:hint="eastAsia" w:ascii="Times New Roman" w:hAnsi="宋体" w:eastAsia="宋体"/>
          <w:sz w:val="24"/>
          <w:szCs w:val="24"/>
        </w:rPr>
        <w:t>多种</w:t>
      </w:r>
      <w:r>
        <w:rPr>
          <w:rFonts w:ascii="Times New Roman" w:hAnsi="宋体" w:eastAsia="宋体"/>
          <w:sz w:val="24"/>
          <w:szCs w:val="24"/>
        </w:rPr>
        <w:t>渠道和形式，进行宣传动员，鼓励全体员工提出清洁生产方案或合理化建议。通过实例教育，克服思想障碍，</w:t>
      </w:r>
      <w:r>
        <w:rPr>
          <w:rFonts w:hint="eastAsia" w:ascii="Times New Roman" w:hAnsi="宋体" w:eastAsia="宋体"/>
          <w:sz w:val="24"/>
          <w:szCs w:val="24"/>
        </w:rPr>
        <w:t>以</w:t>
      </w:r>
      <w:r>
        <w:rPr>
          <w:rFonts w:ascii="Times New Roman" w:hAnsi="宋体" w:eastAsia="宋体"/>
          <w:sz w:val="24"/>
          <w:szCs w:val="24"/>
        </w:rPr>
        <w:t>奖励</w:t>
      </w:r>
      <w:r>
        <w:rPr>
          <w:rFonts w:hint="eastAsia" w:ascii="Times New Roman" w:hAnsi="宋体" w:eastAsia="宋体"/>
          <w:sz w:val="24"/>
          <w:szCs w:val="24"/>
        </w:rPr>
        <w:t>的形式</w:t>
      </w:r>
      <w:r>
        <w:rPr>
          <w:rFonts w:ascii="Times New Roman" w:hAnsi="宋体" w:eastAsia="宋体"/>
          <w:sz w:val="24"/>
          <w:szCs w:val="24"/>
        </w:rPr>
        <w:t>鼓励创造性思想和方案的产生。</w:t>
      </w:r>
    </w:p>
    <w:p>
      <w:pPr>
        <w:spacing w:line="360" w:lineRule="auto"/>
        <w:ind w:firstLine="482"/>
        <w:rPr>
          <w:rFonts w:ascii="Times New Roman" w:hAnsi="宋体" w:eastAsia="宋体"/>
          <w:sz w:val="24"/>
          <w:szCs w:val="24"/>
        </w:rPr>
      </w:pPr>
      <w:bookmarkStart w:id="201" w:name="_Toc354823673"/>
      <w:r>
        <w:rPr>
          <w:rFonts w:hint="eastAsia" w:ascii="Times New Roman" w:hAnsi="宋体" w:eastAsia="宋体"/>
          <w:sz w:val="24"/>
          <w:szCs w:val="24"/>
        </w:rPr>
        <w:t>（3）</w:t>
      </w:r>
      <w:r>
        <w:rPr>
          <w:rFonts w:ascii="Times New Roman" w:hAnsi="宋体" w:eastAsia="宋体"/>
          <w:sz w:val="24"/>
          <w:szCs w:val="24"/>
        </w:rPr>
        <w:t>全面系统的产生方案</w:t>
      </w:r>
      <w:bookmarkEnd w:id="201"/>
    </w:p>
    <w:p>
      <w:pPr>
        <w:spacing w:line="360" w:lineRule="auto"/>
        <w:ind w:firstLine="482"/>
        <w:rPr>
          <w:rFonts w:ascii="Times New Roman" w:hAnsi="宋体" w:eastAsia="宋体"/>
          <w:sz w:val="24"/>
          <w:szCs w:val="24"/>
        </w:rPr>
      </w:pPr>
      <w:r>
        <w:rPr>
          <w:rFonts w:ascii="Times New Roman" w:hAnsi="宋体" w:eastAsia="宋体"/>
          <w:sz w:val="24"/>
          <w:szCs w:val="24"/>
        </w:rPr>
        <w:t>清洁生产</w:t>
      </w:r>
      <w:r>
        <w:rPr>
          <w:rFonts w:hint="eastAsia" w:ascii="Times New Roman" w:hAnsi="宋体" w:eastAsia="宋体"/>
          <w:sz w:val="24"/>
          <w:szCs w:val="24"/>
        </w:rPr>
        <w:t>涉及</w:t>
      </w:r>
      <w:r>
        <w:rPr>
          <w:rFonts w:ascii="Times New Roman" w:hAnsi="宋体" w:eastAsia="宋体"/>
          <w:sz w:val="24"/>
          <w:szCs w:val="24"/>
        </w:rPr>
        <w:t>公司生产和管理的各个方面，虽然物料平衡和废弃物产生原因</w:t>
      </w:r>
      <w:r>
        <w:rPr>
          <w:rFonts w:hint="eastAsia" w:ascii="Times New Roman" w:hAnsi="宋体" w:eastAsia="宋体"/>
          <w:sz w:val="24"/>
          <w:szCs w:val="24"/>
        </w:rPr>
        <w:t>的</w:t>
      </w:r>
      <w:r>
        <w:rPr>
          <w:rFonts w:ascii="Times New Roman" w:hAnsi="宋体" w:eastAsia="宋体"/>
          <w:sz w:val="24"/>
          <w:szCs w:val="24"/>
        </w:rPr>
        <w:t>分析</w:t>
      </w:r>
      <w:r>
        <w:rPr>
          <w:rFonts w:hint="eastAsia" w:ascii="Times New Roman" w:hAnsi="宋体" w:eastAsia="宋体"/>
          <w:sz w:val="24"/>
          <w:szCs w:val="24"/>
        </w:rPr>
        <w:t>非常</w:t>
      </w:r>
      <w:r>
        <w:rPr>
          <w:rFonts w:ascii="Times New Roman" w:hAnsi="宋体" w:eastAsia="宋体"/>
          <w:sz w:val="24"/>
          <w:szCs w:val="24"/>
        </w:rPr>
        <w:t>有利于方案的产生，但在其他方面也可能</w:t>
      </w:r>
      <w:r>
        <w:rPr>
          <w:rFonts w:hint="eastAsia" w:ascii="Times New Roman" w:hAnsi="宋体" w:eastAsia="宋体"/>
          <w:sz w:val="24"/>
          <w:szCs w:val="24"/>
        </w:rPr>
        <w:t>还</w:t>
      </w:r>
      <w:r>
        <w:rPr>
          <w:rFonts w:ascii="Times New Roman" w:hAnsi="宋体" w:eastAsia="宋体"/>
          <w:sz w:val="24"/>
          <w:szCs w:val="24"/>
        </w:rPr>
        <w:t>存在一些清洁生产机会，因而</w:t>
      </w:r>
      <w:r>
        <w:rPr>
          <w:rFonts w:hint="eastAsia" w:ascii="Times New Roman" w:hAnsi="宋体" w:eastAsia="宋体"/>
          <w:sz w:val="24"/>
          <w:szCs w:val="24"/>
        </w:rPr>
        <w:t>还需</w:t>
      </w:r>
      <w:r>
        <w:rPr>
          <w:rFonts w:ascii="Times New Roman" w:hAnsi="宋体" w:eastAsia="宋体"/>
          <w:sz w:val="24"/>
          <w:szCs w:val="24"/>
        </w:rPr>
        <w:t>从影响生产过程的八个方面</w:t>
      </w:r>
      <w:r>
        <w:rPr>
          <w:rFonts w:hint="eastAsia" w:ascii="Times New Roman" w:hAnsi="宋体" w:eastAsia="宋体"/>
          <w:sz w:val="24"/>
          <w:szCs w:val="24"/>
        </w:rPr>
        <w:t>进行</w:t>
      </w:r>
      <w:r>
        <w:rPr>
          <w:rFonts w:ascii="Times New Roman" w:hAnsi="宋体" w:eastAsia="宋体"/>
          <w:sz w:val="24"/>
          <w:szCs w:val="24"/>
        </w:rPr>
        <w:t>全面系统</w:t>
      </w:r>
      <w:r>
        <w:rPr>
          <w:rFonts w:hint="eastAsia" w:ascii="Times New Roman" w:hAnsi="宋体" w:eastAsia="宋体"/>
          <w:sz w:val="24"/>
          <w:szCs w:val="24"/>
        </w:rPr>
        <w:t>分析。</w:t>
      </w:r>
    </w:p>
    <w:p>
      <w:pPr>
        <w:spacing w:line="360" w:lineRule="auto"/>
        <w:ind w:firstLine="482"/>
        <w:rPr>
          <w:rFonts w:ascii="Times New Roman" w:hAnsi="宋体" w:eastAsia="宋体"/>
          <w:sz w:val="24"/>
          <w:szCs w:val="24"/>
        </w:rPr>
      </w:pPr>
      <w:r>
        <w:rPr>
          <w:rFonts w:hint="eastAsia" w:ascii="Times New Roman" w:hAnsi="宋体" w:eastAsia="宋体"/>
          <w:sz w:val="24"/>
          <w:szCs w:val="24"/>
        </w:rPr>
        <w:t>审核小组从</w:t>
      </w:r>
      <w:r>
        <w:rPr>
          <w:rFonts w:ascii="Times New Roman" w:hAnsi="宋体" w:eastAsia="宋体"/>
          <w:sz w:val="24"/>
          <w:szCs w:val="24"/>
        </w:rPr>
        <w:t>原材料和能源替代</w:t>
      </w:r>
      <w:r>
        <w:rPr>
          <w:rFonts w:hint="eastAsia" w:ascii="Times New Roman" w:hAnsi="宋体" w:eastAsia="宋体"/>
          <w:sz w:val="24"/>
          <w:szCs w:val="24"/>
        </w:rPr>
        <w:t>、</w:t>
      </w:r>
      <w:r>
        <w:rPr>
          <w:rFonts w:ascii="Times New Roman" w:hAnsi="宋体" w:eastAsia="宋体"/>
          <w:sz w:val="24"/>
          <w:szCs w:val="24"/>
        </w:rPr>
        <w:t>技术工艺改造</w:t>
      </w:r>
      <w:r>
        <w:rPr>
          <w:rFonts w:hint="eastAsia" w:ascii="Times New Roman" w:hAnsi="宋体" w:eastAsia="宋体"/>
          <w:sz w:val="24"/>
          <w:szCs w:val="24"/>
        </w:rPr>
        <w:t>、</w:t>
      </w:r>
      <w:r>
        <w:rPr>
          <w:rFonts w:ascii="Times New Roman" w:hAnsi="宋体" w:eastAsia="宋体"/>
          <w:sz w:val="24"/>
          <w:szCs w:val="24"/>
        </w:rPr>
        <w:t>设备维护和更新</w:t>
      </w:r>
      <w:r>
        <w:rPr>
          <w:rFonts w:hint="eastAsia" w:ascii="Times New Roman" w:hAnsi="宋体" w:eastAsia="宋体"/>
          <w:sz w:val="24"/>
          <w:szCs w:val="24"/>
        </w:rPr>
        <w:t>、</w:t>
      </w:r>
      <w:r>
        <w:rPr>
          <w:rFonts w:ascii="Times New Roman" w:hAnsi="宋体" w:eastAsia="宋体"/>
          <w:sz w:val="24"/>
          <w:szCs w:val="24"/>
        </w:rPr>
        <w:t>过程优化控制</w:t>
      </w:r>
      <w:r>
        <w:rPr>
          <w:rFonts w:hint="eastAsia" w:ascii="Times New Roman" w:hAnsi="宋体" w:eastAsia="宋体"/>
          <w:sz w:val="24"/>
          <w:szCs w:val="24"/>
        </w:rPr>
        <w:t>、</w:t>
      </w:r>
      <w:r>
        <w:rPr>
          <w:rFonts w:ascii="Times New Roman" w:hAnsi="宋体" w:eastAsia="宋体"/>
          <w:sz w:val="24"/>
          <w:szCs w:val="24"/>
        </w:rPr>
        <w:t>产品更换或改进</w:t>
      </w:r>
      <w:r>
        <w:rPr>
          <w:rFonts w:hint="eastAsia" w:ascii="Times New Roman" w:hAnsi="宋体" w:eastAsia="宋体"/>
          <w:sz w:val="24"/>
          <w:szCs w:val="24"/>
        </w:rPr>
        <w:t>、</w:t>
      </w:r>
      <w:r>
        <w:rPr>
          <w:rFonts w:ascii="Times New Roman" w:hAnsi="宋体" w:eastAsia="宋体"/>
          <w:sz w:val="24"/>
          <w:szCs w:val="24"/>
        </w:rPr>
        <w:t>废弃物回收利用和循环利用</w:t>
      </w:r>
      <w:r>
        <w:rPr>
          <w:rFonts w:hint="eastAsia" w:ascii="Times New Roman" w:hAnsi="宋体" w:eastAsia="宋体"/>
          <w:sz w:val="24"/>
          <w:szCs w:val="24"/>
        </w:rPr>
        <w:t>、</w:t>
      </w:r>
      <w:r>
        <w:rPr>
          <w:rFonts w:ascii="Times New Roman" w:hAnsi="宋体" w:eastAsia="宋体"/>
          <w:sz w:val="24"/>
          <w:szCs w:val="24"/>
        </w:rPr>
        <w:t>加强管理</w:t>
      </w:r>
      <w:r>
        <w:rPr>
          <w:rFonts w:hint="eastAsia" w:ascii="Times New Roman" w:hAnsi="宋体" w:eastAsia="宋体"/>
          <w:sz w:val="24"/>
          <w:szCs w:val="24"/>
        </w:rPr>
        <w:t>、</w:t>
      </w:r>
      <w:r>
        <w:rPr>
          <w:rFonts w:ascii="Times New Roman" w:hAnsi="宋体" w:eastAsia="宋体"/>
          <w:sz w:val="24"/>
          <w:szCs w:val="24"/>
        </w:rPr>
        <w:t>员工素质的提高以及积极性的激励</w:t>
      </w:r>
      <w:r>
        <w:rPr>
          <w:rFonts w:hint="eastAsia" w:ascii="Times New Roman" w:hAnsi="宋体" w:eastAsia="宋体"/>
          <w:sz w:val="24"/>
          <w:szCs w:val="24"/>
        </w:rPr>
        <w:t>八个方面分析产生了清洁生产方案</w:t>
      </w:r>
      <w:r>
        <w:rPr>
          <w:rFonts w:ascii="Times New Roman" w:hAnsi="宋体" w:eastAsia="宋体"/>
          <w:sz w:val="24"/>
          <w:szCs w:val="24"/>
        </w:rPr>
        <w:t>。</w:t>
      </w:r>
    </w:p>
    <w:p>
      <w:pPr>
        <w:pStyle w:val="4"/>
        <w:widowControl w:val="0"/>
        <w:spacing w:beforeLines="50" w:after="0" w:line="360" w:lineRule="auto"/>
        <w:rPr>
          <w:rFonts w:ascii="Times New Roman" w:hAnsi="Times New Roman" w:eastAsia="宋体" w:cs="Courier New"/>
          <w:sz w:val="28"/>
          <w:szCs w:val="30"/>
        </w:rPr>
      </w:pPr>
      <w:bookmarkStart w:id="202" w:name="_Toc525138267"/>
      <w:bookmarkStart w:id="203" w:name="_Toc499903492"/>
      <w:bookmarkStart w:id="204" w:name="_Toc14614"/>
      <w:bookmarkStart w:id="205" w:name="_Toc525138411"/>
      <w:r>
        <w:rPr>
          <w:rFonts w:hint="eastAsia" w:ascii="Times New Roman" w:hAnsi="Times New Roman" w:eastAsia="宋体" w:cs="Courier New"/>
          <w:sz w:val="28"/>
          <w:szCs w:val="30"/>
        </w:rPr>
        <w:t>5.1.2</w:t>
      </w:r>
      <w:r>
        <w:rPr>
          <w:rFonts w:ascii="Times New Roman" w:hAnsi="Times New Roman" w:eastAsia="宋体" w:cs="Courier New"/>
          <w:sz w:val="28"/>
          <w:szCs w:val="30"/>
        </w:rPr>
        <w:t>方案</w:t>
      </w:r>
      <w:r>
        <w:rPr>
          <w:rFonts w:hint="eastAsia" w:ascii="Times New Roman" w:hAnsi="Times New Roman" w:eastAsia="宋体" w:cs="Courier New"/>
          <w:sz w:val="28"/>
          <w:szCs w:val="30"/>
        </w:rPr>
        <w:t>分类和</w:t>
      </w:r>
      <w:r>
        <w:rPr>
          <w:rFonts w:ascii="Times New Roman" w:hAnsi="Times New Roman" w:eastAsia="宋体" w:cs="Courier New"/>
          <w:sz w:val="28"/>
          <w:szCs w:val="30"/>
        </w:rPr>
        <w:t>汇总</w:t>
      </w:r>
      <w:bookmarkEnd w:id="202"/>
      <w:bookmarkEnd w:id="203"/>
      <w:bookmarkEnd w:id="204"/>
      <w:bookmarkEnd w:id="205"/>
    </w:p>
    <w:p>
      <w:pPr>
        <w:spacing w:line="360" w:lineRule="auto"/>
        <w:ind w:firstLine="480" w:firstLineChars="200"/>
        <w:rPr>
          <w:rFonts w:ascii="Times New Roman" w:hAnsi="宋体" w:eastAsia="宋体"/>
          <w:bCs/>
          <w:sz w:val="24"/>
          <w:szCs w:val="24"/>
        </w:rPr>
      </w:pPr>
      <w:r>
        <w:rPr>
          <w:rFonts w:hint="eastAsia" w:ascii="Times New Roman" w:hAnsi="宋体" w:eastAsia="宋体"/>
          <w:bCs/>
          <w:sz w:val="24"/>
          <w:szCs w:val="24"/>
        </w:rPr>
        <w:t>根据</w:t>
      </w:r>
      <w:r>
        <w:rPr>
          <w:rFonts w:hint="eastAsia" w:ascii="Times New Roman" w:hAnsi="宋体" w:eastAsia="宋体"/>
          <w:sz w:val="24"/>
          <w:szCs w:val="24"/>
          <w:lang w:eastAsia="zh-CN"/>
        </w:rPr>
        <w:t>湖南光华荣昌汽车部件有限公司</w:t>
      </w:r>
      <w:r>
        <w:rPr>
          <w:rFonts w:hint="eastAsia" w:ascii="Times New Roman" w:hAnsi="宋体" w:eastAsia="宋体"/>
          <w:sz w:val="24"/>
          <w:szCs w:val="24"/>
        </w:rPr>
        <w:t>的</w:t>
      </w:r>
      <w:r>
        <w:rPr>
          <w:rFonts w:hint="eastAsia" w:ascii="Times New Roman" w:hAnsi="宋体" w:eastAsia="宋体"/>
          <w:bCs/>
          <w:sz w:val="24"/>
          <w:szCs w:val="24"/>
        </w:rPr>
        <w:t>实际情况，审核小组讨论的方案划分标准如下：</w:t>
      </w:r>
    </w:p>
    <w:p>
      <w:pPr>
        <w:spacing w:line="360" w:lineRule="auto"/>
        <w:ind w:firstLine="480" w:firstLineChars="200"/>
        <w:rPr>
          <w:rFonts w:ascii="Times New Roman" w:hAnsi="宋体" w:eastAsia="宋体"/>
          <w:bCs/>
          <w:sz w:val="24"/>
          <w:szCs w:val="24"/>
        </w:rPr>
      </w:pPr>
      <w:r>
        <w:rPr>
          <w:rFonts w:hint="eastAsia" w:ascii="Times New Roman" w:hAnsi="宋体" w:eastAsia="宋体"/>
          <w:bCs/>
          <w:sz w:val="24"/>
          <w:szCs w:val="24"/>
        </w:rPr>
        <w:t>无费方案：不需要投入资金的方案；</w:t>
      </w:r>
    </w:p>
    <w:p>
      <w:pPr>
        <w:spacing w:line="360" w:lineRule="auto"/>
        <w:ind w:firstLine="480" w:firstLineChars="200"/>
        <w:rPr>
          <w:rFonts w:ascii="Times New Roman" w:hAnsi="宋体" w:eastAsia="宋体"/>
          <w:bCs/>
          <w:sz w:val="24"/>
          <w:szCs w:val="24"/>
        </w:rPr>
      </w:pPr>
      <w:r>
        <w:rPr>
          <w:rFonts w:ascii="Times New Roman" w:hAnsi="宋体" w:eastAsia="宋体"/>
          <w:bCs/>
          <w:sz w:val="24"/>
          <w:szCs w:val="24"/>
        </w:rPr>
        <w:t>低费方案：需要投入资金</w:t>
      </w:r>
      <w:r>
        <w:rPr>
          <w:rFonts w:hint="eastAsia" w:ascii="Times New Roman" w:hAnsi="宋体" w:eastAsia="宋体"/>
          <w:bCs/>
          <w:sz w:val="24"/>
          <w:szCs w:val="24"/>
          <w:lang w:val="en-US" w:eastAsia="zh-CN"/>
        </w:rPr>
        <w:t>5</w:t>
      </w:r>
      <w:r>
        <w:rPr>
          <w:rFonts w:ascii="Times New Roman" w:hAnsi="宋体" w:eastAsia="宋体"/>
          <w:bCs/>
          <w:sz w:val="24"/>
          <w:szCs w:val="24"/>
        </w:rPr>
        <w:t>万元以下</w:t>
      </w:r>
      <w:r>
        <w:rPr>
          <w:rFonts w:hint="eastAsia" w:ascii="Times New Roman" w:hAnsi="宋体" w:eastAsia="宋体"/>
          <w:bCs/>
          <w:sz w:val="24"/>
          <w:szCs w:val="24"/>
        </w:rPr>
        <w:t>（含</w:t>
      </w:r>
      <w:r>
        <w:rPr>
          <w:rFonts w:hint="eastAsia" w:ascii="Times New Roman" w:hAnsi="宋体" w:eastAsia="宋体"/>
          <w:bCs/>
          <w:sz w:val="24"/>
          <w:szCs w:val="24"/>
          <w:lang w:val="en-US" w:eastAsia="zh-CN"/>
        </w:rPr>
        <w:t>5</w:t>
      </w:r>
      <w:r>
        <w:rPr>
          <w:rFonts w:hint="eastAsia" w:ascii="Times New Roman" w:hAnsi="宋体" w:eastAsia="宋体"/>
          <w:bCs/>
          <w:sz w:val="24"/>
          <w:szCs w:val="24"/>
        </w:rPr>
        <w:t>万元）</w:t>
      </w:r>
      <w:r>
        <w:rPr>
          <w:rFonts w:ascii="Times New Roman" w:hAnsi="宋体" w:eastAsia="宋体"/>
          <w:bCs/>
          <w:sz w:val="24"/>
          <w:szCs w:val="24"/>
        </w:rPr>
        <w:t>的方案；</w:t>
      </w:r>
    </w:p>
    <w:p>
      <w:pPr>
        <w:spacing w:line="360" w:lineRule="auto"/>
        <w:ind w:firstLine="480" w:firstLineChars="200"/>
        <w:rPr>
          <w:rFonts w:ascii="Times New Roman" w:hAnsi="宋体" w:eastAsia="宋体"/>
          <w:bCs/>
          <w:sz w:val="24"/>
          <w:szCs w:val="24"/>
        </w:rPr>
      </w:pPr>
      <w:r>
        <w:rPr>
          <w:rFonts w:ascii="Times New Roman" w:hAnsi="宋体" w:eastAsia="宋体"/>
          <w:bCs/>
          <w:sz w:val="24"/>
          <w:szCs w:val="24"/>
        </w:rPr>
        <w:t>中费方案：需要投入资金在</w:t>
      </w:r>
      <w:r>
        <w:rPr>
          <w:rFonts w:hint="eastAsia" w:ascii="Times New Roman" w:hAnsi="宋体" w:eastAsia="宋体"/>
          <w:bCs/>
          <w:sz w:val="24"/>
          <w:szCs w:val="24"/>
          <w:lang w:val="en-US" w:eastAsia="zh-CN"/>
        </w:rPr>
        <w:t>5</w:t>
      </w:r>
      <w:r>
        <w:rPr>
          <w:rFonts w:ascii="Times New Roman" w:hAnsi="宋体" w:eastAsia="宋体"/>
          <w:bCs/>
          <w:sz w:val="24"/>
          <w:szCs w:val="24"/>
        </w:rPr>
        <w:t>~</w:t>
      </w:r>
      <w:r>
        <w:rPr>
          <w:rFonts w:hint="eastAsia" w:ascii="Times New Roman" w:hAnsi="宋体" w:eastAsia="宋体"/>
          <w:bCs/>
          <w:sz w:val="24"/>
          <w:szCs w:val="24"/>
          <w:lang w:val="en-US" w:eastAsia="zh-CN"/>
        </w:rPr>
        <w:t>15</w:t>
      </w:r>
      <w:r>
        <w:rPr>
          <w:rFonts w:ascii="Times New Roman" w:hAnsi="宋体" w:eastAsia="宋体"/>
          <w:bCs/>
          <w:sz w:val="24"/>
          <w:szCs w:val="24"/>
        </w:rPr>
        <w:t>万元</w:t>
      </w:r>
      <w:r>
        <w:rPr>
          <w:rFonts w:hint="eastAsia" w:ascii="Times New Roman" w:hAnsi="宋体" w:eastAsia="宋体"/>
          <w:bCs/>
          <w:sz w:val="24"/>
          <w:szCs w:val="24"/>
        </w:rPr>
        <w:t>（含</w:t>
      </w:r>
      <w:r>
        <w:rPr>
          <w:rFonts w:hint="eastAsia" w:ascii="Times New Roman" w:hAnsi="宋体" w:eastAsia="宋体"/>
          <w:bCs/>
          <w:sz w:val="24"/>
          <w:szCs w:val="24"/>
          <w:lang w:val="en-US" w:eastAsia="zh-CN"/>
        </w:rPr>
        <w:t>15</w:t>
      </w:r>
      <w:r>
        <w:rPr>
          <w:rFonts w:hint="eastAsia" w:ascii="Times New Roman" w:hAnsi="宋体" w:eastAsia="宋体"/>
          <w:bCs/>
          <w:sz w:val="24"/>
          <w:szCs w:val="24"/>
        </w:rPr>
        <w:t>万元）</w:t>
      </w:r>
      <w:r>
        <w:rPr>
          <w:rFonts w:ascii="Times New Roman" w:hAnsi="宋体" w:eastAsia="宋体"/>
          <w:bCs/>
          <w:sz w:val="24"/>
          <w:szCs w:val="24"/>
        </w:rPr>
        <w:t>的方案；</w:t>
      </w:r>
    </w:p>
    <w:p>
      <w:pPr>
        <w:spacing w:line="360" w:lineRule="auto"/>
        <w:ind w:firstLine="480" w:firstLineChars="200"/>
        <w:rPr>
          <w:rFonts w:ascii="Times New Roman" w:hAnsi="宋体" w:eastAsia="宋体"/>
          <w:bCs/>
          <w:sz w:val="24"/>
          <w:szCs w:val="24"/>
        </w:rPr>
      </w:pPr>
      <w:r>
        <w:rPr>
          <w:rFonts w:ascii="Times New Roman" w:hAnsi="宋体" w:eastAsia="宋体"/>
          <w:bCs/>
          <w:sz w:val="24"/>
          <w:szCs w:val="24"/>
        </w:rPr>
        <w:t>高费方案：需要投入资金在</w:t>
      </w:r>
      <w:r>
        <w:rPr>
          <w:rFonts w:hint="eastAsia" w:ascii="Times New Roman" w:hAnsi="宋体" w:eastAsia="宋体"/>
          <w:bCs/>
          <w:sz w:val="24"/>
          <w:szCs w:val="24"/>
          <w:lang w:val="en-US" w:eastAsia="zh-CN"/>
        </w:rPr>
        <w:t>15</w:t>
      </w:r>
      <w:r>
        <w:rPr>
          <w:rFonts w:ascii="Times New Roman" w:hAnsi="宋体" w:eastAsia="宋体"/>
          <w:bCs/>
          <w:sz w:val="24"/>
          <w:szCs w:val="24"/>
        </w:rPr>
        <w:t>万元以上的方案。</w:t>
      </w:r>
    </w:p>
    <w:p>
      <w:pPr>
        <w:spacing w:line="360" w:lineRule="auto"/>
        <w:ind w:firstLine="480" w:firstLineChars="200"/>
        <w:rPr>
          <w:rFonts w:ascii="Times New Roman" w:hAnsi="宋体" w:eastAsia="宋体"/>
          <w:bCs/>
          <w:sz w:val="24"/>
          <w:szCs w:val="24"/>
        </w:rPr>
      </w:pPr>
      <w:r>
        <w:rPr>
          <w:rFonts w:hint="eastAsia" w:ascii="Times New Roman" w:hAnsi="宋体" w:eastAsia="宋体"/>
          <w:bCs/>
          <w:sz w:val="24"/>
          <w:szCs w:val="24"/>
        </w:rPr>
        <w:t>本轮审核共收集到清洁生产方案</w:t>
      </w:r>
      <w:r>
        <w:rPr>
          <w:rFonts w:hint="eastAsia" w:ascii="Times New Roman" w:hAnsi="宋体" w:eastAsia="宋体"/>
          <w:bCs/>
          <w:sz w:val="24"/>
          <w:szCs w:val="24"/>
          <w:lang w:val="en-US" w:eastAsia="zh-CN"/>
        </w:rPr>
        <w:t>11</w:t>
      </w:r>
      <w:r>
        <w:rPr>
          <w:rFonts w:hint="eastAsia" w:ascii="Times New Roman" w:hAnsi="宋体" w:eastAsia="宋体"/>
          <w:bCs/>
          <w:sz w:val="24"/>
          <w:szCs w:val="24"/>
        </w:rPr>
        <w:t>个，其中无/低费</w:t>
      </w:r>
      <w:r>
        <w:rPr>
          <w:rFonts w:hint="eastAsia" w:ascii="Times New Roman" w:hAnsi="宋体" w:eastAsia="宋体"/>
          <w:bCs/>
          <w:sz w:val="24"/>
          <w:szCs w:val="24"/>
          <w:lang w:val="en-US" w:eastAsia="zh-CN"/>
        </w:rPr>
        <w:t>9</w:t>
      </w:r>
      <w:r>
        <w:rPr>
          <w:rFonts w:hint="eastAsia" w:ascii="Times New Roman" w:hAnsi="宋体" w:eastAsia="宋体"/>
          <w:bCs/>
          <w:sz w:val="24"/>
          <w:szCs w:val="24"/>
        </w:rPr>
        <w:t>个，中/高费方</w:t>
      </w:r>
      <w:r>
        <w:rPr>
          <w:rFonts w:hint="eastAsia" w:ascii="Times New Roman" w:hAnsi="宋体" w:eastAsia="宋体"/>
          <w:bCs/>
          <w:sz w:val="24"/>
          <w:szCs w:val="24"/>
          <w:lang w:val="en-US" w:eastAsia="zh-CN"/>
        </w:rPr>
        <w:t>2</w:t>
      </w:r>
      <w:r>
        <w:rPr>
          <w:rFonts w:hint="eastAsia" w:ascii="Times New Roman" w:hAnsi="宋体" w:eastAsia="宋体"/>
          <w:bCs/>
          <w:sz w:val="24"/>
          <w:szCs w:val="24"/>
        </w:rPr>
        <w:t>个，</w:t>
      </w:r>
      <w:r>
        <w:rPr>
          <w:rFonts w:ascii="Times New Roman" w:hAnsi="宋体" w:eastAsia="宋体"/>
          <w:bCs/>
          <w:sz w:val="24"/>
          <w:szCs w:val="24"/>
        </w:rPr>
        <w:t>方案汇总</w:t>
      </w:r>
      <w:r>
        <w:rPr>
          <w:rFonts w:hint="eastAsia" w:ascii="Times New Roman" w:hAnsi="宋体" w:eastAsia="宋体"/>
          <w:bCs/>
          <w:sz w:val="24"/>
          <w:szCs w:val="24"/>
        </w:rPr>
        <w:t>情况</w:t>
      </w:r>
      <w:r>
        <w:rPr>
          <w:rFonts w:ascii="Times New Roman" w:hAnsi="宋体" w:eastAsia="宋体"/>
          <w:bCs/>
          <w:sz w:val="24"/>
          <w:szCs w:val="24"/>
        </w:rPr>
        <w:t>见表</w:t>
      </w:r>
      <w:r>
        <w:rPr>
          <w:rFonts w:hint="eastAsia" w:ascii="Times New Roman" w:hAnsi="宋体" w:eastAsia="宋体"/>
          <w:bCs/>
          <w:sz w:val="24"/>
          <w:szCs w:val="24"/>
        </w:rPr>
        <w:t>5-1</w:t>
      </w:r>
      <w:r>
        <w:rPr>
          <w:rFonts w:ascii="Times New Roman" w:hAnsi="宋体" w:eastAsia="宋体"/>
          <w:bCs/>
          <w:sz w:val="24"/>
          <w:szCs w:val="24"/>
        </w:rPr>
        <w:t>。</w:t>
      </w:r>
    </w:p>
    <w:p>
      <w:pPr>
        <w:pStyle w:val="49"/>
        <w:ind w:firstLine="480"/>
        <w:rPr>
          <w:rFonts w:asciiTheme="minorEastAsia" w:hAnsiTheme="minorEastAsia" w:eastAsiaTheme="minorEastAsia"/>
          <w:sz w:val="24"/>
        </w:rPr>
      </w:pPr>
      <w:r>
        <w:rPr>
          <w:rFonts w:hint="eastAsia" w:asciiTheme="minorEastAsia" w:hAnsiTheme="minorEastAsia" w:eastAsiaTheme="minorEastAsia"/>
          <w:sz w:val="24"/>
        </w:rPr>
        <w:t>表5-1清洁生产方案分类和汇总表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39"/>
        <w:gridCol w:w="655"/>
        <w:gridCol w:w="2552"/>
        <w:gridCol w:w="849"/>
        <w:gridCol w:w="708"/>
        <w:gridCol w:w="23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844" w:type="pct"/>
            <w:noWrap w:val="0"/>
            <w:vAlign w:val="center"/>
          </w:tcPr>
          <w:p>
            <w:pPr>
              <w:pStyle w:val="44"/>
              <w:snapToGrid w:val="0"/>
            </w:pPr>
            <w:bookmarkStart w:id="206" w:name="_Toc525138268"/>
            <w:bookmarkStart w:id="207" w:name="_Toc309399549"/>
            <w:bookmarkStart w:id="208" w:name="_Toc499903493"/>
            <w:bookmarkStart w:id="209" w:name="_Toc525138412"/>
            <w:r>
              <w:t>方案类型</w:t>
            </w:r>
          </w:p>
        </w:tc>
        <w:tc>
          <w:tcPr>
            <w:tcW w:w="384" w:type="pct"/>
            <w:noWrap w:val="0"/>
            <w:vAlign w:val="center"/>
          </w:tcPr>
          <w:p>
            <w:pPr>
              <w:pStyle w:val="44"/>
              <w:snapToGrid w:val="0"/>
            </w:pPr>
            <w:r>
              <w:t>序号</w:t>
            </w:r>
          </w:p>
        </w:tc>
        <w:tc>
          <w:tcPr>
            <w:tcW w:w="1497" w:type="pct"/>
            <w:noWrap w:val="0"/>
            <w:vAlign w:val="center"/>
          </w:tcPr>
          <w:p>
            <w:pPr>
              <w:pStyle w:val="44"/>
              <w:snapToGrid w:val="0"/>
            </w:pPr>
            <w:r>
              <w:t>审核建议</w:t>
            </w:r>
          </w:p>
        </w:tc>
        <w:tc>
          <w:tcPr>
            <w:tcW w:w="498" w:type="pct"/>
            <w:noWrap w:val="0"/>
            <w:vAlign w:val="center"/>
          </w:tcPr>
          <w:p>
            <w:pPr>
              <w:pStyle w:val="44"/>
              <w:snapToGrid w:val="0"/>
            </w:pPr>
            <w:r>
              <w:t>预计投资（万元）</w:t>
            </w:r>
          </w:p>
        </w:tc>
        <w:tc>
          <w:tcPr>
            <w:tcW w:w="415" w:type="pct"/>
            <w:noWrap w:val="0"/>
            <w:vAlign w:val="center"/>
          </w:tcPr>
          <w:p>
            <w:pPr>
              <w:pStyle w:val="44"/>
              <w:snapToGrid w:val="0"/>
            </w:pPr>
            <w:r>
              <w:t>方案分类</w:t>
            </w:r>
          </w:p>
        </w:tc>
        <w:tc>
          <w:tcPr>
            <w:tcW w:w="1360" w:type="pct"/>
            <w:noWrap w:val="0"/>
            <w:vAlign w:val="center"/>
          </w:tcPr>
          <w:p>
            <w:pPr>
              <w:pStyle w:val="44"/>
              <w:snapToGrid w:val="0"/>
            </w:pPr>
            <w:r>
              <w:t>预期经济环境效益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1" w:hRule="atLeast"/>
          <w:jc w:val="center"/>
        </w:trPr>
        <w:tc>
          <w:tcPr>
            <w:tcW w:w="844" w:type="pct"/>
            <w:noWrap w:val="0"/>
            <w:vAlign w:val="center"/>
          </w:tcPr>
          <w:p>
            <w:pPr>
              <w:pStyle w:val="44"/>
              <w:snapToGrid w:val="0"/>
            </w:pPr>
            <w:r>
              <w:t>原辅材料和能源</w:t>
            </w:r>
          </w:p>
        </w:tc>
        <w:tc>
          <w:tcPr>
            <w:tcW w:w="384" w:type="pct"/>
            <w:noWrap w:val="0"/>
            <w:vAlign w:val="center"/>
          </w:tcPr>
          <w:p>
            <w:pPr>
              <w:pStyle w:val="44"/>
              <w:snapToGrid w:val="0"/>
            </w:pPr>
            <w:r>
              <w:rPr>
                <w:rFonts w:cs="Times New Roman" w:eastAsiaTheme="minorEastAsia"/>
                <w:sz w:val="21"/>
                <w:szCs w:val="21"/>
              </w:rPr>
              <w:t>F1-4</w:t>
            </w:r>
          </w:p>
        </w:tc>
        <w:tc>
          <w:tcPr>
            <w:tcW w:w="1497" w:type="pct"/>
            <w:noWrap w:val="0"/>
            <w:vAlign w:val="center"/>
          </w:tcPr>
          <w:p>
            <w:pPr>
              <w:pStyle w:val="44"/>
              <w:snapToGrid w:val="0"/>
            </w:pPr>
            <w:r>
              <w:rPr>
                <w:rFonts w:cs="Times New Roman" w:hAnsiTheme="minorEastAsia" w:eastAsiaTheme="minorEastAsia"/>
                <w:kern w:val="0"/>
                <w:sz w:val="21"/>
                <w:szCs w:val="21"/>
              </w:rPr>
              <w:t>制度空压机等设备的定期维护保养制度，定期清洗维护油路、气路系统</w:t>
            </w:r>
          </w:p>
        </w:tc>
        <w:tc>
          <w:tcPr>
            <w:tcW w:w="498" w:type="pct"/>
            <w:noWrap w:val="0"/>
            <w:vAlign w:val="center"/>
          </w:tcPr>
          <w:p>
            <w:pPr>
              <w:pStyle w:val="44"/>
              <w:snapToGrid w:val="0"/>
              <w:rPr>
                <w:rFonts w:hint="default" w:eastAsiaTheme="minorEastAsia"/>
                <w:lang w:val="en-US" w:eastAsia="zh-CN"/>
              </w:rPr>
            </w:pPr>
            <w:r>
              <w:rPr>
                <w:rFonts w:hint="eastAsia"/>
              </w:rPr>
              <w:t>0</w:t>
            </w:r>
            <w:r>
              <w:rPr>
                <w:rFonts w:hint="eastAsia"/>
                <w:lang w:val="en-US" w:eastAsia="zh-CN"/>
              </w:rPr>
              <w:t>.2</w:t>
            </w:r>
          </w:p>
        </w:tc>
        <w:tc>
          <w:tcPr>
            <w:tcW w:w="415" w:type="pct"/>
            <w:noWrap w:val="0"/>
            <w:vAlign w:val="center"/>
          </w:tcPr>
          <w:p>
            <w:pPr>
              <w:pStyle w:val="44"/>
              <w:snapToGrid w:val="0"/>
            </w:pPr>
            <w:r>
              <w:rPr>
                <w:rFonts w:hint="eastAsia"/>
                <w:lang w:val="en-US" w:eastAsia="zh-CN"/>
              </w:rPr>
              <w:t>低</w:t>
            </w:r>
            <w:r>
              <w:t>费</w:t>
            </w:r>
          </w:p>
        </w:tc>
        <w:tc>
          <w:tcPr>
            <w:tcW w:w="1360" w:type="pct"/>
            <w:noWrap w:val="0"/>
            <w:vAlign w:val="center"/>
          </w:tcPr>
          <w:p>
            <w:pPr>
              <w:pStyle w:val="44"/>
              <w:snapToGrid w:val="0"/>
              <w:rPr>
                <w:rFonts w:hint="default" w:eastAsiaTheme="minorEastAsia"/>
                <w:lang w:val="en-US" w:eastAsia="zh-CN"/>
              </w:rPr>
            </w:pPr>
            <w:r>
              <w:rPr>
                <w:rFonts w:hint="eastAsia"/>
                <w:lang w:val="en-US" w:eastAsia="zh-CN"/>
              </w:rPr>
              <w:t>节电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vMerge w:val="restart"/>
            <w:noWrap w:val="0"/>
            <w:vAlign w:val="center"/>
          </w:tcPr>
          <w:p>
            <w:pPr>
              <w:pStyle w:val="44"/>
              <w:snapToGrid w:val="0"/>
            </w:pPr>
            <w:r>
              <w:t>技术工艺改造</w:t>
            </w:r>
          </w:p>
        </w:tc>
        <w:tc>
          <w:tcPr>
            <w:tcW w:w="384" w:type="pct"/>
            <w:noWrap w:val="0"/>
            <w:vAlign w:val="center"/>
          </w:tcPr>
          <w:p>
            <w:pPr>
              <w:pStyle w:val="44"/>
              <w:snapToGrid w:val="0"/>
            </w:pPr>
            <w:r>
              <w:rPr>
                <w:rFonts w:hint="eastAsia"/>
                <w:lang w:val="en-US" w:eastAsia="zh-CN"/>
              </w:rPr>
              <w:t>F2-2</w:t>
            </w:r>
          </w:p>
        </w:tc>
        <w:tc>
          <w:tcPr>
            <w:tcW w:w="1497" w:type="pct"/>
            <w:noWrap w:val="0"/>
            <w:vAlign w:val="center"/>
          </w:tcPr>
          <w:p>
            <w:pPr>
              <w:pStyle w:val="44"/>
              <w:snapToGrid w:val="0"/>
              <w:rPr>
                <w:highlight w:val="yellow"/>
              </w:rPr>
            </w:pPr>
            <w:r>
              <w:rPr>
                <w:rFonts w:hint="eastAsia" w:eastAsia="宋体"/>
                <w:snapToGrid w:val="0"/>
                <w:color w:val="auto"/>
                <w:kern w:val="24"/>
                <w:lang w:val="en-US" w:eastAsia="zh-CN"/>
              </w:rPr>
              <w:t>更换牵引链条</w:t>
            </w:r>
          </w:p>
        </w:tc>
        <w:tc>
          <w:tcPr>
            <w:tcW w:w="498" w:type="pct"/>
            <w:noWrap w:val="0"/>
            <w:vAlign w:val="center"/>
          </w:tcPr>
          <w:p>
            <w:pPr>
              <w:pStyle w:val="44"/>
              <w:snapToGrid w:val="0"/>
              <w:rPr>
                <w:rFonts w:hint="default" w:eastAsiaTheme="minorEastAsia"/>
                <w:lang w:val="en-US" w:eastAsia="zh-CN"/>
              </w:rPr>
            </w:pPr>
            <w:r>
              <w:rPr>
                <w:rFonts w:hint="eastAsia"/>
                <w:lang w:val="en-US" w:eastAsia="zh-CN"/>
              </w:rPr>
              <w:t>12</w:t>
            </w:r>
          </w:p>
        </w:tc>
        <w:tc>
          <w:tcPr>
            <w:tcW w:w="415" w:type="pct"/>
            <w:noWrap w:val="0"/>
            <w:vAlign w:val="center"/>
          </w:tcPr>
          <w:p>
            <w:pPr>
              <w:pStyle w:val="44"/>
              <w:snapToGrid w:val="0"/>
            </w:pPr>
            <w:r>
              <w:t>中费</w:t>
            </w:r>
          </w:p>
        </w:tc>
        <w:tc>
          <w:tcPr>
            <w:tcW w:w="1360" w:type="pct"/>
            <w:noWrap w:val="0"/>
            <w:vAlign w:val="center"/>
          </w:tcPr>
          <w:p>
            <w:pPr>
              <w:pStyle w:val="44"/>
              <w:snapToGrid w:val="0"/>
            </w:pPr>
            <w:r>
              <w:rPr>
                <w:rFonts w:hAnsi="宋体" w:eastAsia="宋体"/>
              </w:rPr>
              <w:t>减少</w:t>
            </w:r>
            <w:r>
              <w:rPr>
                <w:rFonts w:hint="eastAsia" w:hAnsi="宋体" w:eastAsia="宋体"/>
                <w:lang w:val="en-US" w:eastAsia="zh-CN"/>
              </w:rPr>
              <w:t>故障率，降低能耗，提高生产效率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vMerge w:val="continue"/>
            <w:noWrap w:val="0"/>
            <w:vAlign w:val="center"/>
          </w:tcPr>
          <w:p>
            <w:pPr>
              <w:pStyle w:val="44"/>
              <w:snapToGrid w:val="0"/>
            </w:pPr>
          </w:p>
        </w:tc>
        <w:tc>
          <w:tcPr>
            <w:tcW w:w="384" w:type="pct"/>
            <w:noWrap w:val="0"/>
            <w:vAlign w:val="center"/>
          </w:tcPr>
          <w:p>
            <w:pPr>
              <w:pStyle w:val="44"/>
              <w:snapToGrid w:val="0"/>
              <w:rPr>
                <w:rFonts w:hint="eastAsia"/>
                <w:lang w:val="en-US" w:eastAsia="zh-CN"/>
              </w:rPr>
            </w:pPr>
            <w:r>
              <w:rPr>
                <w:rFonts w:hint="eastAsia"/>
                <w:lang w:val="en-US" w:eastAsia="zh-CN"/>
              </w:rPr>
              <w:t>F2-4</w:t>
            </w:r>
          </w:p>
        </w:tc>
        <w:tc>
          <w:tcPr>
            <w:tcW w:w="1497" w:type="pct"/>
            <w:noWrap w:val="0"/>
            <w:vAlign w:val="center"/>
          </w:tcPr>
          <w:p>
            <w:pPr>
              <w:pStyle w:val="44"/>
              <w:snapToGrid w:val="0"/>
              <w:rPr>
                <w:rFonts w:eastAsia="宋体"/>
                <w:snapToGrid w:val="0"/>
                <w:color w:val="auto"/>
                <w:kern w:val="24"/>
              </w:rPr>
            </w:pPr>
            <w:r>
              <w:rPr>
                <w:rFonts w:hint="eastAsia"/>
                <w:lang w:eastAsia="en-US"/>
              </w:rPr>
              <w:t>增加自动混料系统</w:t>
            </w:r>
          </w:p>
        </w:tc>
        <w:tc>
          <w:tcPr>
            <w:tcW w:w="498" w:type="pct"/>
            <w:noWrap w:val="0"/>
            <w:vAlign w:val="center"/>
          </w:tcPr>
          <w:p>
            <w:pPr>
              <w:pStyle w:val="44"/>
              <w:snapToGrid w:val="0"/>
              <w:rPr>
                <w:rFonts w:hint="default"/>
                <w:lang w:val="en-US" w:eastAsia="zh-CN"/>
              </w:rPr>
            </w:pPr>
            <w:r>
              <w:rPr>
                <w:rFonts w:hint="eastAsia"/>
                <w:lang w:val="en-US" w:eastAsia="zh-CN"/>
              </w:rPr>
              <w:t>20</w:t>
            </w:r>
          </w:p>
        </w:tc>
        <w:tc>
          <w:tcPr>
            <w:tcW w:w="415" w:type="pct"/>
            <w:noWrap w:val="0"/>
            <w:vAlign w:val="center"/>
          </w:tcPr>
          <w:p>
            <w:pPr>
              <w:pStyle w:val="44"/>
              <w:snapToGrid w:val="0"/>
            </w:pPr>
            <w:r>
              <w:rPr>
                <w:rFonts w:hint="eastAsia"/>
                <w:lang w:val="en-US" w:eastAsia="zh-CN"/>
              </w:rPr>
              <w:t>高</w:t>
            </w:r>
            <w:r>
              <w:t>费</w:t>
            </w:r>
          </w:p>
        </w:tc>
        <w:tc>
          <w:tcPr>
            <w:tcW w:w="1360" w:type="pct"/>
            <w:noWrap w:val="0"/>
            <w:vAlign w:val="center"/>
          </w:tcPr>
          <w:p>
            <w:pPr>
              <w:pStyle w:val="44"/>
              <w:snapToGrid w:val="0"/>
              <w:rPr>
                <w:rFonts w:hAnsi="宋体" w:eastAsia="宋体"/>
              </w:rPr>
            </w:pPr>
            <w:r>
              <w:rPr>
                <w:rFonts w:hint="eastAsia"/>
                <w:lang w:val="en-US" w:eastAsia="zh-CN"/>
              </w:rPr>
              <w:t>提高生产效率，降低粉尘排放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noWrap w:val="0"/>
            <w:vAlign w:val="center"/>
          </w:tcPr>
          <w:p>
            <w:pPr>
              <w:adjustRightInd w:val="0"/>
              <w:snapToGrid w:val="0"/>
              <w:ind w:firstLine="0" w:firstLineChars="0"/>
              <w:jc w:val="center"/>
              <w:rPr>
                <w:kern w:val="0"/>
                <w:sz w:val="21"/>
                <w:szCs w:val="22"/>
              </w:rPr>
            </w:pPr>
            <w:r>
              <w:rPr>
                <w:kern w:val="0"/>
                <w:sz w:val="21"/>
                <w:szCs w:val="22"/>
              </w:rPr>
              <w:t>过程优化控制</w:t>
            </w:r>
          </w:p>
        </w:tc>
        <w:tc>
          <w:tcPr>
            <w:tcW w:w="384" w:type="pct"/>
            <w:noWrap w:val="0"/>
            <w:vAlign w:val="center"/>
          </w:tcPr>
          <w:p>
            <w:pPr>
              <w:pStyle w:val="44"/>
              <w:snapToGrid w:val="0"/>
            </w:pPr>
            <w:r>
              <w:t>F</w:t>
            </w:r>
            <w:r>
              <w:rPr>
                <w:rFonts w:hint="eastAsia"/>
                <w:lang w:val="en-US" w:eastAsia="zh-CN"/>
              </w:rPr>
              <w:t>1-</w:t>
            </w:r>
            <w:r>
              <w:t>3</w:t>
            </w:r>
          </w:p>
        </w:tc>
        <w:tc>
          <w:tcPr>
            <w:tcW w:w="1497" w:type="pct"/>
            <w:noWrap w:val="0"/>
            <w:vAlign w:val="center"/>
          </w:tcPr>
          <w:p>
            <w:pPr>
              <w:pStyle w:val="44"/>
              <w:snapToGrid w:val="0"/>
            </w:pPr>
            <w:r>
              <w:rPr>
                <w:rFonts w:cs="Times New Roman" w:hAnsiTheme="minorEastAsia" w:eastAsiaTheme="minorEastAsia"/>
                <w:sz w:val="21"/>
                <w:szCs w:val="21"/>
              </w:rPr>
              <w:t>优化车间布局，将不同物品分区堆放，改善车间环境，便于物品合理领用及管理</w:t>
            </w:r>
          </w:p>
        </w:tc>
        <w:tc>
          <w:tcPr>
            <w:tcW w:w="498" w:type="pct"/>
            <w:noWrap w:val="0"/>
            <w:vAlign w:val="center"/>
          </w:tcPr>
          <w:p>
            <w:pPr>
              <w:pStyle w:val="44"/>
              <w:snapToGrid w:val="0"/>
            </w:pPr>
            <w:r>
              <w:t>0</w:t>
            </w:r>
          </w:p>
        </w:tc>
        <w:tc>
          <w:tcPr>
            <w:tcW w:w="415" w:type="pct"/>
            <w:noWrap w:val="0"/>
            <w:vAlign w:val="center"/>
          </w:tcPr>
          <w:p>
            <w:pPr>
              <w:pStyle w:val="44"/>
              <w:snapToGrid w:val="0"/>
            </w:pPr>
            <w:r>
              <w:t>无费</w:t>
            </w:r>
          </w:p>
        </w:tc>
        <w:tc>
          <w:tcPr>
            <w:tcW w:w="1360" w:type="pct"/>
            <w:noWrap w:val="0"/>
            <w:vAlign w:val="center"/>
          </w:tcPr>
          <w:p>
            <w:pPr>
              <w:pStyle w:val="44"/>
              <w:snapToGrid w:val="0"/>
            </w:pPr>
            <w:r>
              <w:rPr>
                <w:rFonts w:ascii="宋体" w:hAnsi="宋体" w:eastAsia="宋体" w:cs="宋体"/>
                <w:spacing w:val="-4"/>
                <w:sz w:val="21"/>
                <w:szCs w:val="21"/>
              </w:rPr>
              <w:t>改</w:t>
            </w:r>
            <w:r>
              <w:rPr>
                <w:rFonts w:ascii="宋体" w:hAnsi="宋体" w:eastAsia="宋体" w:cs="宋体"/>
                <w:spacing w:val="-2"/>
                <w:sz w:val="21"/>
                <w:szCs w:val="21"/>
              </w:rPr>
              <w:t>善厂房环境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vMerge w:val="restart"/>
            <w:noWrap w:val="0"/>
            <w:vAlign w:val="center"/>
          </w:tcPr>
          <w:p>
            <w:pPr>
              <w:tabs>
                <w:tab w:val="left" w:pos="7005"/>
              </w:tabs>
              <w:adjustRightInd w:val="0"/>
              <w:snapToGrid w:val="0"/>
              <w:ind w:firstLine="0" w:firstLineChars="0"/>
              <w:jc w:val="center"/>
              <w:rPr>
                <w:kern w:val="0"/>
                <w:sz w:val="21"/>
                <w:szCs w:val="21"/>
              </w:rPr>
            </w:pPr>
            <w:r>
              <w:rPr>
                <w:kern w:val="0"/>
                <w:sz w:val="21"/>
                <w:szCs w:val="21"/>
              </w:rPr>
              <w:t>废弃物回收利用</w:t>
            </w:r>
          </w:p>
        </w:tc>
        <w:tc>
          <w:tcPr>
            <w:tcW w:w="384" w:type="pct"/>
            <w:noWrap w:val="0"/>
            <w:vAlign w:val="center"/>
          </w:tcPr>
          <w:p>
            <w:pPr>
              <w:pStyle w:val="44"/>
              <w:snapToGrid w:val="0"/>
            </w:pPr>
            <w:r>
              <w:rPr>
                <w:rFonts w:hint="eastAsia"/>
                <w:lang w:val="en-US" w:eastAsia="zh-CN"/>
              </w:rPr>
              <w:t>F2-3</w:t>
            </w:r>
          </w:p>
        </w:tc>
        <w:tc>
          <w:tcPr>
            <w:tcW w:w="1497" w:type="pct"/>
            <w:noWrap w:val="0"/>
            <w:vAlign w:val="center"/>
          </w:tcPr>
          <w:p>
            <w:pPr>
              <w:pStyle w:val="44"/>
              <w:snapToGrid w:val="0"/>
              <w:rPr>
                <w:kern w:val="0"/>
              </w:rPr>
            </w:pPr>
            <w:r>
              <w:t>对废包装袋分类回收，尽可能循环利用</w:t>
            </w:r>
          </w:p>
        </w:tc>
        <w:tc>
          <w:tcPr>
            <w:tcW w:w="498" w:type="pct"/>
            <w:noWrap w:val="0"/>
            <w:vAlign w:val="center"/>
          </w:tcPr>
          <w:p>
            <w:pPr>
              <w:pStyle w:val="44"/>
              <w:snapToGrid w:val="0"/>
              <w:rPr>
                <w:rFonts w:hint="eastAsia" w:eastAsiaTheme="minorEastAsia"/>
                <w:lang w:eastAsia="zh-CN"/>
              </w:rPr>
            </w:pPr>
            <w:r>
              <w:rPr>
                <w:rFonts w:hint="eastAsia"/>
                <w:lang w:val="en-US" w:eastAsia="zh-CN"/>
              </w:rPr>
              <w:t>0</w:t>
            </w:r>
          </w:p>
        </w:tc>
        <w:tc>
          <w:tcPr>
            <w:tcW w:w="415" w:type="pct"/>
            <w:noWrap w:val="0"/>
            <w:vAlign w:val="center"/>
          </w:tcPr>
          <w:p>
            <w:pPr>
              <w:pStyle w:val="44"/>
              <w:snapToGrid w:val="0"/>
            </w:pPr>
            <w:r>
              <w:rPr>
                <w:rFonts w:hint="eastAsia"/>
                <w:lang w:val="en-US" w:eastAsia="zh-CN"/>
              </w:rPr>
              <w:t>无</w:t>
            </w:r>
            <w:r>
              <w:t>费</w:t>
            </w:r>
          </w:p>
        </w:tc>
        <w:tc>
          <w:tcPr>
            <w:tcW w:w="1360" w:type="pct"/>
            <w:noWrap w:val="0"/>
            <w:vAlign w:val="center"/>
          </w:tcPr>
          <w:p>
            <w:pPr>
              <w:pStyle w:val="44"/>
              <w:snapToGrid w:val="0"/>
            </w:pPr>
            <w:r>
              <w:t>减少废包装袋的排放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vMerge w:val="continue"/>
            <w:noWrap w:val="0"/>
            <w:vAlign w:val="center"/>
          </w:tcPr>
          <w:p>
            <w:pPr>
              <w:tabs>
                <w:tab w:val="left" w:pos="7005"/>
              </w:tabs>
              <w:adjustRightInd w:val="0"/>
              <w:snapToGrid w:val="0"/>
              <w:ind w:firstLine="0" w:firstLineChars="0"/>
              <w:jc w:val="center"/>
              <w:rPr>
                <w:kern w:val="0"/>
                <w:sz w:val="21"/>
                <w:szCs w:val="21"/>
              </w:rPr>
            </w:pPr>
          </w:p>
        </w:tc>
        <w:tc>
          <w:tcPr>
            <w:tcW w:w="384" w:type="pct"/>
            <w:noWrap w:val="0"/>
            <w:vAlign w:val="center"/>
          </w:tcPr>
          <w:p>
            <w:pPr>
              <w:pStyle w:val="44"/>
              <w:snapToGrid w:val="0"/>
              <w:rPr>
                <w:rFonts w:hint="eastAsia"/>
                <w:lang w:val="en-US" w:eastAsia="zh-CN"/>
              </w:rPr>
            </w:pPr>
            <w:r>
              <w:rPr>
                <w:rFonts w:cs="Times New Roman" w:eastAsiaTheme="minorEastAsia"/>
                <w:sz w:val="21"/>
                <w:szCs w:val="21"/>
              </w:rPr>
              <w:t>F1-5</w:t>
            </w:r>
          </w:p>
        </w:tc>
        <w:tc>
          <w:tcPr>
            <w:tcW w:w="1497" w:type="pct"/>
            <w:noWrap w:val="0"/>
            <w:vAlign w:val="center"/>
          </w:tcPr>
          <w:p>
            <w:pPr>
              <w:pStyle w:val="44"/>
              <w:snapToGrid w:val="0"/>
            </w:pPr>
            <w:r>
              <w:rPr>
                <w:rFonts w:hint="eastAsia" w:cs="Times New Roman" w:hAnsiTheme="minorEastAsia" w:eastAsiaTheme="minorEastAsia"/>
                <w:sz w:val="21"/>
                <w:szCs w:val="21"/>
              </w:rPr>
              <w:t>编织袋利用</w:t>
            </w:r>
          </w:p>
        </w:tc>
        <w:tc>
          <w:tcPr>
            <w:tcW w:w="498" w:type="pct"/>
            <w:noWrap w:val="0"/>
            <w:vAlign w:val="center"/>
          </w:tcPr>
          <w:p>
            <w:pPr>
              <w:pStyle w:val="44"/>
              <w:snapToGrid w:val="0"/>
              <w:rPr>
                <w:rFonts w:hint="default"/>
                <w:lang w:val="en-US" w:eastAsia="zh-CN"/>
              </w:rPr>
            </w:pPr>
            <w:r>
              <w:rPr>
                <w:rFonts w:hint="eastAsia"/>
                <w:lang w:val="en-US" w:eastAsia="zh-CN"/>
              </w:rPr>
              <w:t>0</w:t>
            </w:r>
          </w:p>
        </w:tc>
        <w:tc>
          <w:tcPr>
            <w:tcW w:w="415" w:type="pct"/>
            <w:noWrap w:val="0"/>
            <w:vAlign w:val="center"/>
          </w:tcPr>
          <w:p>
            <w:pPr>
              <w:pStyle w:val="44"/>
              <w:snapToGrid w:val="0"/>
              <w:rPr>
                <w:rFonts w:hint="eastAsia"/>
                <w:lang w:val="en-US" w:eastAsia="zh-CN"/>
              </w:rPr>
            </w:pPr>
            <w:r>
              <w:rPr>
                <w:rFonts w:hint="eastAsia"/>
                <w:lang w:val="en-US" w:eastAsia="zh-CN"/>
              </w:rPr>
              <w:t>无</w:t>
            </w:r>
            <w:r>
              <w:t>费</w:t>
            </w:r>
          </w:p>
        </w:tc>
        <w:tc>
          <w:tcPr>
            <w:tcW w:w="1360" w:type="pct"/>
            <w:noWrap w:val="0"/>
            <w:vAlign w:val="center"/>
          </w:tcPr>
          <w:p>
            <w:pPr>
              <w:pStyle w:val="44"/>
              <w:snapToGrid w:val="0"/>
              <w:rPr>
                <w:rFonts w:hint="default" w:eastAsia="宋体"/>
                <w:lang w:val="en-US" w:eastAsia="zh-CN"/>
              </w:rPr>
            </w:pPr>
            <w:r>
              <w:rPr>
                <w:rFonts w:hint="eastAsia" w:eastAsia="宋体"/>
                <w:lang w:val="en-US" w:eastAsia="zh-CN"/>
              </w:rPr>
              <w:t>提高固废利用率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noWrap w:val="0"/>
            <w:vAlign w:val="center"/>
          </w:tcPr>
          <w:p>
            <w:pPr>
              <w:pStyle w:val="44"/>
              <w:snapToGrid w:val="0"/>
              <w:rPr>
                <w:rFonts w:hint="eastAsia"/>
              </w:rPr>
            </w:pPr>
            <w:r>
              <w:rPr>
                <w:rFonts w:hint="eastAsia"/>
              </w:rPr>
              <w:t>加强管理</w:t>
            </w:r>
          </w:p>
        </w:tc>
        <w:tc>
          <w:tcPr>
            <w:tcW w:w="384" w:type="pct"/>
            <w:noWrap w:val="0"/>
            <w:vAlign w:val="center"/>
          </w:tcPr>
          <w:p>
            <w:pPr>
              <w:pStyle w:val="44"/>
              <w:snapToGrid w:val="0"/>
            </w:pPr>
            <w:r>
              <w:rPr>
                <w:rFonts w:cs="Times New Roman" w:eastAsiaTheme="minorEastAsia"/>
                <w:sz w:val="21"/>
                <w:szCs w:val="21"/>
              </w:rPr>
              <w:t>F1-2</w:t>
            </w:r>
          </w:p>
        </w:tc>
        <w:tc>
          <w:tcPr>
            <w:tcW w:w="1497" w:type="pct"/>
            <w:noWrap w:val="0"/>
            <w:vAlign w:val="center"/>
          </w:tcPr>
          <w:p>
            <w:pPr>
              <w:pStyle w:val="44"/>
              <w:snapToGrid w:val="0"/>
            </w:pPr>
            <w:r>
              <w:rPr>
                <w:rFonts w:cs="Times New Roman" w:hAnsiTheme="minorEastAsia" w:eastAsiaTheme="minorEastAsia"/>
                <w:snapToGrid w:val="0"/>
                <w:kern w:val="24"/>
                <w:sz w:val="21"/>
                <w:szCs w:val="21"/>
              </w:rPr>
              <w:t>建立仓库货物台账，将公用工具纳入车间材料库管理，并做好借用登记工作</w:t>
            </w:r>
          </w:p>
        </w:tc>
        <w:tc>
          <w:tcPr>
            <w:tcW w:w="498" w:type="pct"/>
            <w:noWrap w:val="0"/>
            <w:vAlign w:val="center"/>
          </w:tcPr>
          <w:p>
            <w:pPr>
              <w:pStyle w:val="44"/>
              <w:snapToGrid w:val="0"/>
            </w:pPr>
            <w:r>
              <w:rPr>
                <w:rFonts w:hint="eastAsia"/>
              </w:rPr>
              <w:t>0</w:t>
            </w:r>
          </w:p>
        </w:tc>
        <w:tc>
          <w:tcPr>
            <w:tcW w:w="415" w:type="pct"/>
            <w:noWrap w:val="0"/>
            <w:vAlign w:val="center"/>
          </w:tcPr>
          <w:p>
            <w:pPr>
              <w:pStyle w:val="44"/>
              <w:snapToGrid w:val="0"/>
            </w:pPr>
            <w:r>
              <w:t>无费</w:t>
            </w:r>
          </w:p>
        </w:tc>
        <w:tc>
          <w:tcPr>
            <w:tcW w:w="1360" w:type="pct"/>
            <w:noWrap w:val="0"/>
            <w:vAlign w:val="center"/>
          </w:tcPr>
          <w:p>
            <w:pPr>
              <w:spacing w:before="126" w:line="239" w:lineRule="auto"/>
              <w:ind w:left="75" w:right="48" w:firstLine="7"/>
            </w:pPr>
            <w:r>
              <w:rPr>
                <w:rFonts w:ascii="宋体" w:hAnsi="宋体" w:eastAsia="宋体" w:cs="宋体"/>
                <w:spacing w:val="-10"/>
                <w:sz w:val="21"/>
                <w:szCs w:val="21"/>
              </w:rPr>
              <w:t>改</w:t>
            </w:r>
            <w:r>
              <w:rPr>
                <w:rFonts w:ascii="宋体" w:hAnsi="宋体" w:eastAsia="宋体" w:cs="宋体"/>
                <w:spacing w:val="-8"/>
                <w:sz w:val="21"/>
                <w:szCs w:val="21"/>
              </w:rPr>
              <w:t>善车间环境，</w:t>
            </w:r>
            <w:r>
              <w:rPr>
                <w:rFonts w:ascii="宋体" w:hAnsi="宋体" w:eastAsia="宋体" w:cs="宋体"/>
                <w:sz w:val="21"/>
                <w:szCs w:val="21"/>
              </w:rPr>
              <w:t xml:space="preserve"> </w:t>
            </w:r>
            <w:r>
              <w:rPr>
                <w:rFonts w:ascii="宋体" w:hAnsi="宋体" w:eastAsia="宋体" w:cs="宋体"/>
                <w:spacing w:val="-1"/>
                <w:sz w:val="21"/>
                <w:szCs w:val="21"/>
              </w:rPr>
              <w:t>减少废弃物</w:t>
            </w:r>
            <w:r>
              <w:rPr>
                <w:rFonts w:ascii="宋体" w:hAnsi="宋体" w:eastAsia="宋体" w:cs="宋体"/>
                <w:sz w:val="21"/>
                <w:szCs w:val="21"/>
              </w:rPr>
              <w:t>产生</w:t>
            </w:r>
            <w:r>
              <w:rPr>
                <w:rFonts w:ascii="宋体" w:hAnsi="宋体" w:eastAsia="宋体" w:cs="宋体"/>
                <w:spacing w:val="-2"/>
                <w:sz w:val="21"/>
                <w:szCs w:val="21"/>
              </w:rPr>
              <w:t>与排放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noWrap w:val="0"/>
            <w:vAlign w:val="center"/>
          </w:tcPr>
          <w:p>
            <w:pPr>
              <w:pStyle w:val="44"/>
              <w:snapToGrid w:val="0"/>
              <w:rPr>
                <w:rFonts w:hint="eastAsia"/>
              </w:rPr>
            </w:pPr>
          </w:p>
        </w:tc>
        <w:tc>
          <w:tcPr>
            <w:tcW w:w="384" w:type="pct"/>
            <w:noWrap w:val="0"/>
            <w:vAlign w:val="center"/>
          </w:tcPr>
          <w:p>
            <w:pPr>
              <w:pStyle w:val="44"/>
              <w:snapToGrid w:val="0"/>
              <w:rPr>
                <w:rFonts w:cs="Times New Roman" w:eastAsiaTheme="minorEastAsia"/>
                <w:sz w:val="21"/>
                <w:szCs w:val="21"/>
              </w:rPr>
            </w:pPr>
            <w:r>
              <w:rPr>
                <w:rFonts w:cs="Times New Roman" w:eastAsiaTheme="minorEastAsia"/>
                <w:sz w:val="21"/>
                <w:szCs w:val="21"/>
              </w:rPr>
              <w:t>F1-1</w:t>
            </w:r>
          </w:p>
        </w:tc>
        <w:tc>
          <w:tcPr>
            <w:tcW w:w="1497" w:type="pct"/>
            <w:noWrap w:val="0"/>
            <w:vAlign w:val="center"/>
          </w:tcPr>
          <w:p>
            <w:pPr>
              <w:pStyle w:val="44"/>
              <w:snapToGrid w:val="0"/>
              <w:rPr>
                <w:rFonts w:cs="Times New Roman" w:hAnsiTheme="minorEastAsia" w:eastAsiaTheme="minorEastAsia"/>
                <w:snapToGrid w:val="0"/>
                <w:kern w:val="24"/>
                <w:sz w:val="21"/>
                <w:szCs w:val="21"/>
              </w:rPr>
            </w:pPr>
            <w:r>
              <w:rPr>
                <w:rFonts w:ascii="Times New Roman" w:cs="Times New Roman" w:hAnsiTheme="minorEastAsia" w:eastAsiaTheme="minorEastAsia"/>
                <w:sz w:val="21"/>
                <w:szCs w:val="21"/>
              </w:rPr>
              <w:t>为员工配备耳塞、口罩等劳保用品，同时高温天气为员工发放降暑饮料</w:t>
            </w:r>
          </w:p>
        </w:tc>
        <w:tc>
          <w:tcPr>
            <w:tcW w:w="498" w:type="pct"/>
            <w:noWrap w:val="0"/>
            <w:vAlign w:val="center"/>
          </w:tcPr>
          <w:p>
            <w:pPr>
              <w:pStyle w:val="44"/>
              <w:snapToGrid w:val="0"/>
              <w:rPr>
                <w:rFonts w:hint="eastAsia" w:eastAsiaTheme="minorEastAsia"/>
                <w:lang w:val="en-US" w:eastAsia="zh-CN"/>
              </w:rPr>
            </w:pPr>
            <w:r>
              <w:rPr>
                <w:rFonts w:hint="eastAsia"/>
                <w:lang w:val="en-US" w:eastAsia="zh-CN"/>
              </w:rPr>
              <w:t>0</w:t>
            </w:r>
          </w:p>
        </w:tc>
        <w:tc>
          <w:tcPr>
            <w:tcW w:w="415" w:type="pct"/>
            <w:noWrap w:val="0"/>
            <w:vAlign w:val="center"/>
          </w:tcPr>
          <w:p>
            <w:pPr>
              <w:pStyle w:val="44"/>
              <w:snapToGrid w:val="0"/>
            </w:pPr>
            <w:r>
              <w:rPr>
                <w:rFonts w:hint="eastAsia"/>
                <w:lang w:val="en-US" w:eastAsia="zh-CN"/>
              </w:rPr>
              <w:t>无</w:t>
            </w:r>
            <w:r>
              <w:t>费</w:t>
            </w:r>
          </w:p>
        </w:tc>
        <w:tc>
          <w:tcPr>
            <w:tcW w:w="1360" w:type="pct"/>
            <w:noWrap w:val="0"/>
            <w:vAlign w:val="center"/>
          </w:tcPr>
          <w:p>
            <w:pPr>
              <w:spacing w:before="104" w:line="239" w:lineRule="auto"/>
              <w:ind w:left="75" w:right="48"/>
              <w:rPr>
                <w:rFonts w:ascii="宋体" w:hAnsi="宋体" w:eastAsia="宋体" w:cs="宋体"/>
                <w:spacing w:val="-10"/>
                <w:sz w:val="21"/>
                <w:szCs w:val="21"/>
              </w:rPr>
            </w:pPr>
            <w:r>
              <w:rPr>
                <w:rFonts w:ascii="宋体" w:hAnsi="宋体" w:eastAsia="宋体" w:cs="宋体"/>
                <w:spacing w:val="-9"/>
                <w:sz w:val="21"/>
                <w:szCs w:val="21"/>
              </w:rPr>
              <w:t>加</w:t>
            </w:r>
            <w:r>
              <w:rPr>
                <w:rFonts w:ascii="宋体" w:hAnsi="宋体" w:eastAsia="宋体" w:cs="宋体"/>
                <w:spacing w:val="-7"/>
                <w:sz w:val="21"/>
                <w:szCs w:val="21"/>
              </w:rPr>
              <w:t>强个体防护，</w:t>
            </w:r>
            <w:r>
              <w:rPr>
                <w:rFonts w:ascii="宋体" w:hAnsi="宋体" w:eastAsia="宋体" w:cs="宋体"/>
                <w:sz w:val="21"/>
                <w:szCs w:val="21"/>
              </w:rPr>
              <w:t xml:space="preserve"> </w:t>
            </w:r>
            <w:r>
              <w:rPr>
                <w:rFonts w:ascii="宋体" w:hAnsi="宋体" w:eastAsia="宋体" w:cs="宋体"/>
                <w:spacing w:val="-1"/>
                <w:sz w:val="21"/>
                <w:szCs w:val="21"/>
              </w:rPr>
              <w:t>减少生产对</w:t>
            </w:r>
            <w:r>
              <w:rPr>
                <w:rFonts w:ascii="宋体" w:hAnsi="宋体" w:eastAsia="宋体" w:cs="宋体"/>
                <w:sz w:val="21"/>
                <w:szCs w:val="21"/>
              </w:rPr>
              <w:t>员工</w:t>
            </w:r>
            <w:r>
              <w:rPr>
                <w:rFonts w:ascii="宋体" w:hAnsi="宋体" w:eastAsia="宋体" w:cs="宋体"/>
                <w:spacing w:val="-5"/>
                <w:sz w:val="21"/>
                <w:szCs w:val="21"/>
              </w:rPr>
              <w:t>的危害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noWrap w:val="0"/>
            <w:vAlign w:val="center"/>
          </w:tcPr>
          <w:p>
            <w:pPr>
              <w:pStyle w:val="44"/>
              <w:snapToGrid w:val="0"/>
              <w:rPr>
                <w:rFonts w:hint="eastAsia"/>
              </w:rPr>
            </w:pPr>
          </w:p>
        </w:tc>
        <w:tc>
          <w:tcPr>
            <w:tcW w:w="384" w:type="pct"/>
            <w:noWrap w:val="0"/>
            <w:vAlign w:val="center"/>
          </w:tcPr>
          <w:p>
            <w:pPr>
              <w:pStyle w:val="44"/>
              <w:snapToGrid w:val="0"/>
              <w:rPr>
                <w:rFonts w:cs="Times New Roman" w:eastAsiaTheme="minorEastAsia"/>
                <w:sz w:val="21"/>
                <w:szCs w:val="21"/>
              </w:rPr>
            </w:pPr>
            <w:r>
              <w:rPr>
                <w:rFonts w:hint="eastAsia"/>
                <w:lang w:val="en-US" w:eastAsia="zh-CN"/>
              </w:rPr>
              <w:t>F2-1</w:t>
            </w:r>
          </w:p>
        </w:tc>
        <w:tc>
          <w:tcPr>
            <w:tcW w:w="1497" w:type="pct"/>
            <w:noWrap w:val="0"/>
            <w:vAlign w:val="center"/>
          </w:tcPr>
          <w:p>
            <w:pPr>
              <w:pStyle w:val="44"/>
              <w:snapToGrid w:val="0"/>
              <w:rPr>
                <w:rFonts w:ascii="Times New Roman" w:cs="Times New Roman" w:hAnsiTheme="minorEastAsia" w:eastAsiaTheme="minorEastAsia"/>
                <w:sz w:val="21"/>
                <w:szCs w:val="21"/>
              </w:rPr>
            </w:pPr>
            <w:r>
              <w:t>加强对入场原辅料的检验，不合格产品不能入场</w:t>
            </w:r>
          </w:p>
        </w:tc>
        <w:tc>
          <w:tcPr>
            <w:tcW w:w="498" w:type="pct"/>
            <w:noWrap w:val="0"/>
            <w:vAlign w:val="center"/>
          </w:tcPr>
          <w:p>
            <w:pPr>
              <w:pStyle w:val="44"/>
              <w:snapToGrid w:val="0"/>
              <w:rPr>
                <w:rFonts w:hint="default"/>
                <w:lang w:val="en-US" w:eastAsia="zh-CN"/>
              </w:rPr>
            </w:pPr>
            <w:r>
              <w:rPr>
                <w:rFonts w:hint="eastAsia"/>
                <w:lang w:val="en-US" w:eastAsia="zh-CN"/>
              </w:rPr>
              <w:t>0</w:t>
            </w:r>
          </w:p>
        </w:tc>
        <w:tc>
          <w:tcPr>
            <w:tcW w:w="415" w:type="pct"/>
            <w:noWrap w:val="0"/>
            <w:vAlign w:val="center"/>
          </w:tcPr>
          <w:p>
            <w:pPr>
              <w:pStyle w:val="44"/>
              <w:snapToGrid w:val="0"/>
              <w:rPr>
                <w:rFonts w:hint="eastAsia"/>
                <w:lang w:val="en-US" w:eastAsia="zh-CN"/>
              </w:rPr>
            </w:pPr>
            <w:r>
              <w:rPr>
                <w:rFonts w:hint="eastAsia"/>
                <w:lang w:val="en-US" w:eastAsia="zh-CN"/>
              </w:rPr>
              <w:t>无</w:t>
            </w:r>
            <w:r>
              <w:t>费</w:t>
            </w:r>
          </w:p>
        </w:tc>
        <w:tc>
          <w:tcPr>
            <w:tcW w:w="1360" w:type="pct"/>
            <w:noWrap w:val="0"/>
            <w:vAlign w:val="center"/>
          </w:tcPr>
          <w:p>
            <w:pPr>
              <w:spacing w:before="126" w:line="239" w:lineRule="auto"/>
              <w:ind w:left="75" w:right="48" w:firstLine="7"/>
              <w:rPr>
                <w:rFonts w:ascii="宋体" w:hAnsi="宋体" w:eastAsia="宋体" w:cs="宋体"/>
                <w:spacing w:val="-9"/>
                <w:sz w:val="21"/>
                <w:szCs w:val="21"/>
              </w:rPr>
            </w:pPr>
            <w:r>
              <w:t>确保原辅料质量，减少废物排放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vMerge w:val="restart"/>
            <w:noWrap w:val="0"/>
            <w:vAlign w:val="center"/>
          </w:tcPr>
          <w:p>
            <w:pPr>
              <w:tabs>
                <w:tab w:val="left" w:pos="7005"/>
              </w:tabs>
              <w:adjustRightInd w:val="0"/>
              <w:snapToGrid w:val="0"/>
              <w:ind w:firstLine="0" w:firstLineChars="0"/>
              <w:jc w:val="center"/>
              <w:rPr>
                <w:kern w:val="0"/>
                <w:sz w:val="21"/>
                <w:szCs w:val="21"/>
              </w:rPr>
            </w:pPr>
            <w:r>
              <w:rPr>
                <w:kern w:val="0"/>
                <w:sz w:val="21"/>
                <w:szCs w:val="21"/>
              </w:rPr>
              <w:t>提高员工素质</w:t>
            </w:r>
          </w:p>
        </w:tc>
        <w:tc>
          <w:tcPr>
            <w:tcW w:w="384" w:type="pct"/>
            <w:noWrap w:val="0"/>
            <w:vAlign w:val="center"/>
          </w:tcPr>
          <w:p>
            <w:pPr>
              <w:pStyle w:val="44"/>
              <w:snapToGrid w:val="0"/>
              <w:rPr>
                <w:rFonts w:hint="default" w:eastAsiaTheme="minorEastAsia"/>
                <w:lang w:val="en-US" w:eastAsia="zh-CN"/>
              </w:rPr>
            </w:pPr>
            <w:r>
              <w:t>F</w:t>
            </w:r>
            <w:r>
              <w:rPr>
                <w:rFonts w:hint="eastAsia"/>
                <w:lang w:val="en-US" w:eastAsia="zh-CN"/>
              </w:rPr>
              <w:t>1-6</w:t>
            </w:r>
          </w:p>
        </w:tc>
        <w:tc>
          <w:tcPr>
            <w:tcW w:w="1497" w:type="pct"/>
            <w:noWrap w:val="0"/>
            <w:vAlign w:val="center"/>
          </w:tcPr>
          <w:p>
            <w:pPr>
              <w:pStyle w:val="44"/>
              <w:snapToGrid w:val="0"/>
            </w:pPr>
            <w:r>
              <w:rPr>
                <w:rFonts w:cs="Times New Roman" w:hAnsiTheme="minorEastAsia" w:eastAsiaTheme="minorEastAsia"/>
                <w:sz w:val="21"/>
                <w:szCs w:val="21"/>
              </w:rPr>
              <w:t>通过培训、宣传宣传册、标语等形式加强，员工思想意识教育，提高员工的主人翁责任感和环境意识，使广大员工积极参与清洁生产审核工作</w:t>
            </w:r>
          </w:p>
        </w:tc>
        <w:tc>
          <w:tcPr>
            <w:tcW w:w="498" w:type="pct"/>
            <w:noWrap w:val="0"/>
            <w:vAlign w:val="center"/>
          </w:tcPr>
          <w:p>
            <w:pPr>
              <w:pStyle w:val="44"/>
              <w:snapToGrid w:val="0"/>
              <w:rPr>
                <w:rFonts w:hint="eastAsia" w:eastAsiaTheme="minorEastAsia"/>
                <w:lang w:val="en-US" w:eastAsia="zh-CN"/>
              </w:rPr>
            </w:pPr>
            <w:r>
              <w:t>0.</w:t>
            </w:r>
            <w:r>
              <w:rPr>
                <w:rFonts w:hint="eastAsia"/>
                <w:lang w:val="en-US" w:eastAsia="zh-CN"/>
              </w:rPr>
              <w:t>2</w:t>
            </w:r>
          </w:p>
        </w:tc>
        <w:tc>
          <w:tcPr>
            <w:tcW w:w="415" w:type="pct"/>
            <w:noWrap w:val="0"/>
            <w:vAlign w:val="center"/>
          </w:tcPr>
          <w:p>
            <w:pPr>
              <w:pStyle w:val="44"/>
              <w:snapToGrid w:val="0"/>
            </w:pPr>
            <w:r>
              <w:t>低费</w:t>
            </w:r>
          </w:p>
        </w:tc>
        <w:tc>
          <w:tcPr>
            <w:tcW w:w="1360" w:type="pct"/>
            <w:noWrap w:val="0"/>
            <w:vAlign w:val="center"/>
          </w:tcPr>
          <w:p>
            <w:pPr>
              <w:pStyle w:val="44"/>
              <w:snapToGrid w:val="0"/>
            </w:pPr>
            <w:r>
              <w:rPr>
                <w:rFonts w:ascii="宋体" w:hAnsi="宋体" w:eastAsia="宋体" w:cs="宋体"/>
                <w:spacing w:val="-10"/>
                <w:sz w:val="21"/>
                <w:szCs w:val="21"/>
              </w:rPr>
              <w:t>改</w:t>
            </w:r>
            <w:r>
              <w:rPr>
                <w:rFonts w:ascii="宋体" w:hAnsi="宋体" w:eastAsia="宋体" w:cs="宋体"/>
                <w:spacing w:val="-8"/>
                <w:sz w:val="21"/>
                <w:szCs w:val="21"/>
              </w:rPr>
              <w:t>善车间环境，</w:t>
            </w:r>
            <w:r>
              <w:rPr>
                <w:rFonts w:ascii="宋体" w:hAnsi="宋体" w:eastAsia="宋体" w:cs="宋体"/>
                <w:sz w:val="21"/>
                <w:szCs w:val="21"/>
              </w:rPr>
              <w:t xml:space="preserve"> </w:t>
            </w:r>
            <w:r>
              <w:rPr>
                <w:rFonts w:ascii="宋体" w:hAnsi="宋体" w:eastAsia="宋体" w:cs="宋体"/>
                <w:spacing w:val="-1"/>
                <w:sz w:val="21"/>
                <w:szCs w:val="21"/>
              </w:rPr>
              <w:t>减少污染物</w:t>
            </w:r>
            <w:r>
              <w:rPr>
                <w:rFonts w:ascii="宋体" w:hAnsi="宋体" w:eastAsia="宋体" w:cs="宋体"/>
                <w:sz w:val="21"/>
                <w:szCs w:val="21"/>
              </w:rPr>
              <w:t>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844" w:type="pct"/>
            <w:vMerge w:val="continue"/>
            <w:noWrap w:val="0"/>
            <w:vAlign w:val="center"/>
          </w:tcPr>
          <w:p>
            <w:pPr>
              <w:tabs>
                <w:tab w:val="left" w:pos="7005"/>
              </w:tabs>
              <w:adjustRightInd w:val="0"/>
              <w:snapToGrid w:val="0"/>
              <w:ind w:firstLine="0" w:firstLineChars="0"/>
              <w:jc w:val="center"/>
              <w:rPr>
                <w:kern w:val="0"/>
                <w:sz w:val="21"/>
                <w:szCs w:val="21"/>
              </w:rPr>
            </w:pPr>
          </w:p>
        </w:tc>
        <w:tc>
          <w:tcPr>
            <w:tcW w:w="384" w:type="pct"/>
            <w:noWrap w:val="0"/>
            <w:vAlign w:val="center"/>
          </w:tcPr>
          <w:p>
            <w:pPr>
              <w:pStyle w:val="44"/>
              <w:snapToGrid w:val="0"/>
            </w:pPr>
            <w:r>
              <w:rPr>
                <w:rFonts w:hint="eastAsia"/>
                <w:lang w:val="en-US" w:eastAsia="zh-CN"/>
              </w:rPr>
              <w:t>F2-5</w:t>
            </w:r>
          </w:p>
        </w:tc>
        <w:tc>
          <w:tcPr>
            <w:tcW w:w="1497" w:type="pct"/>
            <w:noWrap w:val="0"/>
            <w:vAlign w:val="center"/>
          </w:tcPr>
          <w:p>
            <w:pPr>
              <w:pStyle w:val="44"/>
              <w:snapToGrid w:val="0"/>
            </w:pPr>
            <w:r>
              <w:t>加强员工技术培训，提高员工操作技能</w:t>
            </w:r>
          </w:p>
        </w:tc>
        <w:tc>
          <w:tcPr>
            <w:tcW w:w="498" w:type="pct"/>
            <w:noWrap w:val="0"/>
            <w:vAlign w:val="center"/>
          </w:tcPr>
          <w:p>
            <w:pPr>
              <w:pStyle w:val="44"/>
              <w:snapToGrid w:val="0"/>
            </w:pPr>
            <w:r>
              <w:t>1.0</w:t>
            </w:r>
          </w:p>
        </w:tc>
        <w:tc>
          <w:tcPr>
            <w:tcW w:w="415" w:type="pct"/>
            <w:noWrap w:val="0"/>
            <w:vAlign w:val="center"/>
          </w:tcPr>
          <w:p>
            <w:pPr>
              <w:pStyle w:val="44"/>
              <w:snapToGrid w:val="0"/>
            </w:pPr>
            <w:r>
              <w:t>低费</w:t>
            </w:r>
          </w:p>
        </w:tc>
        <w:tc>
          <w:tcPr>
            <w:tcW w:w="1360" w:type="pct"/>
            <w:noWrap w:val="0"/>
            <w:vAlign w:val="center"/>
          </w:tcPr>
          <w:p>
            <w:pPr>
              <w:pStyle w:val="44"/>
              <w:snapToGrid w:val="0"/>
            </w:pPr>
            <w:r>
              <w:t>减少污染物排放，节约原辅料；减少系统故障，提高生产效率</w:t>
            </w:r>
          </w:p>
        </w:tc>
      </w:tr>
    </w:tbl>
    <w:p>
      <w:pPr>
        <w:pStyle w:val="3"/>
        <w:widowControl w:val="0"/>
        <w:adjustRightInd/>
        <w:snapToGrid/>
        <w:spacing w:beforeLines="50" w:after="0" w:line="360" w:lineRule="auto"/>
        <w:rPr>
          <w:rFonts w:ascii="Times New Roman" w:hAnsi="Times New Roman"/>
          <w:sz w:val="30"/>
          <w:szCs w:val="30"/>
        </w:rPr>
      </w:pPr>
      <w:bookmarkStart w:id="210" w:name="_Toc13643"/>
      <w:r>
        <w:rPr>
          <w:rFonts w:hint="eastAsia" w:ascii="Times New Roman" w:hAnsi="Times New Roman"/>
          <w:sz w:val="30"/>
          <w:szCs w:val="30"/>
        </w:rPr>
        <w:t>5</w:t>
      </w:r>
      <w:r>
        <w:rPr>
          <w:rFonts w:ascii="Times New Roman" w:hAnsi="Times New Roman"/>
          <w:sz w:val="30"/>
          <w:szCs w:val="30"/>
        </w:rPr>
        <w:t>.</w:t>
      </w:r>
      <w:r>
        <w:rPr>
          <w:rFonts w:hint="eastAsia" w:ascii="Times New Roman" w:hAnsi="Times New Roman"/>
          <w:sz w:val="30"/>
          <w:szCs w:val="30"/>
        </w:rPr>
        <w:t>2方案的</w:t>
      </w:r>
      <w:r>
        <w:rPr>
          <w:rFonts w:ascii="Times New Roman" w:hAnsi="Times New Roman"/>
          <w:sz w:val="30"/>
          <w:szCs w:val="30"/>
        </w:rPr>
        <w:t>筛选</w:t>
      </w:r>
      <w:bookmarkEnd w:id="206"/>
      <w:bookmarkEnd w:id="207"/>
      <w:bookmarkEnd w:id="208"/>
      <w:bookmarkEnd w:id="209"/>
      <w:bookmarkEnd w:id="210"/>
    </w:p>
    <w:p>
      <w:pPr>
        <w:pStyle w:val="4"/>
        <w:widowControl w:val="0"/>
        <w:spacing w:beforeLines="50" w:after="0" w:line="360" w:lineRule="auto"/>
        <w:rPr>
          <w:rFonts w:ascii="Times New Roman" w:hAnsi="Times New Roman" w:eastAsia="宋体" w:cs="Courier New"/>
          <w:sz w:val="28"/>
          <w:szCs w:val="30"/>
        </w:rPr>
      </w:pPr>
      <w:bookmarkStart w:id="211" w:name="_Toc525138413"/>
      <w:bookmarkStart w:id="212" w:name="_Toc424416184"/>
      <w:bookmarkStart w:id="213" w:name="_Toc19411"/>
      <w:bookmarkStart w:id="214" w:name="_Toc499903494"/>
      <w:bookmarkStart w:id="215" w:name="_Toc525138269"/>
      <w:r>
        <w:rPr>
          <w:rFonts w:hint="eastAsia" w:ascii="Times New Roman" w:hAnsi="Times New Roman" w:eastAsia="宋体" w:cs="Courier New"/>
          <w:sz w:val="28"/>
          <w:szCs w:val="30"/>
        </w:rPr>
        <w:t>5.2.1 无低费方案的筛选</w:t>
      </w:r>
      <w:bookmarkEnd w:id="211"/>
      <w:bookmarkEnd w:id="212"/>
      <w:bookmarkEnd w:id="213"/>
      <w:bookmarkEnd w:id="214"/>
      <w:bookmarkEnd w:id="215"/>
    </w:p>
    <w:p>
      <w:pPr>
        <w:spacing w:line="360" w:lineRule="auto"/>
        <w:ind w:firstLine="482"/>
        <w:rPr>
          <w:rFonts w:eastAsia="宋体"/>
          <w:b/>
          <w:szCs w:val="24"/>
        </w:rPr>
      </w:pPr>
      <w:r>
        <w:rPr>
          <w:rFonts w:ascii="Times New Roman" w:hAnsi="宋体" w:eastAsia="宋体"/>
          <w:sz w:val="24"/>
          <w:szCs w:val="24"/>
        </w:rPr>
        <w:t>对产生的方案，经过车间领导、工程技术人员和环保人员集中讨论，从技术可行性、环境可行性、经济可行性、实施的难易程度以及对生产和产品的影响等方面，结合车间的实际情况，对产生的无</w:t>
      </w:r>
      <w:r>
        <w:rPr>
          <w:rFonts w:ascii="Times New Roman" w:hAnsi="Times New Roman" w:eastAsia="宋体"/>
          <w:sz w:val="24"/>
          <w:szCs w:val="24"/>
        </w:rPr>
        <w:t>/</w:t>
      </w:r>
      <w:r>
        <w:rPr>
          <w:rFonts w:ascii="Times New Roman" w:hAnsi="宋体" w:eastAsia="宋体"/>
          <w:sz w:val="24"/>
          <w:szCs w:val="24"/>
        </w:rPr>
        <w:t>低费方案进行了技术、经济和环境三方面的简单可行性筛选，具体情况见表</w:t>
      </w:r>
      <w:r>
        <w:rPr>
          <w:rFonts w:ascii="Times New Roman" w:hAnsi="Times New Roman" w:eastAsia="宋体"/>
          <w:sz w:val="24"/>
          <w:szCs w:val="24"/>
        </w:rPr>
        <w:t>5-2</w:t>
      </w:r>
      <w:r>
        <w:rPr>
          <w:rFonts w:ascii="Times New Roman" w:hAnsi="宋体" w:eastAsia="宋体"/>
          <w:sz w:val="24"/>
          <w:szCs w:val="24"/>
        </w:rPr>
        <w:t>。</w:t>
      </w:r>
    </w:p>
    <w:p>
      <w:pPr>
        <w:pStyle w:val="42"/>
        <w:adjustRightInd w:val="0"/>
        <w:snapToGrid w:val="0"/>
        <w:spacing w:before="120"/>
        <w:ind w:firstLine="482" w:firstLineChars="200"/>
        <w:rPr>
          <w:rFonts w:eastAsia="宋体"/>
          <w:b/>
          <w:szCs w:val="24"/>
        </w:rPr>
      </w:pPr>
      <w:r>
        <w:rPr>
          <w:rFonts w:eastAsia="宋体"/>
          <w:b/>
          <w:szCs w:val="24"/>
        </w:rPr>
        <w:t>表</w:t>
      </w:r>
      <w:r>
        <w:rPr>
          <w:rFonts w:hint="eastAsia" w:eastAsia="宋体"/>
          <w:b/>
          <w:szCs w:val="24"/>
        </w:rPr>
        <w:t>5</w:t>
      </w:r>
      <w:r>
        <w:rPr>
          <w:rFonts w:eastAsia="宋体"/>
          <w:b/>
          <w:szCs w:val="24"/>
        </w:rPr>
        <w:t>-2 方案初步筛选情况</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3646"/>
        <w:gridCol w:w="1086"/>
        <w:gridCol w:w="1028"/>
        <w:gridCol w:w="1032"/>
        <w:gridCol w:w="10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12" w:space="0"/>
              <w:left w:val="single" w:color="auto" w:sz="12" w:space="0"/>
              <w:bottom w:val="single" w:color="auto" w:sz="4" w:space="0"/>
              <w:right w:val="single" w:color="auto" w:sz="4" w:space="0"/>
            </w:tcBorders>
            <w:noWrap w:val="0"/>
            <w:vAlign w:val="center"/>
          </w:tcPr>
          <w:p>
            <w:pPr>
              <w:pStyle w:val="44"/>
              <w:snapToGrid w:val="0"/>
            </w:pPr>
            <w:r>
              <w:t>序号</w:t>
            </w:r>
          </w:p>
        </w:tc>
        <w:tc>
          <w:tcPr>
            <w:tcW w:w="2138" w:type="pct"/>
            <w:tcBorders>
              <w:top w:val="single" w:color="auto" w:sz="12" w:space="0"/>
              <w:left w:val="single" w:color="auto" w:sz="4" w:space="0"/>
              <w:bottom w:val="single" w:color="auto" w:sz="4" w:space="0"/>
              <w:right w:val="single" w:color="auto" w:sz="4" w:space="0"/>
            </w:tcBorders>
            <w:noWrap w:val="0"/>
            <w:vAlign w:val="center"/>
          </w:tcPr>
          <w:p>
            <w:pPr>
              <w:pStyle w:val="44"/>
              <w:snapToGrid w:val="0"/>
            </w:pPr>
            <w:r>
              <w:t>方 案 内 容</w:t>
            </w:r>
          </w:p>
        </w:tc>
        <w:tc>
          <w:tcPr>
            <w:tcW w:w="637" w:type="pct"/>
            <w:tcBorders>
              <w:top w:val="single" w:color="auto" w:sz="12" w:space="0"/>
              <w:left w:val="single" w:color="auto" w:sz="4" w:space="0"/>
              <w:bottom w:val="single" w:color="auto" w:sz="4" w:space="0"/>
              <w:right w:val="single" w:color="auto" w:sz="4" w:space="0"/>
            </w:tcBorders>
            <w:noWrap w:val="0"/>
            <w:vAlign w:val="center"/>
          </w:tcPr>
          <w:p>
            <w:pPr>
              <w:pStyle w:val="44"/>
              <w:snapToGrid w:val="0"/>
            </w:pPr>
            <w:r>
              <w:t>技术</w:t>
            </w:r>
          </w:p>
          <w:p>
            <w:pPr>
              <w:pStyle w:val="44"/>
              <w:snapToGrid w:val="0"/>
            </w:pPr>
            <w:r>
              <w:t>可行性</w:t>
            </w:r>
          </w:p>
        </w:tc>
        <w:tc>
          <w:tcPr>
            <w:tcW w:w="603" w:type="pct"/>
            <w:tcBorders>
              <w:top w:val="single" w:color="auto" w:sz="12" w:space="0"/>
              <w:left w:val="single" w:color="auto" w:sz="4" w:space="0"/>
              <w:bottom w:val="single" w:color="auto" w:sz="4" w:space="0"/>
              <w:right w:val="single" w:color="auto" w:sz="4" w:space="0"/>
            </w:tcBorders>
            <w:noWrap w:val="0"/>
            <w:vAlign w:val="center"/>
          </w:tcPr>
          <w:p>
            <w:pPr>
              <w:pStyle w:val="44"/>
              <w:snapToGrid w:val="0"/>
            </w:pPr>
            <w:r>
              <w:t>环境</w:t>
            </w:r>
          </w:p>
          <w:p>
            <w:pPr>
              <w:pStyle w:val="44"/>
              <w:snapToGrid w:val="0"/>
            </w:pPr>
            <w:r>
              <w:t>可行性</w:t>
            </w:r>
          </w:p>
        </w:tc>
        <w:tc>
          <w:tcPr>
            <w:tcW w:w="605" w:type="pct"/>
            <w:tcBorders>
              <w:top w:val="single" w:color="auto" w:sz="12" w:space="0"/>
              <w:left w:val="single" w:color="auto" w:sz="4" w:space="0"/>
              <w:bottom w:val="single" w:color="auto" w:sz="4" w:space="0"/>
              <w:right w:val="single" w:color="auto" w:sz="4" w:space="0"/>
            </w:tcBorders>
            <w:noWrap w:val="0"/>
            <w:vAlign w:val="center"/>
          </w:tcPr>
          <w:p>
            <w:pPr>
              <w:pStyle w:val="44"/>
              <w:snapToGrid w:val="0"/>
            </w:pPr>
            <w:r>
              <w:t>经济</w:t>
            </w:r>
          </w:p>
          <w:p>
            <w:pPr>
              <w:pStyle w:val="44"/>
              <w:snapToGrid w:val="0"/>
            </w:pPr>
            <w:r>
              <w:t>可行性</w:t>
            </w:r>
          </w:p>
        </w:tc>
        <w:tc>
          <w:tcPr>
            <w:tcW w:w="591" w:type="pct"/>
            <w:tcBorders>
              <w:top w:val="single" w:color="auto" w:sz="12" w:space="0"/>
              <w:left w:val="single" w:color="auto" w:sz="4" w:space="0"/>
              <w:bottom w:val="single" w:color="auto" w:sz="4" w:space="0"/>
              <w:right w:val="single" w:color="auto" w:sz="12" w:space="0"/>
            </w:tcBorders>
            <w:noWrap w:val="0"/>
            <w:vAlign w:val="center"/>
          </w:tcPr>
          <w:p>
            <w:pPr>
              <w:pStyle w:val="44"/>
              <w:snapToGrid w:val="0"/>
            </w:pPr>
            <w:r>
              <w:t>综合</w:t>
            </w:r>
          </w:p>
          <w:p>
            <w:pPr>
              <w:pStyle w:val="44"/>
              <w:snapToGrid w:val="0"/>
            </w:pPr>
            <w:r>
              <w:t>可行性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eastAsiaTheme="minorEastAsia"/>
                <w:sz w:val="21"/>
                <w:szCs w:val="21"/>
              </w:rPr>
              <w:t>F1-1</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spacing w:beforeLines="20" w:afterLines="20"/>
              <w:jc w:val="center"/>
            </w:pPr>
            <w:r>
              <w:rPr>
                <w:rFonts w:ascii="Times New Roman" w:cs="Times New Roman" w:hAnsiTheme="minorEastAsia" w:eastAsiaTheme="minorEastAsia"/>
                <w:sz w:val="21"/>
                <w:szCs w:val="21"/>
              </w:rPr>
              <w:t>劳保用品配备</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eastAsiaTheme="minorEastAsia"/>
                <w:sz w:val="21"/>
                <w:szCs w:val="21"/>
              </w:rPr>
              <w:t>F1-2</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napToGrid w:val="0"/>
              <w:spacing w:beforeLines="50" w:after="20" w:line="240" w:lineRule="auto"/>
            </w:pPr>
            <w:r>
              <w:rPr>
                <w:rFonts w:cs="Times New Roman" w:hAnsiTheme="minorEastAsia" w:eastAsiaTheme="minorEastAsia"/>
                <w:snapToGrid w:val="0"/>
                <w:kern w:val="24"/>
                <w:sz w:val="21"/>
                <w:szCs w:val="21"/>
              </w:rPr>
              <w:t>规范仓库管理</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eastAsiaTheme="minorEastAsia"/>
                <w:sz w:val="21"/>
                <w:szCs w:val="21"/>
              </w:rPr>
              <w:t>F1-3</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hAnsiTheme="minorEastAsia" w:eastAsiaTheme="minorEastAsia"/>
                <w:sz w:val="21"/>
                <w:szCs w:val="21"/>
              </w:rPr>
              <w:t>优化车间布局</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eastAsiaTheme="minorEastAsia"/>
                <w:sz w:val="21"/>
                <w:szCs w:val="21"/>
              </w:rPr>
              <w:t>F1-4</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pacing w:beforeLines="20" w:line="240" w:lineRule="auto"/>
            </w:pPr>
            <w:r>
              <w:rPr>
                <w:rFonts w:cs="Times New Roman" w:hAnsiTheme="minorEastAsia" w:eastAsiaTheme="minorEastAsia"/>
                <w:sz w:val="21"/>
                <w:szCs w:val="21"/>
              </w:rPr>
              <w:t>加强空压机等设备的维护保养</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eastAsiaTheme="minorEastAsia"/>
                <w:sz w:val="21"/>
                <w:szCs w:val="21"/>
              </w:rPr>
              <w:t>F1-5</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pacing w:beforeLines="20" w:line="240" w:lineRule="auto"/>
            </w:pPr>
            <w:r>
              <w:rPr>
                <w:rFonts w:hint="eastAsia" w:cs="Times New Roman" w:hAnsiTheme="minorEastAsia" w:eastAsiaTheme="minorEastAsia"/>
                <w:sz w:val="21"/>
                <w:szCs w:val="21"/>
              </w:rPr>
              <w:t>编织袋利用</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eastAsiaTheme="minorEastAsia"/>
                <w:sz w:val="21"/>
                <w:szCs w:val="21"/>
              </w:rPr>
              <w:t>F1-6</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napToGrid w:val="0"/>
              <w:spacing w:beforeLines="20" w:afterLines="20" w:line="240" w:lineRule="auto"/>
            </w:pPr>
            <w:r>
              <w:rPr>
                <w:rFonts w:cs="Times New Roman" w:hAnsiTheme="minorEastAsia" w:eastAsiaTheme="minorEastAsia"/>
                <w:sz w:val="21"/>
                <w:szCs w:val="21"/>
              </w:rPr>
              <w:t>提高员工清洁生产意识</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pPr>
            <w:r>
              <w:rPr>
                <w:rFonts w:hint="eastAsia"/>
                <w:lang w:val="en-US" w:eastAsia="zh-CN"/>
              </w:rPr>
              <w:t>F2-1</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加强对入场原辅料的检验，不合格产品不能入场</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pPr>
            <w:r>
              <w:rPr>
                <w:rFonts w:hint="eastAsia"/>
                <w:lang w:val="en-US" w:eastAsia="zh-CN"/>
              </w:rPr>
              <w:t>F2-3</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napToGrid w:val="0"/>
              <w:rPr>
                <w:kern w:val="0"/>
              </w:rPr>
            </w:pPr>
            <w:r>
              <w:t>对废包装袋分类回收，尽可能循环利用</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23" w:type="pct"/>
            <w:tcBorders>
              <w:top w:val="single" w:color="auto" w:sz="4" w:space="0"/>
              <w:left w:val="single" w:color="auto" w:sz="12" w:space="0"/>
              <w:bottom w:val="single" w:color="auto" w:sz="4" w:space="0"/>
              <w:right w:val="single" w:color="auto" w:sz="4" w:space="0"/>
            </w:tcBorders>
            <w:noWrap w:val="0"/>
            <w:vAlign w:val="center"/>
          </w:tcPr>
          <w:p>
            <w:pPr>
              <w:pStyle w:val="44"/>
              <w:snapToGrid w:val="0"/>
              <w:rPr>
                <w:rFonts w:hint="default"/>
                <w:lang w:val="en-US"/>
              </w:rPr>
            </w:pPr>
            <w:r>
              <w:rPr>
                <w:rFonts w:hint="eastAsia"/>
                <w:lang w:val="en-US" w:eastAsia="zh-CN"/>
              </w:rPr>
              <w:t>F2-5</w:t>
            </w:r>
          </w:p>
        </w:tc>
        <w:tc>
          <w:tcPr>
            <w:tcW w:w="2138"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加强员工技术培训，提高员工操作技能</w:t>
            </w:r>
          </w:p>
        </w:tc>
        <w:tc>
          <w:tcPr>
            <w:tcW w:w="637"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3"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605" w:type="pct"/>
            <w:tcBorders>
              <w:top w:val="single" w:color="auto" w:sz="4" w:space="0"/>
              <w:left w:val="single" w:color="auto" w:sz="4" w:space="0"/>
              <w:bottom w:val="single" w:color="auto" w:sz="4" w:space="0"/>
              <w:right w:val="single" w:color="auto" w:sz="4" w:space="0"/>
            </w:tcBorders>
            <w:noWrap w:val="0"/>
            <w:vAlign w:val="center"/>
          </w:tcPr>
          <w:p>
            <w:pPr>
              <w:pStyle w:val="44"/>
              <w:snapToGrid w:val="0"/>
            </w:pPr>
            <w:r>
              <w:t>可行</w:t>
            </w:r>
          </w:p>
        </w:tc>
        <w:tc>
          <w:tcPr>
            <w:tcW w:w="591" w:type="pct"/>
            <w:tcBorders>
              <w:top w:val="single" w:color="auto" w:sz="4" w:space="0"/>
              <w:left w:val="single" w:color="auto" w:sz="4" w:space="0"/>
              <w:bottom w:val="single" w:color="auto" w:sz="4" w:space="0"/>
              <w:right w:val="single" w:color="auto" w:sz="12" w:space="0"/>
            </w:tcBorders>
            <w:noWrap w:val="0"/>
            <w:vAlign w:val="center"/>
          </w:tcPr>
          <w:p>
            <w:pPr>
              <w:pStyle w:val="44"/>
              <w:snapToGrid w:val="0"/>
            </w:pPr>
            <w:r>
              <w:t>可行</w:t>
            </w:r>
          </w:p>
        </w:tc>
      </w:tr>
    </w:tbl>
    <w:p>
      <w:pPr>
        <w:spacing w:line="360" w:lineRule="auto"/>
        <w:ind w:firstLine="480" w:firstLineChars="200"/>
        <w:rPr>
          <w:rFonts w:ascii="Times New Roman" w:hAnsi="宋体" w:eastAsia="宋体"/>
          <w:sz w:val="24"/>
          <w:szCs w:val="24"/>
        </w:rPr>
      </w:pPr>
      <w:r>
        <w:rPr>
          <w:rFonts w:ascii="Times New Roman" w:hAnsi="宋体" w:eastAsia="宋体"/>
          <w:sz w:val="24"/>
          <w:szCs w:val="24"/>
        </w:rPr>
        <w:t>由于无/低费方案涉及的投资金额较低，且实施的难度较小、经济和环境效果明显，根据筛选的结果，</w:t>
      </w:r>
      <w:r>
        <w:rPr>
          <w:rFonts w:hint="eastAsia" w:ascii="Times New Roman" w:hAnsi="宋体" w:eastAsia="宋体"/>
          <w:sz w:val="24"/>
          <w:szCs w:val="24"/>
        </w:rPr>
        <w:t>建议</w:t>
      </w:r>
      <w:r>
        <w:rPr>
          <w:rFonts w:ascii="Times New Roman" w:hAnsi="宋体" w:eastAsia="宋体"/>
          <w:sz w:val="24"/>
          <w:szCs w:val="24"/>
        </w:rPr>
        <w:t>企业</w:t>
      </w:r>
      <w:r>
        <w:rPr>
          <w:rFonts w:hint="eastAsia" w:ascii="Times New Roman" w:hAnsi="宋体" w:eastAsia="宋体"/>
          <w:sz w:val="24"/>
          <w:szCs w:val="24"/>
        </w:rPr>
        <w:t>尽快</w:t>
      </w:r>
      <w:r>
        <w:rPr>
          <w:rFonts w:ascii="Times New Roman" w:hAnsi="宋体" w:eastAsia="宋体"/>
          <w:sz w:val="24"/>
          <w:szCs w:val="24"/>
        </w:rPr>
        <w:t>组织实施可行的无/低费方案。</w:t>
      </w:r>
    </w:p>
    <w:p>
      <w:pPr>
        <w:pStyle w:val="4"/>
        <w:widowControl w:val="0"/>
        <w:spacing w:beforeLines="50" w:after="0" w:line="360" w:lineRule="auto"/>
        <w:rPr>
          <w:rFonts w:ascii="Times New Roman" w:hAnsi="Times New Roman" w:eastAsia="宋体" w:cs="Courier New"/>
          <w:sz w:val="28"/>
          <w:szCs w:val="30"/>
        </w:rPr>
      </w:pPr>
      <w:bookmarkStart w:id="216" w:name="_Toc22453"/>
      <w:bookmarkStart w:id="217" w:name="_Toc525138270"/>
      <w:bookmarkStart w:id="218" w:name="_Toc499903495"/>
      <w:bookmarkStart w:id="219" w:name="_Toc525138414"/>
      <w:r>
        <w:rPr>
          <w:rFonts w:hint="eastAsia" w:ascii="Times New Roman" w:hAnsi="Times New Roman" w:eastAsia="宋体" w:cs="Courier New"/>
          <w:sz w:val="28"/>
          <w:szCs w:val="30"/>
        </w:rPr>
        <w:t>5.2.2中高费方案的筛选</w:t>
      </w:r>
      <w:bookmarkEnd w:id="216"/>
      <w:bookmarkEnd w:id="217"/>
      <w:bookmarkEnd w:id="218"/>
      <w:bookmarkEnd w:id="219"/>
    </w:p>
    <w:p>
      <w:pPr>
        <w:spacing w:line="360" w:lineRule="auto"/>
        <w:ind w:firstLine="482"/>
        <w:rPr>
          <w:rFonts w:ascii="Times New Roman" w:hAnsi="宋体" w:eastAsia="宋体"/>
          <w:sz w:val="24"/>
          <w:szCs w:val="24"/>
        </w:rPr>
      </w:pPr>
      <w:r>
        <w:rPr>
          <w:rFonts w:hint="eastAsia" w:ascii="Times New Roman" w:hAnsi="宋体" w:eastAsia="宋体"/>
          <w:sz w:val="24"/>
          <w:szCs w:val="24"/>
        </w:rPr>
        <w:t>对于初步筛选出来的中高费方案</w:t>
      </w:r>
      <w:r>
        <w:rPr>
          <w:rFonts w:ascii="Times New Roman" w:hAnsi="宋体" w:eastAsia="宋体"/>
          <w:sz w:val="24"/>
          <w:szCs w:val="24"/>
        </w:rPr>
        <w:t>，由于涉及的投资金额相对较大，审核小组组织相关技术人员对方案进行了进一步的研制</w:t>
      </w:r>
      <w:r>
        <w:rPr>
          <w:rFonts w:hint="eastAsia" w:ascii="Times New Roman" w:hAnsi="宋体" w:eastAsia="宋体"/>
          <w:sz w:val="24"/>
          <w:szCs w:val="24"/>
        </w:rPr>
        <w:t>。</w:t>
      </w:r>
    </w:p>
    <w:p>
      <w:pPr>
        <w:spacing w:before="120"/>
        <w:jc w:val="center"/>
        <w:rPr>
          <w:rFonts w:ascii="Times New Roman" w:hAnsi="宋体" w:eastAsia="宋体"/>
          <w:b/>
          <w:sz w:val="24"/>
          <w:szCs w:val="24"/>
        </w:rPr>
      </w:pPr>
      <w:r>
        <w:rPr>
          <w:rFonts w:ascii="Times New Roman" w:hAnsi="宋体" w:eastAsia="宋体"/>
          <w:b/>
          <w:sz w:val="24"/>
          <w:szCs w:val="24"/>
        </w:rPr>
        <w:t>表</w:t>
      </w:r>
      <w:r>
        <w:rPr>
          <w:rFonts w:hint="eastAsia" w:ascii="Times New Roman" w:hAnsi="宋体" w:eastAsia="宋体"/>
          <w:b/>
          <w:sz w:val="24"/>
          <w:szCs w:val="24"/>
        </w:rPr>
        <w:t>5</w:t>
      </w:r>
      <w:r>
        <w:rPr>
          <w:rFonts w:ascii="Times New Roman" w:hAnsi="宋体" w:eastAsia="宋体"/>
          <w:b/>
          <w:sz w:val="24"/>
          <w:szCs w:val="24"/>
        </w:rPr>
        <w:t>-</w:t>
      </w:r>
      <w:r>
        <w:rPr>
          <w:rFonts w:hint="eastAsia" w:ascii="Times New Roman" w:hAnsi="宋体" w:eastAsia="宋体"/>
          <w:b/>
          <w:sz w:val="24"/>
          <w:szCs w:val="24"/>
        </w:rPr>
        <w:t xml:space="preserve">3  </w:t>
      </w:r>
      <w:r>
        <w:rPr>
          <w:rFonts w:ascii="Times New Roman" w:hAnsi="宋体" w:eastAsia="宋体"/>
          <w:b/>
          <w:sz w:val="24"/>
          <w:szCs w:val="24"/>
        </w:rPr>
        <w:t>方案研制表</w:t>
      </w:r>
    </w:p>
    <w:tbl>
      <w:tblPr>
        <w:tblStyle w:val="27"/>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809"/>
        <w:gridCol w:w="671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widowControl/>
              <w:adjustRightInd w:val="0"/>
              <w:snapToGrid w:val="0"/>
              <w:spacing w:line="36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方案名称及编号</w:t>
            </w:r>
          </w:p>
        </w:tc>
        <w:tc>
          <w:tcPr>
            <w:tcW w:w="6713" w:type="dxa"/>
            <w:noWrap w:val="0"/>
            <w:vAlign w:val="center"/>
          </w:tcPr>
          <w:p>
            <w:pPr>
              <w:widowControl/>
              <w:adjustRightInd w:val="0"/>
              <w:snapToGrid w:val="0"/>
              <w:spacing w:line="36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lang w:val="en-US" w:eastAsia="zh-CN"/>
              </w:rPr>
              <w:t>F2-2</w:t>
            </w:r>
            <w:r>
              <w:rPr>
                <w:rFonts w:ascii="Times New Roman" w:hAnsi="Times New Roman" w:eastAsia="宋体" w:cs="Times New Roman"/>
                <w:kern w:val="2"/>
                <w:sz w:val="21"/>
                <w:szCs w:val="21"/>
                <w:lang w:val="en-US" w:eastAsia="zh-CN" w:bidi="ar-SA"/>
              </w:rPr>
              <w:t>：</w:t>
            </w:r>
            <w:r>
              <w:rPr>
                <w:rFonts w:hint="eastAsia" w:eastAsia="宋体"/>
                <w:snapToGrid w:val="0"/>
                <w:color w:val="auto"/>
                <w:kern w:val="24"/>
                <w:lang w:eastAsia="zh-CN"/>
              </w:rPr>
              <w:t>更换牵引链条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要点</w:t>
            </w:r>
          </w:p>
        </w:tc>
        <w:tc>
          <w:tcPr>
            <w:tcW w:w="6713" w:type="dxa"/>
            <w:noWrap w:val="0"/>
            <w:vAlign w:val="center"/>
          </w:tcPr>
          <w:p>
            <w:pPr>
              <w:adjustRightInd w:val="0"/>
              <w:snapToGrid w:val="0"/>
              <w:spacing w:line="360" w:lineRule="auto"/>
              <w:ind w:firstLine="420" w:firstLineChars="200"/>
              <w:rPr>
                <w:rFonts w:hint="default" w:ascii="Times New Roman" w:hAnsi="Times New Roman" w:eastAsia="宋体" w:cs="Times New Roman"/>
                <w:color w:val="FF0000"/>
                <w:sz w:val="21"/>
                <w:szCs w:val="21"/>
                <w:lang w:val="en-US"/>
              </w:rPr>
            </w:pPr>
            <w:r>
              <w:rPr>
                <w:rFonts w:hint="eastAsia"/>
                <w:lang w:val="en-US" w:eastAsia="zh-CN"/>
              </w:rPr>
              <w:t>公司现阶段使用的牵引链条比较老旧体型比较薄，弹力比较大容易造成链条上小车掉落，链条运行气管比较老旧漏气比较严重，增加了空压机运行能耗，方案重新采购新的牵引链条整个链条厚度提高减少了链条自身运行时产生的弹力，减少了小车掉落故障，杜绝了气管漏气现象，提高了生产效率，降低了空压机能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主要投入</w:t>
            </w:r>
          </w:p>
        </w:tc>
        <w:tc>
          <w:tcPr>
            <w:tcW w:w="6713" w:type="dxa"/>
            <w:noWrap w:val="0"/>
            <w:vAlign w:val="center"/>
          </w:tcPr>
          <w:p>
            <w:pPr>
              <w:adjustRightInd w:val="0"/>
              <w:snapToGrid w:val="0"/>
              <w:spacing w:line="360" w:lineRule="auto"/>
              <w:ind w:firstLine="420" w:firstLineChars="20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设备设施投入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技术经济指标</w:t>
            </w:r>
          </w:p>
        </w:tc>
        <w:tc>
          <w:tcPr>
            <w:tcW w:w="6713" w:type="dxa"/>
            <w:noWrap w:val="0"/>
            <w:vAlign w:val="center"/>
          </w:tcPr>
          <w:p>
            <w:pPr>
              <w:adjustRightInd w:val="0"/>
              <w:snapToGrid w:val="0"/>
              <w:spacing w:line="360" w:lineRule="auto"/>
              <w:ind w:firstLine="420" w:firstLineChars="200"/>
              <w:rPr>
                <w:rFonts w:ascii="Times New Roman" w:hAnsi="Times New Roman" w:eastAsia="宋体" w:cs="Times New Roman"/>
                <w:sz w:val="21"/>
                <w:szCs w:val="21"/>
              </w:rPr>
            </w:pPr>
            <w:r>
              <w:rPr>
                <w:rFonts w:ascii="Times New Roman" w:hAnsi="Times New Roman" w:eastAsia="宋体" w:cs="Times New Roman"/>
                <w:sz w:val="21"/>
                <w:szCs w:val="21"/>
              </w:rPr>
              <w:t>1：投资：</w:t>
            </w:r>
            <w:r>
              <w:rPr>
                <w:rFonts w:hint="eastAsia" w:ascii="Times New Roman" w:hAnsi="Times New Roman" w:eastAsia="宋体" w:cs="Times New Roman"/>
                <w:sz w:val="21"/>
                <w:szCs w:val="21"/>
                <w:lang w:val="en-US" w:eastAsia="zh-CN"/>
              </w:rPr>
              <w:t>12</w:t>
            </w:r>
            <w:r>
              <w:rPr>
                <w:rFonts w:ascii="Times New Roman" w:hAnsi="Times New Roman" w:eastAsia="宋体" w:cs="Times New Roman"/>
                <w:sz w:val="21"/>
                <w:szCs w:val="21"/>
              </w:rPr>
              <w:t>万元</w:t>
            </w:r>
          </w:p>
          <w:p>
            <w:pPr>
              <w:adjustRightInd w:val="0"/>
              <w:snapToGrid w:val="0"/>
              <w:spacing w:line="360" w:lineRule="auto"/>
              <w:ind w:firstLine="420" w:firstLineChars="200"/>
              <w:rPr>
                <w:rFonts w:ascii="Times New Roman" w:hAnsi="Times New Roman" w:eastAsia="宋体" w:cs="Times New Roman"/>
                <w:sz w:val="21"/>
                <w:szCs w:val="21"/>
              </w:rPr>
            </w:pPr>
            <w:r>
              <w:rPr>
                <w:rFonts w:ascii="Times New Roman" w:hAnsi="Times New Roman" w:eastAsia="宋体" w:cs="Times New Roman"/>
                <w:sz w:val="21"/>
                <w:szCs w:val="21"/>
              </w:rPr>
              <w:t>2：效益：</w:t>
            </w:r>
            <w:r>
              <w:rPr>
                <w:rFonts w:hAnsi="宋体" w:eastAsia="宋体"/>
              </w:rPr>
              <w:t>减少</w:t>
            </w:r>
            <w:r>
              <w:rPr>
                <w:rFonts w:hint="eastAsia" w:hAnsi="宋体" w:eastAsia="宋体"/>
                <w:lang w:val="en-US" w:eastAsia="zh-CN"/>
              </w:rPr>
              <w:t>故障率，降低能耗，提高生产效率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kern w:val="0"/>
                <w:sz w:val="21"/>
                <w:szCs w:val="21"/>
              </w:rPr>
              <w:t>预期经济环境效益</w:t>
            </w:r>
          </w:p>
        </w:tc>
        <w:tc>
          <w:tcPr>
            <w:tcW w:w="6713" w:type="dxa"/>
            <w:noWrap w:val="0"/>
            <w:vAlign w:val="center"/>
          </w:tcPr>
          <w:p>
            <w:pPr>
              <w:adjustRightInd w:val="0"/>
              <w:snapToGrid w:val="0"/>
              <w:spacing w:line="360" w:lineRule="auto"/>
              <w:ind w:left="480" w:firstLine="0" w:firstLineChars="0"/>
              <w:rPr>
                <w:rFonts w:ascii="Times New Roman" w:hAnsi="Times New Roman" w:eastAsia="宋体" w:cs="Times New Roman"/>
                <w:sz w:val="24"/>
                <w:szCs w:val="24"/>
              </w:rPr>
            </w:pPr>
            <w:r>
              <w:rPr>
                <w:rFonts w:hAnsi="宋体" w:eastAsia="宋体"/>
              </w:rPr>
              <w:t>减少</w:t>
            </w:r>
            <w:r>
              <w:rPr>
                <w:rFonts w:hint="eastAsia" w:hAnsi="宋体" w:eastAsia="宋体"/>
                <w:lang w:val="en-US" w:eastAsia="zh-CN"/>
              </w:rPr>
              <w:t>故障率，降低能耗，提高生产效率</w:t>
            </w:r>
            <w:r>
              <w:rPr>
                <w:rFonts w:ascii="Times New Roman" w:hAnsi="Times New Roman" w:eastAsia="宋体" w:cs="Times New Roman"/>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hint="eastAsia" w:ascii="Times New Roman" w:hAnsi="Times New Roman" w:eastAsia="宋体" w:cs="Times New Roman"/>
                <w:kern w:val="0"/>
                <w:sz w:val="21"/>
                <w:szCs w:val="21"/>
              </w:rPr>
            </w:pPr>
          </w:p>
        </w:tc>
        <w:tc>
          <w:tcPr>
            <w:tcW w:w="6713" w:type="dxa"/>
            <w:noWrap w:val="0"/>
            <w:vAlign w:val="center"/>
          </w:tcPr>
          <w:p>
            <w:pPr>
              <w:adjustRightInd w:val="0"/>
              <w:snapToGrid w:val="0"/>
              <w:spacing w:line="360" w:lineRule="auto"/>
              <w:ind w:left="480" w:firstLine="0" w:firstLineChars="0"/>
              <w:jc w:val="center"/>
              <w:rPr>
                <w:rFonts w:hint="eastAsia" w:eastAsia="宋体"/>
                <w:color w:val="auto"/>
                <w:lang w:eastAsia="zh-CN"/>
              </w:rPr>
            </w:pPr>
            <w:r>
              <w:rPr>
                <w:rFonts w:hint="eastAsia"/>
                <w:lang w:val="en-US" w:eastAsia="zh-CN"/>
              </w:rPr>
              <w:t>F2-4</w:t>
            </w:r>
            <w:r>
              <w:rPr>
                <w:rFonts w:ascii="Times New Roman" w:hAnsi="Times New Roman" w:eastAsia="宋体" w:cs="Times New Roman"/>
                <w:kern w:val="2"/>
                <w:sz w:val="21"/>
                <w:szCs w:val="21"/>
                <w:lang w:val="en-US" w:eastAsia="zh-CN" w:bidi="ar-SA"/>
              </w:rPr>
              <w:t>：</w:t>
            </w:r>
            <w:r>
              <w:rPr>
                <w:rFonts w:hint="eastAsia" w:eastAsia="宋体"/>
                <w:snapToGrid w:val="0"/>
                <w:color w:val="auto"/>
                <w:kern w:val="24"/>
                <w:lang w:eastAsia="zh-CN"/>
              </w:rPr>
              <w:t>自动混料系统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hint="eastAsia" w:ascii="Times New Roman" w:hAnsi="Times New Roman" w:eastAsia="宋体" w:cs="Times New Roman"/>
                <w:kern w:val="0"/>
                <w:sz w:val="21"/>
                <w:szCs w:val="21"/>
              </w:rPr>
            </w:pPr>
            <w:r>
              <w:rPr>
                <w:rFonts w:ascii="Times New Roman" w:hAnsi="Times New Roman" w:eastAsia="宋体" w:cs="Times New Roman"/>
                <w:sz w:val="21"/>
                <w:szCs w:val="21"/>
              </w:rPr>
              <w:t>要点</w:t>
            </w:r>
          </w:p>
        </w:tc>
        <w:tc>
          <w:tcPr>
            <w:tcW w:w="6713" w:type="dxa"/>
            <w:noWrap w:val="0"/>
            <w:vAlign w:val="center"/>
          </w:tcPr>
          <w:p>
            <w:pPr>
              <w:adjustRightInd w:val="0"/>
              <w:snapToGrid w:val="0"/>
              <w:spacing w:line="360" w:lineRule="auto"/>
              <w:ind w:firstLine="420" w:firstLineChars="200"/>
              <w:rPr>
                <w:rFonts w:hint="eastAsia"/>
                <w:lang w:val="en-US" w:eastAsia="zh-CN"/>
              </w:rPr>
            </w:pPr>
            <w:r>
              <w:rPr>
                <w:rFonts w:hint="eastAsia" w:ascii="宋体" w:eastAsia="宋体"/>
                <w:kern w:val="0"/>
                <w:sz w:val="21"/>
                <w:szCs w:val="21"/>
                <w:lang w:eastAsia="zh-CN"/>
              </w:rPr>
              <w:t>将原来人工投料、分散的设备整合成集中投料、自动计量、全封闭输送管道系统，达到资源整合集中互补利用，节约人工、能源。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hint="eastAsia" w:ascii="Times New Roman" w:hAnsi="Times New Roman" w:eastAsia="宋体" w:cs="Times New Roman"/>
                <w:kern w:val="0"/>
                <w:sz w:val="21"/>
                <w:szCs w:val="21"/>
              </w:rPr>
            </w:pPr>
            <w:r>
              <w:rPr>
                <w:rFonts w:ascii="Times New Roman" w:hAnsi="Times New Roman" w:eastAsia="宋体" w:cs="Times New Roman"/>
                <w:kern w:val="0"/>
                <w:sz w:val="21"/>
                <w:szCs w:val="21"/>
              </w:rPr>
              <w:t>主要投入</w:t>
            </w:r>
          </w:p>
        </w:tc>
        <w:tc>
          <w:tcPr>
            <w:tcW w:w="6713" w:type="dxa"/>
            <w:noWrap w:val="0"/>
            <w:vAlign w:val="center"/>
          </w:tcPr>
          <w:p>
            <w:pPr>
              <w:adjustRightInd w:val="0"/>
              <w:snapToGrid w:val="0"/>
              <w:spacing w:line="360" w:lineRule="auto"/>
              <w:ind w:firstLine="420" w:firstLineChars="200"/>
              <w:rPr>
                <w:rFonts w:hint="eastAsia"/>
                <w:lang w:val="en-US" w:eastAsia="zh-CN"/>
              </w:rPr>
            </w:pPr>
            <w:r>
              <w:rPr>
                <w:rFonts w:hint="eastAsia"/>
                <w:sz w:val="21"/>
                <w:lang w:eastAsia="zh-CN"/>
              </w:rPr>
              <w:t>自动系统设计以及输送管道安装</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hint="eastAsia" w:ascii="Times New Roman" w:hAnsi="Times New Roman" w:eastAsia="宋体" w:cs="Times New Roman"/>
                <w:kern w:val="0"/>
                <w:sz w:val="21"/>
                <w:szCs w:val="21"/>
              </w:rPr>
            </w:pPr>
            <w:r>
              <w:rPr>
                <w:rFonts w:ascii="Times New Roman" w:hAnsi="Times New Roman" w:eastAsia="宋体" w:cs="Times New Roman"/>
                <w:kern w:val="0"/>
                <w:sz w:val="21"/>
                <w:szCs w:val="21"/>
              </w:rPr>
              <w:t>技术经济指标</w:t>
            </w:r>
          </w:p>
        </w:tc>
        <w:tc>
          <w:tcPr>
            <w:tcW w:w="6713" w:type="dxa"/>
            <w:noWrap w:val="0"/>
            <w:vAlign w:val="center"/>
          </w:tcPr>
          <w:p>
            <w:pPr>
              <w:adjustRightInd w:val="0"/>
              <w:snapToGrid w:val="0"/>
              <w:spacing w:line="360" w:lineRule="auto"/>
              <w:ind w:firstLine="420" w:firstLineChars="200"/>
              <w:rPr>
                <w:rFonts w:hint="eastAsia" w:ascii="宋体" w:eastAsia="宋体"/>
                <w:kern w:val="0"/>
                <w:sz w:val="21"/>
                <w:szCs w:val="21"/>
                <w:lang w:val="zh-CN" w:eastAsia="zh-CN"/>
              </w:rPr>
            </w:pPr>
            <w:r>
              <w:rPr>
                <w:rFonts w:hint="eastAsia" w:ascii="宋体" w:eastAsia="宋体"/>
                <w:kern w:val="0"/>
                <w:sz w:val="21"/>
                <w:szCs w:val="21"/>
                <w:lang w:val="zh-CN" w:eastAsia="zh-CN"/>
              </w:rPr>
              <w:t>1：投资：</w:t>
            </w:r>
            <w:r>
              <w:rPr>
                <w:rFonts w:hint="eastAsia" w:ascii="宋体" w:eastAsia="宋体"/>
                <w:kern w:val="0"/>
                <w:sz w:val="21"/>
                <w:szCs w:val="21"/>
                <w:lang w:val="en-US" w:eastAsia="zh-CN"/>
              </w:rPr>
              <w:t>20</w:t>
            </w:r>
            <w:r>
              <w:rPr>
                <w:rFonts w:hint="eastAsia" w:ascii="宋体" w:eastAsia="宋体"/>
                <w:kern w:val="0"/>
                <w:sz w:val="21"/>
                <w:szCs w:val="21"/>
                <w:lang w:val="zh-CN" w:eastAsia="zh-CN"/>
              </w:rPr>
              <w:t>万元</w:t>
            </w:r>
          </w:p>
          <w:p>
            <w:pPr>
              <w:adjustRightInd w:val="0"/>
              <w:snapToGrid w:val="0"/>
              <w:spacing w:line="360" w:lineRule="auto"/>
              <w:ind w:firstLine="420" w:firstLineChars="200"/>
              <w:rPr>
                <w:rFonts w:hint="default" w:ascii="宋体" w:eastAsia="宋体"/>
                <w:kern w:val="0"/>
                <w:sz w:val="21"/>
                <w:szCs w:val="21"/>
                <w:lang w:val="en-US" w:eastAsia="zh-CN"/>
              </w:rPr>
            </w:pPr>
            <w:r>
              <w:rPr>
                <w:rFonts w:hint="eastAsia" w:ascii="宋体" w:eastAsia="宋体"/>
                <w:kern w:val="0"/>
                <w:sz w:val="21"/>
                <w:szCs w:val="21"/>
                <w:lang w:val="zh-CN" w:eastAsia="zh-CN"/>
              </w:rPr>
              <w:t>2：效益：</w:t>
            </w:r>
            <w:r>
              <w:rPr>
                <w:rFonts w:hint="eastAsia" w:ascii="宋体" w:eastAsia="宋体"/>
                <w:kern w:val="0"/>
                <w:sz w:val="21"/>
                <w:szCs w:val="21"/>
                <w:lang w:val="en-US" w:eastAsia="zh-CN"/>
              </w:rPr>
              <w:t>减少人工，降低粉尘排放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809" w:type="dxa"/>
            <w:noWrap w:val="0"/>
            <w:vAlign w:val="center"/>
          </w:tcPr>
          <w:p>
            <w:pPr>
              <w:adjustRightInd w:val="0"/>
              <w:snapToGrid w:val="0"/>
              <w:spacing w:line="36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rPr>
              <w:t>预期经济环境效益</w:t>
            </w:r>
          </w:p>
        </w:tc>
        <w:tc>
          <w:tcPr>
            <w:tcW w:w="6713" w:type="dxa"/>
            <w:noWrap w:val="0"/>
            <w:vAlign w:val="center"/>
          </w:tcPr>
          <w:p>
            <w:pPr>
              <w:adjustRightInd w:val="0"/>
              <w:snapToGrid w:val="0"/>
              <w:spacing w:line="360" w:lineRule="auto"/>
              <w:ind w:firstLine="420" w:firstLineChars="200"/>
              <w:rPr>
                <w:rFonts w:hint="eastAsia" w:ascii="宋体" w:eastAsia="宋体"/>
                <w:kern w:val="0"/>
                <w:sz w:val="21"/>
                <w:szCs w:val="21"/>
                <w:lang w:val="en-US" w:eastAsia="zh-CN"/>
              </w:rPr>
            </w:pPr>
            <w:r>
              <w:rPr>
                <w:rFonts w:hint="eastAsia" w:ascii="宋体" w:eastAsia="宋体"/>
                <w:kern w:val="0"/>
                <w:sz w:val="21"/>
                <w:szCs w:val="21"/>
                <w:lang w:eastAsia="en-US"/>
              </w:rPr>
              <w:t>利用管道输送的负压进行除尘，能够减少混料过程中粉尘的产生</w:t>
            </w:r>
          </w:p>
        </w:tc>
      </w:tr>
    </w:tbl>
    <w:p>
      <w:pPr>
        <w:pStyle w:val="42"/>
        <w:ind w:firstLine="480" w:firstLineChars="200"/>
        <w:jc w:val="left"/>
        <w:rPr>
          <w:rFonts w:hAnsi="Times New Roman" w:eastAsia="宋体"/>
          <w:color w:val="000000" w:themeColor="text1"/>
          <w:szCs w:val="24"/>
        </w:rPr>
      </w:pPr>
      <w:r>
        <w:rPr>
          <w:rFonts w:hint="eastAsia" w:hAnsi="Times New Roman" w:eastAsia="宋体"/>
          <w:color w:val="000000" w:themeColor="text1"/>
          <w:szCs w:val="24"/>
        </w:rPr>
        <w:t>在方案研制的基础上，审核小组又组织了相关技术人员和领导</w:t>
      </w:r>
      <w:r>
        <w:rPr>
          <w:rFonts w:hAnsi="Times New Roman" w:eastAsia="宋体"/>
          <w:color w:val="000000" w:themeColor="text1"/>
          <w:szCs w:val="24"/>
        </w:rPr>
        <w:t>从方案实施的迫切性、方案实施效果的明显性以及实施的难易程度等方面进行研讨，并从减少环境危害、经济可行、易于实施、节约资源能源以及可持续发展等方面进行权重比较，方案权重和计分依据见表</w:t>
      </w:r>
      <w:r>
        <w:rPr>
          <w:rFonts w:hint="eastAsia" w:hAnsi="Times New Roman" w:eastAsia="宋体"/>
          <w:color w:val="000000" w:themeColor="text1"/>
          <w:szCs w:val="24"/>
        </w:rPr>
        <w:t>5</w:t>
      </w:r>
      <w:r>
        <w:rPr>
          <w:rFonts w:hAnsi="Times New Roman" w:eastAsia="宋体"/>
          <w:color w:val="000000" w:themeColor="text1"/>
          <w:szCs w:val="24"/>
        </w:rPr>
        <w:t>-</w:t>
      </w:r>
      <w:r>
        <w:rPr>
          <w:rFonts w:hint="eastAsia" w:hAnsi="Times New Roman" w:eastAsia="宋体"/>
          <w:color w:val="000000" w:themeColor="text1"/>
          <w:szCs w:val="24"/>
        </w:rPr>
        <w:t>4</w:t>
      </w:r>
      <w:r>
        <w:rPr>
          <w:rFonts w:hAnsi="Times New Roman" w:eastAsia="宋体"/>
          <w:color w:val="000000" w:themeColor="text1"/>
          <w:szCs w:val="24"/>
        </w:rPr>
        <w:t>所示：</w:t>
      </w:r>
    </w:p>
    <w:p>
      <w:pPr>
        <w:spacing w:line="360" w:lineRule="auto"/>
        <w:ind w:firstLine="200"/>
        <w:jc w:val="center"/>
        <w:rPr>
          <w:rFonts w:asciiTheme="minorEastAsia" w:hAnsiTheme="minorEastAsia"/>
          <w:b/>
          <w:sz w:val="24"/>
          <w:szCs w:val="24"/>
        </w:rPr>
      </w:pPr>
      <w:r>
        <w:rPr>
          <w:rFonts w:asciiTheme="minorEastAsia" w:hAnsiTheme="minorEastAsia"/>
          <w:b/>
          <w:sz w:val="24"/>
          <w:szCs w:val="24"/>
        </w:rPr>
        <w:t>表</w:t>
      </w:r>
      <w:r>
        <w:rPr>
          <w:rFonts w:hint="eastAsia" w:asciiTheme="minorEastAsia" w:hAnsiTheme="minorEastAsia"/>
          <w:b/>
          <w:sz w:val="24"/>
          <w:szCs w:val="24"/>
        </w:rPr>
        <w:t>5</w:t>
      </w:r>
      <w:r>
        <w:rPr>
          <w:rFonts w:asciiTheme="minorEastAsia" w:hAnsiTheme="minorEastAsia"/>
          <w:b/>
          <w:sz w:val="24"/>
          <w:szCs w:val="24"/>
        </w:rPr>
        <w:t>-</w:t>
      </w:r>
      <w:r>
        <w:rPr>
          <w:rFonts w:hint="eastAsia" w:asciiTheme="minorEastAsia" w:hAnsiTheme="minorEastAsia"/>
          <w:b/>
          <w:sz w:val="24"/>
          <w:szCs w:val="24"/>
        </w:rPr>
        <w:t xml:space="preserve">4 </w:t>
      </w:r>
      <w:r>
        <w:rPr>
          <w:rFonts w:asciiTheme="minorEastAsia" w:hAnsiTheme="minorEastAsia"/>
          <w:b/>
          <w:sz w:val="24"/>
          <w:szCs w:val="24"/>
        </w:rPr>
        <w:t xml:space="preserve"> 清洁生产方案权重与得分评判依据</w:t>
      </w:r>
    </w:p>
    <w:tbl>
      <w:tblPr>
        <w:tblStyle w:val="27"/>
        <w:tblW w:w="8720" w:type="dxa"/>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41"/>
        <w:gridCol w:w="830"/>
        <w:gridCol w:w="1967"/>
        <w:gridCol w:w="2119"/>
        <w:gridCol w:w="20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vMerge w:val="restart"/>
            <w:tcBorders>
              <w:top w:val="single" w:color="auto" w:sz="12" w:space="0"/>
              <w:left w:val="single" w:color="auto" w:sz="12" w:space="0"/>
              <w:bottom w:val="single" w:color="auto" w:sz="4" w:space="0"/>
              <w:right w:val="single" w:color="auto" w:sz="4" w:space="0"/>
            </w:tcBorders>
            <w:vAlign w:val="center"/>
          </w:tcPr>
          <w:p>
            <w:pPr>
              <w:pStyle w:val="44"/>
              <w:snapToGrid w:val="0"/>
              <w:spacing w:beforeLines="20" w:afterLines="20" w:line="240" w:lineRule="auto"/>
              <w:ind w:firstLine="360"/>
              <w:rPr>
                <w:rFonts w:eastAsia="宋体"/>
                <w:kern w:val="0"/>
                <w:szCs w:val="21"/>
              </w:rPr>
            </w:pPr>
            <w:r>
              <w:rPr>
                <w:rFonts w:hAnsi="宋体" w:eastAsia="宋体"/>
                <w:kern w:val="0"/>
                <w:szCs w:val="21"/>
              </w:rPr>
              <w:t>影响因素</w:t>
            </w:r>
          </w:p>
        </w:tc>
        <w:tc>
          <w:tcPr>
            <w:tcW w:w="830" w:type="dxa"/>
            <w:vMerge w:val="restart"/>
            <w:tcBorders>
              <w:top w:val="single" w:color="auto" w:sz="12"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权重</w:t>
            </w:r>
          </w:p>
        </w:tc>
        <w:tc>
          <w:tcPr>
            <w:tcW w:w="6149" w:type="dxa"/>
            <w:gridSpan w:val="3"/>
            <w:tcBorders>
              <w:top w:val="single" w:color="auto" w:sz="12"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方案得分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vMerge w:val="continue"/>
            <w:tcBorders>
              <w:top w:val="single" w:color="auto" w:sz="12" w:space="0"/>
              <w:left w:val="single" w:color="auto" w:sz="12" w:space="0"/>
              <w:bottom w:val="single" w:color="auto" w:sz="4" w:space="0"/>
              <w:right w:val="single" w:color="auto" w:sz="4" w:space="0"/>
            </w:tcBorders>
            <w:vAlign w:val="center"/>
          </w:tcPr>
          <w:p>
            <w:pPr>
              <w:spacing w:beforeLines="20" w:afterLines="20"/>
              <w:ind w:firstLine="420"/>
              <w:jc w:val="center"/>
              <w:rPr>
                <w:rFonts w:ascii="Times New Roman" w:hAnsi="Times New Roman" w:eastAsia="宋体"/>
                <w:szCs w:val="21"/>
              </w:rPr>
            </w:pPr>
          </w:p>
        </w:tc>
        <w:tc>
          <w:tcPr>
            <w:tcW w:w="830" w:type="dxa"/>
            <w:vMerge w:val="continue"/>
            <w:tcBorders>
              <w:top w:val="single" w:color="auto" w:sz="12" w:space="0"/>
              <w:left w:val="single" w:color="auto" w:sz="4" w:space="0"/>
              <w:bottom w:val="single" w:color="auto" w:sz="4" w:space="0"/>
              <w:right w:val="single" w:color="auto" w:sz="4" w:space="0"/>
            </w:tcBorders>
            <w:vAlign w:val="center"/>
          </w:tcPr>
          <w:p>
            <w:pPr>
              <w:spacing w:beforeLines="20" w:afterLines="20"/>
              <w:ind w:firstLine="420"/>
              <w:jc w:val="center"/>
              <w:rPr>
                <w:rFonts w:ascii="Times New Roman" w:hAnsi="Times New Roman" w:eastAsia="宋体"/>
                <w:szCs w:val="21"/>
              </w:rPr>
            </w:pPr>
          </w:p>
        </w:tc>
        <w:tc>
          <w:tcPr>
            <w:tcW w:w="1967"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eastAsia="宋体"/>
                <w:kern w:val="0"/>
                <w:szCs w:val="21"/>
              </w:rPr>
              <w:t>8-10</w:t>
            </w:r>
          </w:p>
        </w:tc>
        <w:tc>
          <w:tcPr>
            <w:tcW w:w="2119"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eastAsia="宋体"/>
                <w:kern w:val="0"/>
                <w:szCs w:val="21"/>
              </w:rPr>
              <w:t>5-7</w:t>
            </w:r>
          </w:p>
        </w:tc>
        <w:tc>
          <w:tcPr>
            <w:tcW w:w="2063" w:type="dxa"/>
            <w:tcBorders>
              <w:top w:val="single" w:color="auto" w:sz="4"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kern w:val="0"/>
                <w:szCs w:val="21"/>
              </w:rPr>
            </w:pPr>
            <w:r>
              <w:rPr>
                <w:rFonts w:eastAsia="宋体"/>
                <w:kern w:val="0"/>
                <w:szCs w:val="21"/>
              </w:rPr>
              <w:t>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tcBorders>
              <w:top w:val="single" w:color="auto" w:sz="4" w:space="0"/>
              <w:left w:val="single" w:color="auto" w:sz="12"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经济效益</w:t>
            </w:r>
          </w:p>
        </w:tc>
        <w:tc>
          <w:tcPr>
            <w:tcW w:w="830"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eastAsia="宋体"/>
                <w:szCs w:val="21"/>
              </w:rPr>
              <w:t>9</w:t>
            </w:r>
          </w:p>
        </w:tc>
        <w:tc>
          <w:tcPr>
            <w:tcW w:w="1967"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年经济收益与总投资之比＞</w:t>
            </w:r>
            <w:r>
              <w:rPr>
                <w:rFonts w:eastAsia="宋体"/>
                <w:szCs w:val="21"/>
              </w:rPr>
              <w:t>0.5</w:t>
            </w:r>
          </w:p>
        </w:tc>
        <w:tc>
          <w:tcPr>
            <w:tcW w:w="2119"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年经济收益与总投资比在</w:t>
            </w:r>
            <w:r>
              <w:rPr>
                <w:rFonts w:eastAsia="宋体"/>
                <w:szCs w:val="21"/>
              </w:rPr>
              <w:t>0.1</w:t>
            </w:r>
            <w:r>
              <w:rPr>
                <w:rFonts w:hAnsi="宋体" w:eastAsia="宋体"/>
                <w:szCs w:val="21"/>
              </w:rPr>
              <w:t>～</w:t>
            </w:r>
            <w:r>
              <w:rPr>
                <w:rFonts w:eastAsia="宋体"/>
                <w:szCs w:val="21"/>
              </w:rPr>
              <w:t>0.5</w:t>
            </w:r>
            <w:r>
              <w:rPr>
                <w:rFonts w:hAnsi="宋体" w:eastAsia="宋体"/>
                <w:szCs w:val="21"/>
              </w:rPr>
              <w:t>之间</w:t>
            </w:r>
          </w:p>
        </w:tc>
        <w:tc>
          <w:tcPr>
            <w:tcW w:w="2063" w:type="dxa"/>
            <w:tcBorders>
              <w:top w:val="single" w:color="auto" w:sz="4"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szCs w:val="21"/>
              </w:rPr>
            </w:pPr>
            <w:r>
              <w:rPr>
                <w:rFonts w:hAnsi="宋体" w:eastAsia="宋体"/>
                <w:szCs w:val="21"/>
              </w:rPr>
              <w:t>年经济收益与总投资比在﹤</w:t>
            </w:r>
            <w:r>
              <w:rPr>
                <w:rFonts w:eastAsia="宋体"/>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741" w:type="dxa"/>
            <w:tcBorders>
              <w:top w:val="single" w:color="auto" w:sz="4" w:space="0"/>
              <w:left w:val="single" w:color="auto" w:sz="12"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环境效益</w:t>
            </w:r>
          </w:p>
        </w:tc>
        <w:tc>
          <w:tcPr>
            <w:tcW w:w="830"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eastAsia="宋体"/>
                <w:kern w:val="0"/>
                <w:szCs w:val="21"/>
              </w:rPr>
              <w:t>8</w:t>
            </w:r>
          </w:p>
        </w:tc>
        <w:tc>
          <w:tcPr>
            <w:tcW w:w="1967"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污染物产生量或排放量削减＞</w:t>
            </w:r>
            <w:r>
              <w:rPr>
                <w:rFonts w:eastAsia="宋体"/>
                <w:szCs w:val="21"/>
              </w:rPr>
              <w:t>10%</w:t>
            </w:r>
          </w:p>
        </w:tc>
        <w:tc>
          <w:tcPr>
            <w:tcW w:w="2119"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污染物产生量或排放量削减在</w:t>
            </w:r>
            <w:r>
              <w:rPr>
                <w:rFonts w:eastAsia="宋体"/>
                <w:szCs w:val="21"/>
              </w:rPr>
              <w:t>5%</w:t>
            </w:r>
            <w:r>
              <w:rPr>
                <w:rFonts w:hAnsi="宋体" w:eastAsia="宋体"/>
                <w:szCs w:val="21"/>
              </w:rPr>
              <w:t>～</w:t>
            </w:r>
            <w:r>
              <w:rPr>
                <w:rFonts w:eastAsia="宋体"/>
                <w:szCs w:val="21"/>
              </w:rPr>
              <w:t>10%</w:t>
            </w:r>
            <w:r>
              <w:rPr>
                <w:rFonts w:hAnsi="宋体" w:eastAsia="宋体"/>
                <w:szCs w:val="21"/>
              </w:rPr>
              <w:t>之间</w:t>
            </w:r>
          </w:p>
        </w:tc>
        <w:tc>
          <w:tcPr>
            <w:tcW w:w="2063" w:type="dxa"/>
            <w:tcBorders>
              <w:top w:val="single" w:color="auto" w:sz="4"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szCs w:val="21"/>
              </w:rPr>
            </w:pPr>
            <w:r>
              <w:rPr>
                <w:rFonts w:hAnsi="宋体" w:eastAsia="宋体"/>
                <w:szCs w:val="21"/>
              </w:rPr>
              <w:t>污染物产生量或排放量削减﹤</w:t>
            </w:r>
            <w:r>
              <w:rPr>
                <w:rFonts w:eastAsia="宋体"/>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tcBorders>
              <w:top w:val="single" w:color="auto" w:sz="4" w:space="0"/>
              <w:left w:val="single" w:color="auto" w:sz="12"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节约资源</w:t>
            </w:r>
          </w:p>
        </w:tc>
        <w:tc>
          <w:tcPr>
            <w:tcW w:w="830"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eastAsia="宋体"/>
                <w:szCs w:val="21"/>
              </w:rPr>
              <w:t>7</w:t>
            </w:r>
          </w:p>
        </w:tc>
        <w:tc>
          <w:tcPr>
            <w:tcW w:w="1967"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方案实施后比实施前提高资源利用率＞</w:t>
            </w:r>
            <w:r>
              <w:rPr>
                <w:rFonts w:eastAsia="宋体"/>
                <w:szCs w:val="21"/>
              </w:rPr>
              <w:t>10%</w:t>
            </w:r>
          </w:p>
        </w:tc>
        <w:tc>
          <w:tcPr>
            <w:tcW w:w="2119"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方案实施后比实施前提高资源利用率在</w:t>
            </w:r>
            <w:r>
              <w:rPr>
                <w:rFonts w:eastAsia="宋体"/>
                <w:szCs w:val="21"/>
              </w:rPr>
              <w:t>5%</w:t>
            </w:r>
            <w:r>
              <w:rPr>
                <w:rFonts w:hAnsi="宋体" w:eastAsia="宋体"/>
                <w:szCs w:val="21"/>
              </w:rPr>
              <w:t>～</w:t>
            </w:r>
            <w:r>
              <w:rPr>
                <w:rFonts w:eastAsia="宋体"/>
                <w:szCs w:val="21"/>
              </w:rPr>
              <w:t>10%</w:t>
            </w:r>
            <w:r>
              <w:rPr>
                <w:rFonts w:hAnsi="宋体" w:eastAsia="宋体"/>
                <w:szCs w:val="21"/>
              </w:rPr>
              <w:t>之间</w:t>
            </w:r>
          </w:p>
        </w:tc>
        <w:tc>
          <w:tcPr>
            <w:tcW w:w="2063" w:type="dxa"/>
            <w:tcBorders>
              <w:top w:val="single" w:color="auto" w:sz="4"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szCs w:val="21"/>
              </w:rPr>
            </w:pPr>
            <w:r>
              <w:rPr>
                <w:rFonts w:hAnsi="宋体" w:eastAsia="宋体"/>
                <w:szCs w:val="21"/>
              </w:rPr>
              <w:t>方案实施后比实施前提高资源利用率﹤</w:t>
            </w:r>
            <w:r>
              <w:rPr>
                <w:rFonts w:eastAsia="宋体"/>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tcBorders>
              <w:top w:val="single" w:color="auto" w:sz="4" w:space="0"/>
              <w:left w:val="single" w:color="auto" w:sz="12"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节约能源</w:t>
            </w:r>
          </w:p>
        </w:tc>
        <w:tc>
          <w:tcPr>
            <w:tcW w:w="830"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eastAsia="宋体"/>
                <w:szCs w:val="21"/>
              </w:rPr>
              <w:t>7</w:t>
            </w:r>
          </w:p>
        </w:tc>
        <w:tc>
          <w:tcPr>
            <w:tcW w:w="1967"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方案实施后比实施前提高能源利用率＞</w:t>
            </w:r>
            <w:r>
              <w:rPr>
                <w:rFonts w:eastAsia="宋体"/>
                <w:szCs w:val="21"/>
              </w:rPr>
              <w:t>10%</w:t>
            </w:r>
          </w:p>
        </w:tc>
        <w:tc>
          <w:tcPr>
            <w:tcW w:w="2119"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方案实施后比实施前提高能源利用率在</w:t>
            </w:r>
            <w:r>
              <w:rPr>
                <w:rFonts w:eastAsia="宋体"/>
                <w:szCs w:val="21"/>
              </w:rPr>
              <w:t>5%</w:t>
            </w:r>
            <w:r>
              <w:rPr>
                <w:rFonts w:hAnsi="宋体" w:eastAsia="宋体"/>
                <w:szCs w:val="21"/>
              </w:rPr>
              <w:t>～</w:t>
            </w:r>
            <w:r>
              <w:rPr>
                <w:rFonts w:eastAsia="宋体"/>
                <w:szCs w:val="21"/>
              </w:rPr>
              <w:t>10%</w:t>
            </w:r>
            <w:r>
              <w:rPr>
                <w:rFonts w:hAnsi="宋体" w:eastAsia="宋体"/>
                <w:szCs w:val="21"/>
              </w:rPr>
              <w:t>之间</w:t>
            </w:r>
          </w:p>
        </w:tc>
        <w:tc>
          <w:tcPr>
            <w:tcW w:w="2063" w:type="dxa"/>
            <w:tcBorders>
              <w:top w:val="single" w:color="auto" w:sz="4"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szCs w:val="21"/>
              </w:rPr>
            </w:pPr>
            <w:r>
              <w:rPr>
                <w:rFonts w:hAnsi="宋体" w:eastAsia="宋体"/>
                <w:szCs w:val="21"/>
              </w:rPr>
              <w:t>方案实施后比实施前提高能源利用率﹤</w:t>
            </w:r>
            <w:r>
              <w:rPr>
                <w:rFonts w:eastAsia="宋体"/>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tcBorders>
              <w:top w:val="single" w:color="auto" w:sz="4" w:space="0"/>
              <w:left w:val="single" w:color="auto" w:sz="12"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实施难易程度</w:t>
            </w:r>
          </w:p>
        </w:tc>
        <w:tc>
          <w:tcPr>
            <w:tcW w:w="830"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kern w:val="0"/>
                <w:szCs w:val="21"/>
              </w:rPr>
            </w:pPr>
            <w:r>
              <w:rPr>
                <w:rFonts w:eastAsia="宋体"/>
                <w:kern w:val="0"/>
                <w:szCs w:val="21"/>
              </w:rPr>
              <w:t>6</w:t>
            </w:r>
          </w:p>
        </w:tc>
        <w:tc>
          <w:tcPr>
            <w:tcW w:w="1967"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从资金、技术、场所、组织、人员素质、外部条件等方面来说，对方案实施没有难度</w:t>
            </w:r>
          </w:p>
        </w:tc>
        <w:tc>
          <w:tcPr>
            <w:tcW w:w="2119" w:type="dxa"/>
            <w:tcBorders>
              <w:top w:val="single" w:color="auto" w:sz="4" w:space="0"/>
              <w:left w:val="single" w:color="auto" w:sz="4" w:space="0"/>
              <w:bottom w:val="single" w:color="auto" w:sz="4"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从资金、技术、场所、组织、人员素质、外部条件等方面来说，对方案实施有一定难度</w:t>
            </w:r>
          </w:p>
        </w:tc>
        <w:tc>
          <w:tcPr>
            <w:tcW w:w="2063" w:type="dxa"/>
            <w:tcBorders>
              <w:top w:val="single" w:color="auto" w:sz="4" w:space="0"/>
              <w:left w:val="single" w:color="auto" w:sz="4" w:space="0"/>
              <w:bottom w:val="single" w:color="auto" w:sz="4" w:space="0"/>
              <w:right w:val="single" w:color="auto" w:sz="12" w:space="0"/>
            </w:tcBorders>
            <w:vAlign w:val="center"/>
          </w:tcPr>
          <w:p>
            <w:pPr>
              <w:pStyle w:val="44"/>
              <w:snapToGrid w:val="0"/>
              <w:spacing w:beforeLines="20" w:afterLines="20" w:line="240" w:lineRule="auto"/>
              <w:rPr>
                <w:rFonts w:eastAsia="宋体"/>
                <w:szCs w:val="21"/>
              </w:rPr>
            </w:pPr>
            <w:r>
              <w:rPr>
                <w:rFonts w:hAnsi="宋体" w:eastAsia="宋体"/>
                <w:szCs w:val="21"/>
              </w:rPr>
              <w:t>从资金、技术、场所、组织、人员素质、外部条件等方面来说，对方案实施有较大难度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1" w:type="dxa"/>
            <w:tcBorders>
              <w:top w:val="single" w:color="auto" w:sz="4" w:space="0"/>
              <w:left w:val="single" w:color="auto" w:sz="12" w:space="0"/>
              <w:bottom w:val="single" w:color="auto" w:sz="12" w:space="0"/>
              <w:right w:val="single" w:color="auto" w:sz="4" w:space="0"/>
            </w:tcBorders>
            <w:vAlign w:val="center"/>
          </w:tcPr>
          <w:p>
            <w:pPr>
              <w:pStyle w:val="44"/>
              <w:snapToGrid w:val="0"/>
              <w:spacing w:beforeLines="20" w:afterLines="20" w:line="240" w:lineRule="auto"/>
              <w:rPr>
                <w:rFonts w:eastAsia="宋体"/>
                <w:kern w:val="0"/>
                <w:szCs w:val="21"/>
              </w:rPr>
            </w:pPr>
            <w:r>
              <w:rPr>
                <w:rFonts w:hAnsi="宋体" w:eastAsia="宋体"/>
                <w:kern w:val="0"/>
                <w:szCs w:val="21"/>
              </w:rPr>
              <w:t>可持续发展前景</w:t>
            </w:r>
          </w:p>
        </w:tc>
        <w:tc>
          <w:tcPr>
            <w:tcW w:w="830" w:type="dxa"/>
            <w:tcBorders>
              <w:top w:val="single" w:color="auto" w:sz="4" w:space="0"/>
              <w:left w:val="single" w:color="auto" w:sz="4" w:space="0"/>
              <w:bottom w:val="single" w:color="auto" w:sz="12" w:space="0"/>
              <w:right w:val="single" w:color="auto" w:sz="4" w:space="0"/>
            </w:tcBorders>
            <w:vAlign w:val="center"/>
          </w:tcPr>
          <w:p>
            <w:pPr>
              <w:pStyle w:val="44"/>
              <w:snapToGrid w:val="0"/>
              <w:spacing w:beforeLines="20" w:afterLines="20" w:line="240" w:lineRule="auto"/>
              <w:rPr>
                <w:rFonts w:eastAsia="宋体"/>
                <w:kern w:val="0"/>
                <w:szCs w:val="21"/>
              </w:rPr>
            </w:pPr>
            <w:r>
              <w:rPr>
                <w:rFonts w:eastAsia="宋体"/>
                <w:kern w:val="0"/>
                <w:szCs w:val="21"/>
              </w:rPr>
              <w:t>5</w:t>
            </w:r>
          </w:p>
        </w:tc>
        <w:tc>
          <w:tcPr>
            <w:tcW w:w="1967" w:type="dxa"/>
            <w:tcBorders>
              <w:top w:val="single" w:color="auto" w:sz="4" w:space="0"/>
              <w:left w:val="single" w:color="auto" w:sz="4" w:space="0"/>
              <w:bottom w:val="single" w:color="auto" w:sz="12"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方案实施后，在经济、环境、社会三个方面都能取得很好的效益</w:t>
            </w:r>
          </w:p>
        </w:tc>
        <w:tc>
          <w:tcPr>
            <w:tcW w:w="2119" w:type="dxa"/>
            <w:tcBorders>
              <w:top w:val="single" w:color="auto" w:sz="4" w:space="0"/>
              <w:left w:val="single" w:color="auto" w:sz="4" w:space="0"/>
              <w:bottom w:val="single" w:color="auto" w:sz="12" w:space="0"/>
              <w:right w:val="single" w:color="auto" w:sz="4" w:space="0"/>
            </w:tcBorders>
            <w:vAlign w:val="center"/>
          </w:tcPr>
          <w:p>
            <w:pPr>
              <w:pStyle w:val="44"/>
              <w:snapToGrid w:val="0"/>
              <w:spacing w:beforeLines="20" w:afterLines="20" w:line="240" w:lineRule="auto"/>
              <w:rPr>
                <w:rFonts w:eastAsia="宋体"/>
                <w:szCs w:val="21"/>
              </w:rPr>
            </w:pPr>
            <w:r>
              <w:rPr>
                <w:rFonts w:hAnsi="宋体" w:eastAsia="宋体"/>
                <w:szCs w:val="21"/>
              </w:rPr>
              <w:t>方案实施后，在经济、环境、社会三个方面中的两个方面能取得较好的效益</w:t>
            </w:r>
          </w:p>
        </w:tc>
        <w:tc>
          <w:tcPr>
            <w:tcW w:w="2063" w:type="dxa"/>
            <w:tcBorders>
              <w:top w:val="single" w:color="auto" w:sz="4" w:space="0"/>
              <w:left w:val="single" w:color="auto" w:sz="4" w:space="0"/>
              <w:bottom w:val="single" w:color="auto" w:sz="12" w:space="0"/>
              <w:right w:val="single" w:color="auto" w:sz="12" w:space="0"/>
            </w:tcBorders>
            <w:vAlign w:val="center"/>
          </w:tcPr>
          <w:p>
            <w:pPr>
              <w:pStyle w:val="44"/>
              <w:snapToGrid w:val="0"/>
              <w:spacing w:beforeLines="20" w:afterLines="20" w:line="240" w:lineRule="auto"/>
              <w:rPr>
                <w:rFonts w:eastAsia="宋体"/>
                <w:szCs w:val="21"/>
              </w:rPr>
            </w:pPr>
            <w:r>
              <w:rPr>
                <w:rFonts w:hAnsi="宋体" w:eastAsia="宋体"/>
                <w:szCs w:val="21"/>
              </w:rPr>
              <w:t>方案实施后，在经济、环境、社会三个方面中的一个方面能取得较好效益</w:t>
            </w:r>
          </w:p>
        </w:tc>
      </w:tr>
    </w:tbl>
    <w:p>
      <w:pPr>
        <w:spacing w:before="120"/>
        <w:ind w:firstLine="480"/>
        <w:rPr>
          <w:rFonts w:ascii="Times New Roman" w:hAnsi="宋体" w:eastAsia="宋体"/>
          <w:sz w:val="24"/>
          <w:szCs w:val="24"/>
        </w:rPr>
      </w:pPr>
      <w:r>
        <w:rPr>
          <w:rFonts w:ascii="Times New Roman" w:hAnsi="宋体" w:eastAsia="宋体"/>
          <w:sz w:val="24"/>
          <w:szCs w:val="24"/>
        </w:rPr>
        <w:t>权重总和计分情况如表</w:t>
      </w:r>
      <w:r>
        <w:rPr>
          <w:rFonts w:hint="eastAsia" w:ascii="Times New Roman" w:hAnsi="宋体" w:eastAsia="宋体"/>
          <w:sz w:val="24"/>
          <w:szCs w:val="24"/>
        </w:rPr>
        <w:t>5</w:t>
      </w:r>
      <w:r>
        <w:rPr>
          <w:rFonts w:ascii="Times New Roman" w:hAnsi="宋体" w:eastAsia="宋体"/>
          <w:sz w:val="24"/>
          <w:szCs w:val="24"/>
        </w:rPr>
        <w:t>-</w:t>
      </w:r>
      <w:r>
        <w:rPr>
          <w:rFonts w:hint="eastAsia" w:ascii="Times New Roman" w:hAnsi="宋体" w:eastAsia="宋体"/>
          <w:sz w:val="24"/>
          <w:szCs w:val="24"/>
        </w:rPr>
        <w:t>5</w:t>
      </w:r>
      <w:r>
        <w:rPr>
          <w:rFonts w:ascii="Times New Roman" w:hAnsi="宋体" w:eastAsia="宋体"/>
          <w:sz w:val="24"/>
          <w:szCs w:val="24"/>
        </w:rPr>
        <w:t>所示。</w:t>
      </w:r>
    </w:p>
    <w:p>
      <w:pPr>
        <w:spacing w:line="360" w:lineRule="auto"/>
        <w:ind w:firstLine="482" w:firstLineChars="200"/>
        <w:jc w:val="center"/>
        <w:rPr>
          <w:rFonts w:ascii="Times New Roman" w:hAnsi="宋体" w:eastAsia="宋体"/>
          <w:b/>
          <w:sz w:val="24"/>
          <w:szCs w:val="24"/>
        </w:rPr>
      </w:pPr>
      <w:r>
        <w:rPr>
          <w:rFonts w:ascii="Times New Roman" w:hAnsi="宋体" w:eastAsia="宋体"/>
          <w:b/>
          <w:sz w:val="24"/>
          <w:szCs w:val="24"/>
        </w:rPr>
        <w:t>表</w:t>
      </w:r>
      <w:r>
        <w:rPr>
          <w:rFonts w:hint="eastAsia" w:ascii="Times New Roman" w:hAnsi="宋体" w:eastAsia="宋体"/>
          <w:b/>
          <w:sz w:val="24"/>
          <w:szCs w:val="24"/>
        </w:rPr>
        <w:t>5</w:t>
      </w:r>
      <w:r>
        <w:rPr>
          <w:rFonts w:ascii="Times New Roman" w:hAnsi="宋体" w:eastAsia="宋体"/>
          <w:b/>
          <w:sz w:val="24"/>
          <w:szCs w:val="24"/>
        </w:rPr>
        <w:t>-</w:t>
      </w:r>
      <w:r>
        <w:rPr>
          <w:rFonts w:hint="eastAsia" w:ascii="Times New Roman" w:hAnsi="宋体" w:eastAsia="宋体"/>
          <w:b/>
          <w:sz w:val="24"/>
          <w:szCs w:val="24"/>
        </w:rPr>
        <w:t>5 中高费</w:t>
      </w:r>
      <w:r>
        <w:rPr>
          <w:rFonts w:ascii="Times New Roman" w:hAnsi="宋体" w:eastAsia="宋体"/>
          <w:b/>
          <w:sz w:val="24"/>
          <w:szCs w:val="24"/>
        </w:rPr>
        <w:t>方案权重得分表</w:t>
      </w:r>
    </w:p>
    <w:tbl>
      <w:tblPr>
        <w:tblStyle w:val="62"/>
        <w:tblW w:w="8722"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768"/>
        <w:gridCol w:w="850"/>
        <w:gridCol w:w="1418"/>
        <w:gridCol w:w="1559"/>
        <w:gridCol w:w="1559"/>
        <w:gridCol w:w="156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78" w:hRule="atLeast"/>
          <w:jc w:val="center"/>
        </w:trPr>
        <w:tc>
          <w:tcPr>
            <w:tcW w:w="1768" w:type="dxa"/>
            <w:vMerge w:val="restart"/>
            <w:tcBorders>
              <w:bottom w:val="single" w:color="000000" w:sz="6" w:space="0"/>
              <w:right w:val="single" w:color="000000" w:sz="6" w:space="0"/>
            </w:tcBorders>
            <w:vAlign w:val="center"/>
          </w:tcPr>
          <w:p>
            <w:pPr>
              <w:pStyle w:val="64"/>
              <w:jc w:val="center"/>
              <w:rPr>
                <w:rFonts w:ascii="楷体"/>
                <w:b/>
                <w:sz w:val="20"/>
                <w:lang w:eastAsia="zh-CN"/>
              </w:rPr>
            </w:pPr>
          </w:p>
          <w:p>
            <w:pPr>
              <w:pStyle w:val="64"/>
              <w:spacing w:before="11"/>
              <w:jc w:val="center"/>
              <w:rPr>
                <w:rFonts w:ascii="楷体"/>
                <w:b/>
                <w:sz w:val="14"/>
                <w:lang w:eastAsia="zh-CN"/>
              </w:rPr>
            </w:pPr>
          </w:p>
          <w:p>
            <w:pPr>
              <w:pStyle w:val="64"/>
              <w:ind w:firstLine="422" w:firstLineChars="200"/>
              <w:jc w:val="center"/>
              <w:rPr>
                <w:b/>
                <w:sz w:val="21"/>
                <w:lang w:eastAsia="en-US"/>
              </w:rPr>
            </w:pPr>
            <w:r>
              <w:rPr>
                <w:b/>
                <w:sz w:val="21"/>
                <w:lang w:eastAsia="en-US"/>
              </w:rPr>
              <w:t>权重因素</w:t>
            </w:r>
          </w:p>
        </w:tc>
        <w:tc>
          <w:tcPr>
            <w:tcW w:w="850" w:type="dxa"/>
            <w:vMerge w:val="restart"/>
            <w:tcBorders>
              <w:left w:val="single" w:color="000000" w:sz="6" w:space="0"/>
              <w:bottom w:val="single" w:color="000000" w:sz="6" w:space="0"/>
              <w:right w:val="single" w:color="000000" w:sz="6" w:space="0"/>
            </w:tcBorders>
            <w:vAlign w:val="center"/>
          </w:tcPr>
          <w:p>
            <w:pPr>
              <w:pStyle w:val="64"/>
              <w:jc w:val="center"/>
              <w:rPr>
                <w:rFonts w:ascii="楷体"/>
                <w:b/>
                <w:lang w:eastAsia="en-US"/>
              </w:rPr>
            </w:pPr>
          </w:p>
          <w:p>
            <w:pPr>
              <w:pStyle w:val="64"/>
              <w:spacing w:before="165"/>
              <w:jc w:val="center"/>
              <w:rPr>
                <w:b/>
                <w:sz w:val="21"/>
                <w:lang w:eastAsia="en-US"/>
              </w:rPr>
            </w:pPr>
            <w:r>
              <w:rPr>
                <w:b/>
                <w:sz w:val="21"/>
                <w:lang w:eastAsia="en-US"/>
              </w:rPr>
              <w:t>权重值（</w:t>
            </w:r>
            <w:r>
              <w:rPr>
                <w:rFonts w:ascii="Times New Roman" w:eastAsia="Times New Roman"/>
                <w:b/>
                <w:sz w:val="21"/>
                <w:lang w:eastAsia="en-US"/>
              </w:rPr>
              <w:t>W</w:t>
            </w:r>
            <w:r>
              <w:rPr>
                <w:b/>
                <w:sz w:val="21"/>
                <w:lang w:eastAsia="en-US"/>
              </w:rPr>
              <w:t>）</w:t>
            </w:r>
          </w:p>
        </w:tc>
        <w:tc>
          <w:tcPr>
            <w:tcW w:w="6104" w:type="dxa"/>
            <w:gridSpan w:val="4"/>
            <w:tcBorders>
              <w:left w:val="single" w:color="000000" w:sz="6" w:space="0"/>
              <w:bottom w:val="single" w:color="000000" w:sz="6" w:space="0"/>
            </w:tcBorders>
            <w:vAlign w:val="center"/>
          </w:tcPr>
          <w:p>
            <w:pPr>
              <w:pStyle w:val="64"/>
              <w:spacing w:before="53"/>
              <w:ind w:left="1816" w:right="1782"/>
              <w:jc w:val="center"/>
              <w:rPr>
                <w:b/>
                <w:sz w:val="21"/>
                <w:lang w:eastAsia="en-US"/>
              </w:rPr>
            </w:pPr>
            <w:r>
              <w:rPr>
                <w:b/>
                <w:sz w:val="21"/>
                <w:lang w:eastAsia="en-US"/>
              </w:rPr>
              <w:t>方案得分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76" w:hRule="atLeast"/>
          <w:jc w:val="center"/>
        </w:trPr>
        <w:tc>
          <w:tcPr>
            <w:tcW w:w="1768" w:type="dxa"/>
            <w:vMerge w:val="continue"/>
            <w:tcBorders>
              <w:top w:val="nil"/>
              <w:bottom w:val="single" w:color="000000" w:sz="6" w:space="0"/>
              <w:right w:val="single" w:color="000000" w:sz="6" w:space="0"/>
            </w:tcBorders>
            <w:vAlign w:val="center"/>
          </w:tcPr>
          <w:p>
            <w:pPr>
              <w:autoSpaceDE w:val="0"/>
              <w:autoSpaceDN w:val="0"/>
              <w:jc w:val="center"/>
              <w:rPr>
                <w:kern w:val="0"/>
                <w:sz w:val="2"/>
                <w:szCs w:val="2"/>
                <w:lang w:eastAsia="en-US"/>
              </w:rPr>
            </w:pPr>
          </w:p>
        </w:tc>
        <w:tc>
          <w:tcPr>
            <w:tcW w:w="850" w:type="dxa"/>
            <w:vMerge w:val="continue"/>
            <w:tcBorders>
              <w:top w:val="nil"/>
              <w:left w:val="single" w:color="000000" w:sz="6" w:space="0"/>
              <w:bottom w:val="single" w:color="000000" w:sz="6" w:space="0"/>
              <w:right w:val="single" w:color="000000" w:sz="6" w:space="0"/>
            </w:tcBorders>
            <w:vAlign w:val="center"/>
          </w:tcPr>
          <w:p>
            <w:pPr>
              <w:autoSpaceDE w:val="0"/>
              <w:autoSpaceDN w:val="0"/>
              <w:jc w:val="center"/>
              <w:rPr>
                <w:kern w:val="0"/>
                <w:sz w:val="2"/>
                <w:szCs w:val="2"/>
                <w:lang w:eastAsia="en-US"/>
              </w:rPr>
            </w:pPr>
          </w:p>
        </w:tc>
        <w:tc>
          <w:tcPr>
            <w:tcW w:w="2977" w:type="dxa"/>
            <w:gridSpan w:val="2"/>
            <w:tcBorders>
              <w:top w:val="single" w:color="000000" w:sz="6" w:space="0"/>
              <w:left w:val="single" w:color="000000" w:sz="6" w:space="0"/>
              <w:bottom w:val="single" w:color="000000" w:sz="6" w:space="0"/>
            </w:tcBorders>
            <w:vAlign w:val="center"/>
          </w:tcPr>
          <w:p>
            <w:pPr>
              <w:pStyle w:val="64"/>
              <w:spacing w:before="53"/>
              <w:jc w:val="center"/>
              <w:rPr>
                <w:sz w:val="21"/>
                <w:szCs w:val="21"/>
                <w:lang w:eastAsia="zh-CN"/>
              </w:rPr>
            </w:pPr>
            <w:r>
              <w:rPr>
                <w:rFonts w:hint="eastAsia"/>
                <w:lang w:val="en-US" w:eastAsia="zh-CN"/>
              </w:rPr>
              <w:t>F2-2</w:t>
            </w:r>
            <w:r>
              <w:rPr>
                <w:rFonts w:ascii="Times New Roman" w:hAnsi="Times New Roman" w:eastAsia="宋体" w:cs="Times New Roman"/>
                <w:kern w:val="2"/>
                <w:sz w:val="21"/>
                <w:szCs w:val="21"/>
                <w:lang w:val="en-US" w:eastAsia="zh-CN" w:bidi="ar-SA"/>
              </w:rPr>
              <w:t>：</w:t>
            </w:r>
            <w:r>
              <w:rPr>
                <w:rFonts w:hint="eastAsia" w:eastAsia="宋体"/>
                <w:snapToGrid w:val="0"/>
                <w:color w:val="auto"/>
                <w:kern w:val="24"/>
                <w:lang w:eastAsia="zh-CN"/>
              </w:rPr>
              <w:t>更换牵引链条</w:t>
            </w:r>
          </w:p>
        </w:tc>
        <w:tc>
          <w:tcPr>
            <w:tcW w:w="3127" w:type="dxa"/>
            <w:gridSpan w:val="2"/>
            <w:tcBorders>
              <w:top w:val="single" w:color="000000" w:sz="6" w:space="0"/>
              <w:left w:val="single" w:color="000000" w:sz="6" w:space="0"/>
              <w:bottom w:val="single" w:color="000000" w:sz="6" w:space="0"/>
            </w:tcBorders>
            <w:vAlign w:val="center"/>
          </w:tcPr>
          <w:p>
            <w:pPr>
              <w:pStyle w:val="64"/>
              <w:spacing w:before="53"/>
              <w:jc w:val="center"/>
              <w:rPr>
                <w:sz w:val="21"/>
                <w:szCs w:val="21"/>
                <w:lang w:eastAsia="zh-CN"/>
              </w:rPr>
            </w:pPr>
            <w:r>
              <w:rPr>
                <w:rFonts w:hint="eastAsia"/>
                <w:lang w:val="en-US" w:eastAsia="zh-CN"/>
              </w:rPr>
              <w:t>F2-4</w:t>
            </w:r>
            <w:r>
              <w:rPr>
                <w:rFonts w:ascii="Times New Roman" w:hAnsi="Times New Roman" w:eastAsia="宋体" w:cs="Times New Roman"/>
                <w:kern w:val="2"/>
                <w:sz w:val="21"/>
                <w:szCs w:val="21"/>
                <w:lang w:val="en-US" w:eastAsia="zh-CN" w:bidi="ar-SA"/>
              </w:rPr>
              <w:t>：</w:t>
            </w:r>
            <w:r>
              <w:rPr>
                <w:rFonts w:hint="eastAsia" w:eastAsia="宋体"/>
                <w:snapToGrid w:val="0"/>
                <w:color w:val="auto"/>
                <w:kern w:val="24"/>
                <w:lang w:eastAsia="zh-CN"/>
              </w:rPr>
              <w:t>自动混料系统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78" w:hRule="atLeast"/>
          <w:jc w:val="center"/>
        </w:trPr>
        <w:tc>
          <w:tcPr>
            <w:tcW w:w="1768" w:type="dxa"/>
            <w:vMerge w:val="continue"/>
            <w:tcBorders>
              <w:top w:val="nil"/>
              <w:bottom w:val="single" w:color="000000" w:sz="6" w:space="0"/>
              <w:right w:val="single" w:color="000000" w:sz="6" w:space="0"/>
            </w:tcBorders>
            <w:vAlign w:val="center"/>
          </w:tcPr>
          <w:p>
            <w:pPr>
              <w:autoSpaceDE w:val="0"/>
              <w:autoSpaceDN w:val="0"/>
              <w:jc w:val="center"/>
              <w:rPr>
                <w:kern w:val="0"/>
                <w:sz w:val="2"/>
                <w:szCs w:val="2"/>
                <w:lang w:eastAsia="zh-CN"/>
              </w:rPr>
            </w:pPr>
          </w:p>
        </w:tc>
        <w:tc>
          <w:tcPr>
            <w:tcW w:w="850" w:type="dxa"/>
            <w:vMerge w:val="continue"/>
            <w:tcBorders>
              <w:top w:val="nil"/>
              <w:left w:val="single" w:color="000000" w:sz="6" w:space="0"/>
              <w:bottom w:val="single" w:color="000000" w:sz="6" w:space="0"/>
              <w:right w:val="single" w:color="000000" w:sz="6" w:space="0"/>
            </w:tcBorders>
            <w:vAlign w:val="center"/>
          </w:tcPr>
          <w:p>
            <w:pPr>
              <w:autoSpaceDE w:val="0"/>
              <w:autoSpaceDN w:val="0"/>
              <w:jc w:val="center"/>
              <w:rPr>
                <w:kern w:val="0"/>
                <w:sz w:val="2"/>
                <w:szCs w:val="2"/>
                <w:lang w:eastAsia="zh-CN"/>
              </w:rPr>
            </w:pP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63"/>
              <w:jc w:val="center"/>
              <w:rPr>
                <w:rFonts w:ascii="Times New Roman"/>
                <w:sz w:val="21"/>
                <w:lang w:eastAsia="en-US"/>
              </w:rPr>
            </w:pPr>
            <w:r>
              <w:rPr>
                <w:rFonts w:ascii="Times New Roman"/>
                <w:sz w:val="21"/>
                <w:lang w:eastAsia="en-US"/>
              </w:rPr>
              <w:t>R</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ascii="Times New Roman"/>
                <w:sz w:val="21"/>
                <w:lang w:eastAsia="en-US"/>
              </w:rPr>
              <w:t>RW</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ascii="Times New Roman"/>
                <w:sz w:val="21"/>
                <w:lang w:eastAsia="en-US"/>
              </w:rPr>
              <w:t>R</w:t>
            </w:r>
          </w:p>
        </w:tc>
        <w:tc>
          <w:tcPr>
            <w:tcW w:w="1568" w:type="dxa"/>
            <w:tcBorders>
              <w:top w:val="single" w:color="000000" w:sz="6" w:space="0"/>
              <w:left w:val="single" w:color="000000" w:sz="6" w:space="0"/>
              <w:bottom w:val="single" w:color="000000" w:sz="6" w:space="0"/>
            </w:tcBorders>
            <w:vAlign w:val="center"/>
          </w:tcPr>
          <w:p>
            <w:pPr>
              <w:pStyle w:val="64"/>
              <w:spacing w:before="63"/>
              <w:ind w:right="847"/>
              <w:jc w:val="center"/>
              <w:rPr>
                <w:rFonts w:ascii="Times New Roman"/>
                <w:sz w:val="21"/>
                <w:lang w:eastAsia="en-US"/>
              </w:rPr>
            </w:pPr>
            <w:r>
              <w:rPr>
                <w:rFonts w:ascii="Times New Roman"/>
                <w:sz w:val="21"/>
                <w:lang w:eastAsia="en-US"/>
              </w:rPr>
              <w:t>RW</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4" w:hRule="atLeast"/>
          <w:jc w:val="center"/>
        </w:trPr>
        <w:tc>
          <w:tcPr>
            <w:tcW w:w="1768" w:type="dxa"/>
            <w:tcBorders>
              <w:top w:val="single" w:color="000000" w:sz="6" w:space="0"/>
              <w:bottom w:val="single" w:color="000000" w:sz="6" w:space="0"/>
              <w:right w:val="single" w:color="000000" w:sz="6" w:space="0"/>
            </w:tcBorders>
            <w:vAlign w:val="center"/>
          </w:tcPr>
          <w:p>
            <w:pPr>
              <w:pStyle w:val="64"/>
              <w:spacing w:before="101"/>
              <w:ind w:left="357" w:right="339"/>
              <w:jc w:val="center"/>
              <w:rPr>
                <w:sz w:val="21"/>
                <w:lang w:eastAsia="en-US"/>
              </w:rPr>
            </w:pPr>
            <w:r>
              <w:rPr>
                <w:sz w:val="21"/>
                <w:lang w:eastAsia="en-US"/>
              </w:rPr>
              <w:t>经济效益</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64"/>
              <w:spacing w:before="111"/>
              <w:ind w:left="26"/>
              <w:jc w:val="center"/>
              <w:rPr>
                <w:rFonts w:ascii="Times New Roman"/>
                <w:sz w:val="21"/>
                <w:lang w:eastAsia="en-US"/>
              </w:rPr>
            </w:pPr>
            <w:r>
              <w:rPr>
                <w:rFonts w:ascii="Times New Roman"/>
                <w:sz w:val="21"/>
                <w:lang w:eastAsia="en-US"/>
              </w:rPr>
              <w:t>9</w:t>
            </w: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111"/>
              <w:jc w:val="center"/>
              <w:rPr>
                <w:rFonts w:ascii="Times New Roman"/>
                <w:sz w:val="21"/>
                <w:lang w:eastAsia="zh-CN"/>
              </w:rPr>
            </w:pPr>
            <w:r>
              <w:rPr>
                <w:rFonts w:hint="eastAsia" w:ascii="Times New Roman"/>
                <w:sz w:val="21"/>
                <w:lang w:eastAsia="zh-CN"/>
              </w:rPr>
              <w:t>10</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hint="eastAsia" w:ascii="Times New Roman"/>
                <w:sz w:val="21"/>
                <w:lang w:eastAsia="en-US"/>
              </w:rPr>
              <w:t>90</w:t>
            </w:r>
          </w:p>
        </w:tc>
        <w:tc>
          <w:tcPr>
            <w:tcW w:w="1559" w:type="dxa"/>
            <w:tcBorders>
              <w:top w:val="single" w:color="000000" w:sz="6" w:space="0"/>
              <w:left w:val="single" w:color="000000" w:sz="6" w:space="0"/>
              <w:bottom w:val="single" w:color="000000" w:sz="6" w:space="0"/>
            </w:tcBorders>
            <w:vAlign w:val="center"/>
          </w:tcPr>
          <w:p>
            <w:pPr>
              <w:pStyle w:val="64"/>
              <w:spacing w:before="111"/>
              <w:ind w:right="848"/>
              <w:jc w:val="center"/>
              <w:rPr>
                <w:rFonts w:ascii="Times New Roman"/>
                <w:sz w:val="21"/>
                <w:lang w:eastAsia="zh-CN"/>
              </w:rPr>
            </w:pPr>
            <w:r>
              <w:rPr>
                <w:rFonts w:hint="eastAsia" w:ascii="Times New Roman"/>
                <w:sz w:val="21"/>
                <w:lang w:eastAsia="zh-CN"/>
              </w:rPr>
              <w:t xml:space="preserve">     6</w:t>
            </w:r>
          </w:p>
        </w:tc>
        <w:tc>
          <w:tcPr>
            <w:tcW w:w="1568" w:type="dxa"/>
            <w:tcBorders>
              <w:top w:val="single" w:color="000000" w:sz="6" w:space="0"/>
              <w:left w:val="single" w:color="000000" w:sz="6" w:space="0"/>
              <w:bottom w:val="single" w:color="000000" w:sz="6" w:space="0"/>
            </w:tcBorders>
            <w:vAlign w:val="center"/>
          </w:tcPr>
          <w:p>
            <w:pPr>
              <w:pStyle w:val="64"/>
              <w:spacing w:before="111"/>
              <w:ind w:right="848"/>
              <w:jc w:val="right"/>
              <w:rPr>
                <w:rFonts w:ascii="Times New Roman"/>
                <w:sz w:val="21"/>
                <w:lang w:eastAsia="zh-CN"/>
              </w:rPr>
            </w:pPr>
            <w:r>
              <w:rPr>
                <w:rFonts w:hint="eastAsia" w:ascii="Times New Roman"/>
                <w:sz w:val="21"/>
                <w:lang w:eastAsia="zh-CN"/>
              </w:rPr>
              <w:t>54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4" w:hRule="atLeast"/>
          <w:jc w:val="center"/>
        </w:trPr>
        <w:tc>
          <w:tcPr>
            <w:tcW w:w="1768" w:type="dxa"/>
            <w:tcBorders>
              <w:top w:val="single" w:color="000000" w:sz="6" w:space="0"/>
              <w:bottom w:val="single" w:color="000000" w:sz="6" w:space="0"/>
              <w:right w:val="single" w:color="000000" w:sz="6" w:space="0"/>
            </w:tcBorders>
            <w:vAlign w:val="center"/>
          </w:tcPr>
          <w:p>
            <w:pPr>
              <w:pStyle w:val="64"/>
              <w:spacing w:before="101"/>
              <w:ind w:left="359" w:right="339"/>
              <w:jc w:val="center"/>
              <w:rPr>
                <w:sz w:val="21"/>
                <w:lang w:eastAsia="en-US"/>
              </w:rPr>
            </w:pPr>
            <w:r>
              <w:rPr>
                <w:sz w:val="21"/>
                <w:lang w:eastAsia="en-US"/>
              </w:rPr>
              <w:t>环境效益</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64"/>
              <w:spacing w:before="111"/>
              <w:ind w:left="26"/>
              <w:jc w:val="center"/>
              <w:rPr>
                <w:rFonts w:ascii="Times New Roman"/>
                <w:sz w:val="21"/>
                <w:lang w:eastAsia="en-US"/>
              </w:rPr>
            </w:pPr>
            <w:r>
              <w:rPr>
                <w:rFonts w:ascii="Times New Roman"/>
                <w:sz w:val="21"/>
                <w:lang w:eastAsia="en-US"/>
              </w:rPr>
              <w:t>8</w:t>
            </w: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111"/>
              <w:jc w:val="center"/>
              <w:rPr>
                <w:rFonts w:ascii="Times New Roman"/>
                <w:sz w:val="21"/>
                <w:lang w:eastAsia="zh-CN"/>
              </w:rPr>
            </w:pPr>
            <w:r>
              <w:rPr>
                <w:rFonts w:hint="eastAsia" w:ascii="Times New Roman"/>
                <w:sz w:val="21"/>
                <w:lang w:eastAsia="zh-CN"/>
              </w:rPr>
              <w:t>4</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hint="eastAsia" w:ascii="Times New Roman"/>
                <w:sz w:val="21"/>
                <w:lang w:eastAsia="en-US"/>
              </w:rPr>
              <w:t>32</w:t>
            </w:r>
          </w:p>
        </w:tc>
        <w:tc>
          <w:tcPr>
            <w:tcW w:w="1559" w:type="dxa"/>
            <w:tcBorders>
              <w:top w:val="single" w:color="000000" w:sz="6" w:space="0"/>
              <w:left w:val="single" w:color="000000" w:sz="6" w:space="0"/>
              <w:bottom w:val="single" w:color="000000" w:sz="6" w:space="0"/>
            </w:tcBorders>
            <w:vAlign w:val="center"/>
          </w:tcPr>
          <w:p>
            <w:pPr>
              <w:pStyle w:val="64"/>
              <w:spacing w:before="111"/>
              <w:ind w:right="848"/>
              <w:jc w:val="center"/>
              <w:rPr>
                <w:rFonts w:ascii="Times New Roman"/>
                <w:sz w:val="21"/>
                <w:lang w:eastAsia="zh-CN"/>
              </w:rPr>
            </w:pPr>
            <w:r>
              <w:rPr>
                <w:rFonts w:hint="eastAsia" w:ascii="Times New Roman"/>
                <w:sz w:val="21"/>
                <w:lang w:eastAsia="zh-CN"/>
              </w:rPr>
              <w:t xml:space="preserve">     9</w:t>
            </w:r>
          </w:p>
        </w:tc>
        <w:tc>
          <w:tcPr>
            <w:tcW w:w="1568" w:type="dxa"/>
            <w:tcBorders>
              <w:top w:val="single" w:color="000000" w:sz="6" w:space="0"/>
              <w:left w:val="single" w:color="000000" w:sz="6" w:space="0"/>
              <w:bottom w:val="single" w:color="000000" w:sz="6" w:space="0"/>
            </w:tcBorders>
            <w:vAlign w:val="center"/>
          </w:tcPr>
          <w:p>
            <w:pPr>
              <w:pStyle w:val="64"/>
              <w:spacing w:before="111"/>
              <w:ind w:right="848"/>
              <w:jc w:val="right"/>
              <w:rPr>
                <w:rFonts w:ascii="Times New Roman"/>
                <w:sz w:val="21"/>
                <w:lang w:eastAsia="zh-CN"/>
              </w:rPr>
            </w:pPr>
            <w:r>
              <w:rPr>
                <w:rFonts w:hint="eastAsia" w:ascii="Times New Roman"/>
                <w:sz w:val="21"/>
                <w:lang w:eastAsia="zh-CN"/>
              </w:rPr>
              <w:t>72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7" w:hRule="atLeast"/>
          <w:jc w:val="center"/>
        </w:trPr>
        <w:tc>
          <w:tcPr>
            <w:tcW w:w="1768" w:type="dxa"/>
            <w:tcBorders>
              <w:top w:val="single" w:color="000000" w:sz="6" w:space="0"/>
              <w:bottom w:val="single" w:color="000000" w:sz="6" w:space="0"/>
              <w:right w:val="single" w:color="000000" w:sz="6" w:space="0"/>
            </w:tcBorders>
            <w:vAlign w:val="center"/>
          </w:tcPr>
          <w:p>
            <w:pPr>
              <w:pStyle w:val="64"/>
              <w:spacing w:before="109"/>
              <w:ind w:left="359" w:right="339"/>
              <w:jc w:val="center"/>
              <w:rPr>
                <w:sz w:val="21"/>
                <w:lang w:eastAsia="en-US"/>
              </w:rPr>
            </w:pPr>
            <w:r>
              <w:rPr>
                <w:sz w:val="21"/>
                <w:lang w:eastAsia="en-US"/>
              </w:rPr>
              <w:t>节约资源</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64"/>
              <w:spacing w:before="116"/>
              <w:ind w:left="26"/>
              <w:jc w:val="center"/>
              <w:rPr>
                <w:rFonts w:ascii="Times New Roman"/>
                <w:sz w:val="21"/>
                <w:lang w:eastAsia="en-US"/>
              </w:rPr>
            </w:pPr>
            <w:r>
              <w:rPr>
                <w:rFonts w:ascii="Times New Roman"/>
                <w:sz w:val="21"/>
                <w:lang w:eastAsia="en-US"/>
              </w:rPr>
              <w:t>7</w:t>
            </w: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116"/>
              <w:jc w:val="center"/>
              <w:rPr>
                <w:rFonts w:ascii="Times New Roman"/>
                <w:sz w:val="21"/>
                <w:lang w:eastAsia="zh-CN"/>
              </w:rPr>
            </w:pPr>
            <w:r>
              <w:rPr>
                <w:rFonts w:hint="eastAsia" w:ascii="Times New Roman"/>
                <w:sz w:val="21"/>
                <w:lang w:eastAsia="zh-CN"/>
              </w:rPr>
              <w:t>8</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hint="eastAsia" w:ascii="Times New Roman"/>
                <w:sz w:val="21"/>
                <w:lang w:eastAsia="en-US"/>
              </w:rPr>
              <w:t>56</w:t>
            </w:r>
          </w:p>
        </w:tc>
        <w:tc>
          <w:tcPr>
            <w:tcW w:w="1559" w:type="dxa"/>
            <w:tcBorders>
              <w:top w:val="single" w:color="000000" w:sz="6" w:space="0"/>
              <w:left w:val="single" w:color="000000" w:sz="6" w:space="0"/>
              <w:bottom w:val="single" w:color="000000" w:sz="6" w:space="0"/>
            </w:tcBorders>
            <w:vAlign w:val="center"/>
          </w:tcPr>
          <w:p>
            <w:pPr>
              <w:pStyle w:val="64"/>
              <w:spacing w:before="116"/>
              <w:ind w:right="848"/>
              <w:jc w:val="center"/>
              <w:rPr>
                <w:rFonts w:ascii="Times New Roman"/>
                <w:sz w:val="21"/>
                <w:lang w:eastAsia="zh-CN"/>
              </w:rPr>
            </w:pPr>
            <w:r>
              <w:rPr>
                <w:rFonts w:hint="eastAsia" w:ascii="Times New Roman"/>
                <w:sz w:val="21"/>
                <w:lang w:eastAsia="zh-CN"/>
              </w:rPr>
              <w:t xml:space="preserve">     8</w:t>
            </w:r>
          </w:p>
        </w:tc>
        <w:tc>
          <w:tcPr>
            <w:tcW w:w="1568" w:type="dxa"/>
            <w:tcBorders>
              <w:top w:val="single" w:color="000000" w:sz="6" w:space="0"/>
              <w:left w:val="single" w:color="000000" w:sz="6" w:space="0"/>
              <w:bottom w:val="single" w:color="000000" w:sz="6" w:space="0"/>
            </w:tcBorders>
            <w:vAlign w:val="center"/>
          </w:tcPr>
          <w:p>
            <w:pPr>
              <w:pStyle w:val="64"/>
              <w:spacing w:before="116"/>
              <w:ind w:right="848"/>
              <w:jc w:val="right"/>
              <w:rPr>
                <w:rFonts w:ascii="Times New Roman"/>
                <w:sz w:val="21"/>
                <w:lang w:eastAsia="zh-CN"/>
              </w:rPr>
            </w:pPr>
            <w:r>
              <w:rPr>
                <w:rFonts w:hint="eastAsia" w:ascii="Times New Roman"/>
                <w:sz w:val="21"/>
                <w:lang w:eastAsia="zh-CN"/>
              </w:rPr>
              <w:t>56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jc w:val="center"/>
        </w:trPr>
        <w:tc>
          <w:tcPr>
            <w:tcW w:w="1768" w:type="dxa"/>
            <w:tcBorders>
              <w:top w:val="single" w:color="000000" w:sz="6" w:space="0"/>
              <w:bottom w:val="single" w:color="000000" w:sz="6" w:space="0"/>
              <w:right w:val="single" w:color="000000" w:sz="6" w:space="0"/>
            </w:tcBorders>
            <w:vAlign w:val="center"/>
          </w:tcPr>
          <w:p>
            <w:pPr>
              <w:pStyle w:val="64"/>
              <w:spacing w:before="49"/>
              <w:ind w:left="359" w:right="339"/>
              <w:jc w:val="center"/>
              <w:rPr>
                <w:sz w:val="21"/>
                <w:lang w:eastAsia="en-US"/>
              </w:rPr>
            </w:pPr>
            <w:r>
              <w:rPr>
                <w:sz w:val="21"/>
                <w:lang w:eastAsia="en-US"/>
              </w:rPr>
              <w:t>节约能源</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64"/>
              <w:spacing w:before="58"/>
              <w:ind w:left="26"/>
              <w:jc w:val="center"/>
              <w:rPr>
                <w:rFonts w:ascii="Times New Roman"/>
                <w:sz w:val="21"/>
                <w:lang w:eastAsia="en-US"/>
              </w:rPr>
            </w:pPr>
            <w:r>
              <w:rPr>
                <w:rFonts w:ascii="Times New Roman"/>
                <w:sz w:val="21"/>
                <w:lang w:eastAsia="en-US"/>
              </w:rPr>
              <w:t>7</w:t>
            </w: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58"/>
              <w:jc w:val="center"/>
              <w:rPr>
                <w:rFonts w:ascii="Times New Roman"/>
                <w:sz w:val="21"/>
                <w:lang w:eastAsia="zh-CN"/>
              </w:rPr>
            </w:pPr>
            <w:r>
              <w:rPr>
                <w:rFonts w:hint="eastAsia" w:ascii="Times New Roman"/>
                <w:sz w:val="21"/>
                <w:lang w:eastAsia="zh-CN"/>
              </w:rPr>
              <w:t>4</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hint="eastAsia" w:ascii="Times New Roman"/>
                <w:sz w:val="21"/>
                <w:lang w:eastAsia="en-US"/>
              </w:rPr>
              <w:t>28</w:t>
            </w:r>
          </w:p>
        </w:tc>
        <w:tc>
          <w:tcPr>
            <w:tcW w:w="1559" w:type="dxa"/>
            <w:tcBorders>
              <w:top w:val="single" w:color="000000" w:sz="6" w:space="0"/>
              <w:left w:val="single" w:color="000000" w:sz="6" w:space="0"/>
              <w:bottom w:val="single" w:color="000000" w:sz="6" w:space="0"/>
            </w:tcBorders>
            <w:vAlign w:val="center"/>
          </w:tcPr>
          <w:p>
            <w:pPr>
              <w:pStyle w:val="64"/>
              <w:spacing w:before="58"/>
              <w:ind w:right="848"/>
              <w:jc w:val="center"/>
              <w:rPr>
                <w:rFonts w:ascii="Times New Roman"/>
                <w:sz w:val="21"/>
                <w:lang w:eastAsia="zh-CN"/>
              </w:rPr>
            </w:pPr>
            <w:r>
              <w:rPr>
                <w:rFonts w:hint="eastAsia" w:ascii="Times New Roman"/>
                <w:sz w:val="21"/>
                <w:lang w:eastAsia="zh-CN"/>
              </w:rPr>
              <w:t xml:space="preserve">     5</w:t>
            </w:r>
          </w:p>
        </w:tc>
        <w:tc>
          <w:tcPr>
            <w:tcW w:w="1568" w:type="dxa"/>
            <w:tcBorders>
              <w:top w:val="single" w:color="000000" w:sz="6" w:space="0"/>
              <w:left w:val="single" w:color="000000" w:sz="6" w:space="0"/>
              <w:bottom w:val="single" w:color="000000" w:sz="6" w:space="0"/>
            </w:tcBorders>
            <w:vAlign w:val="center"/>
          </w:tcPr>
          <w:p>
            <w:pPr>
              <w:pStyle w:val="64"/>
              <w:spacing w:before="58"/>
              <w:ind w:right="848"/>
              <w:jc w:val="right"/>
              <w:rPr>
                <w:rFonts w:ascii="Times New Roman"/>
                <w:sz w:val="21"/>
                <w:lang w:eastAsia="zh-CN"/>
              </w:rPr>
            </w:pPr>
            <w:r>
              <w:rPr>
                <w:rFonts w:hint="eastAsia" w:ascii="Times New Roman"/>
                <w:sz w:val="21"/>
                <w:lang w:eastAsia="zh-CN"/>
              </w:rPr>
              <w:t>35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4" w:hRule="atLeast"/>
          <w:jc w:val="center"/>
        </w:trPr>
        <w:tc>
          <w:tcPr>
            <w:tcW w:w="1768" w:type="dxa"/>
            <w:tcBorders>
              <w:top w:val="single" w:color="000000" w:sz="6" w:space="0"/>
              <w:bottom w:val="single" w:color="000000" w:sz="6" w:space="0"/>
              <w:right w:val="single" w:color="000000" w:sz="6" w:space="0"/>
            </w:tcBorders>
            <w:vAlign w:val="center"/>
          </w:tcPr>
          <w:p>
            <w:pPr>
              <w:pStyle w:val="64"/>
              <w:spacing w:before="101"/>
              <w:ind w:left="362" w:right="339"/>
              <w:jc w:val="center"/>
              <w:rPr>
                <w:sz w:val="21"/>
                <w:lang w:eastAsia="en-US"/>
              </w:rPr>
            </w:pPr>
            <w:r>
              <w:rPr>
                <w:sz w:val="21"/>
                <w:lang w:eastAsia="en-US"/>
              </w:rPr>
              <w:t>实施难易程度</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64"/>
              <w:spacing w:before="111"/>
              <w:ind w:left="26"/>
              <w:jc w:val="center"/>
              <w:rPr>
                <w:rFonts w:ascii="Times New Roman"/>
                <w:sz w:val="21"/>
                <w:lang w:eastAsia="en-US"/>
              </w:rPr>
            </w:pPr>
            <w:r>
              <w:rPr>
                <w:rFonts w:ascii="Times New Roman"/>
                <w:sz w:val="21"/>
                <w:lang w:eastAsia="en-US"/>
              </w:rPr>
              <w:t>6</w:t>
            </w: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111"/>
              <w:jc w:val="center"/>
              <w:rPr>
                <w:rFonts w:ascii="Times New Roman"/>
                <w:sz w:val="21"/>
                <w:lang w:eastAsia="zh-CN"/>
              </w:rPr>
            </w:pPr>
            <w:r>
              <w:rPr>
                <w:rFonts w:ascii="Times New Roman"/>
                <w:sz w:val="21"/>
                <w:lang w:eastAsia="en-US"/>
              </w:rPr>
              <w:t>8</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ascii="Times New Roman"/>
                <w:sz w:val="21"/>
                <w:lang w:eastAsia="en-US"/>
              </w:rPr>
              <w:t>48</w:t>
            </w:r>
          </w:p>
        </w:tc>
        <w:tc>
          <w:tcPr>
            <w:tcW w:w="1559" w:type="dxa"/>
            <w:tcBorders>
              <w:top w:val="single" w:color="000000" w:sz="6" w:space="0"/>
              <w:left w:val="single" w:color="000000" w:sz="6" w:space="0"/>
              <w:bottom w:val="single" w:color="000000" w:sz="6" w:space="0"/>
            </w:tcBorders>
            <w:vAlign w:val="center"/>
          </w:tcPr>
          <w:p>
            <w:pPr>
              <w:pStyle w:val="64"/>
              <w:spacing w:before="111"/>
              <w:ind w:right="848"/>
              <w:jc w:val="center"/>
              <w:rPr>
                <w:rFonts w:ascii="Times New Roman"/>
                <w:sz w:val="21"/>
                <w:lang w:eastAsia="zh-CN"/>
              </w:rPr>
            </w:pPr>
            <w:r>
              <w:rPr>
                <w:rFonts w:hint="eastAsia" w:ascii="Times New Roman"/>
                <w:sz w:val="21"/>
                <w:lang w:eastAsia="zh-CN"/>
              </w:rPr>
              <w:t xml:space="preserve">     4</w:t>
            </w:r>
          </w:p>
        </w:tc>
        <w:tc>
          <w:tcPr>
            <w:tcW w:w="1568" w:type="dxa"/>
            <w:tcBorders>
              <w:top w:val="single" w:color="000000" w:sz="6" w:space="0"/>
              <w:left w:val="single" w:color="000000" w:sz="6" w:space="0"/>
              <w:bottom w:val="single" w:color="000000" w:sz="6" w:space="0"/>
            </w:tcBorders>
            <w:vAlign w:val="center"/>
          </w:tcPr>
          <w:p>
            <w:pPr>
              <w:pStyle w:val="64"/>
              <w:spacing w:before="111"/>
              <w:ind w:right="848"/>
              <w:jc w:val="right"/>
              <w:rPr>
                <w:rFonts w:ascii="Times New Roman"/>
                <w:sz w:val="21"/>
                <w:lang w:eastAsia="zh-CN"/>
              </w:rPr>
            </w:pPr>
            <w:r>
              <w:rPr>
                <w:rFonts w:hint="eastAsia" w:ascii="Times New Roman"/>
                <w:sz w:val="21"/>
                <w:lang w:eastAsia="zh-CN"/>
              </w:rPr>
              <w:t>24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6" w:hRule="atLeast"/>
          <w:jc w:val="center"/>
        </w:trPr>
        <w:tc>
          <w:tcPr>
            <w:tcW w:w="1768" w:type="dxa"/>
            <w:tcBorders>
              <w:top w:val="single" w:color="000000" w:sz="6" w:space="0"/>
              <w:bottom w:val="single" w:color="000000" w:sz="6" w:space="0"/>
              <w:right w:val="single" w:color="000000" w:sz="6" w:space="0"/>
            </w:tcBorders>
            <w:vAlign w:val="center"/>
          </w:tcPr>
          <w:p>
            <w:pPr>
              <w:pStyle w:val="64"/>
              <w:spacing w:before="109"/>
              <w:ind w:left="362" w:right="339"/>
              <w:jc w:val="center"/>
              <w:rPr>
                <w:sz w:val="21"/>
                <w:lang w:eastAsia="en-US"/>
              </w:rPr>
            </w:pPr>
            <w:r>
              <w:rPr>
                <w:sz w:val="21"/>
                <w:lang w:eastAsia="en-US"/>
              </w:rPr>
              <w:t>可持续发展前景</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64"/>
              <w:spacing w:before="115"/>
              <w:ind w:left="26"/>
              <w:jc w:val="center"/>
              <w:rPr>
                <w:rFonts w:ascii="Times New Roman"/>
                <w:sz w:val="21"/>
                <w:lang w:eastAsia="en-US"/>
              </w:rPr>
            </w:pPr>
            <w:r>
              <w:rPr>
                <w:rFonts w:ascii="Times New Roman"/>
                <w:sz w:val="21"/>
                <w:lang w:eastAsia="en-US"/>
              </w:rPr>
              <w:t>5</w:t>
            </w:r>
          </w:p>
        </w:tc>
        <w:tc>
          <w:tcPr>
            <w:tcW w:w="1418" w:type="dxa"/>
            <w:tcBorders>
              <w:top w:val="single" w:color="000000" w:sz="6" w:space="0"/>
              <w:left w:val="single" w:color="000000" w:sz="6" w:space="0"/>
              <w:bottom w:val="single" w:color="000000" w:sz="6" w:space="0"/>
              <w:right w:val="single" w:color="000000" w:sz="6" w:space="0"/>
            </w:tcBorders>
            <w:vAlign w:val="center"/>
          </w:tcPr>
          <w:p>
            <w:pPr>
              <w:pStyle w:val="64"/>
              <w:spacing w:before="115"/>
              <w:jc w:val="center"/>
              <w:rPr>
                <w:rFonts w:ascii="Times New Roman"/>
                <w:sz w:val="21"/>
                <w:lang w:eastAsia="en-US"/>
              </w:rPr>
            </w:pPr>
            <w:r>
              <w:rPr>
                <w:rFonts w:ascii="Times New Roman"/>
                <w:sz w:val="21"/>
                <w:lang w:eastAsia="en-US"/>
              </w:rPr>
              <w:t>8</w:t>
            </w:r>
          </w:p>
        </w:tc>
        <w:tc>
          <w:tcPr>
            <w:tcW w:w="1559" w:type="dxa"/>
            <w:tcBorders>
              <w:top w:val="single" w:color="000000" w:sz="6" w:space="0"/>
              <w:left w:val="single" w:color="000000" w:sz="6" w:space="0"/>
              <w:bottom w:val="single" w:color="000000" w:sz="6" w:space="0"/>
            </w:tcBorders>
            <w:vAlign w:val="center"/>
          </w:tcPr>
          <w:p>
            <w:pPr>
              <w:pStyle w:val="64"/>
              <w:spacing w:before="63"/>
              <w:jc w:val="center"/>
              <w:rPr>
                <w:rFonts w:ascii="Times New Roman"/>
                <w:sz w:val="21"/>
                <w:lang w:eastAsia="en-US"/>
              </w:rPr>
            </w:pPr>
            <w:r>
              <w:rPr>
                <w:rFonts w:ascii="Times New Roman"/>
                <w:sz w:val="21"/>
                <w:lang w:eastAsia="en-US"/>
              </w:rPr>
              <w:t>40</w:t>
            </w:r>
          </w:p>
        </w:tc>
        <w:tc>
          <w:tcPr>
            <w:tcW w:w="1559" w:type="dxa"/>
            <w:tcBorders>
              <w:top w:val="single" w:color="000000" w:sz="6" w:space="0"/>
              <w:left w:val="single" w:color="000000" w:sz="6" w:space="0"/>
              <w:bottom w:val="single" w:color="000000" w:sz="6" w:space="0"/>
            </w:tcBorders>
            <w:vAlign w:val="center"/>
          </w:tcPr>
          <w:p>
            <w:pPr>
              <w:pStyle w:val="64"/>
              <w:spacing w:before="115"/>
              <w:ind w:right="848"/>
              <w:jc w:val="center"/>
              <w:rPr>
                <w:rFonts w:ascii="Times New Roman"/>
                <w:sz w:val="21"/>
                <w:lang w:eastAsia="zh-CN"/>
              </w:rPr>
            </w:pPr>
            <w:r>
              <w:rPr>
                <w:rFonts w:hint="eastAsia" w:ascii="Times New Roman"/>
                <w:sz w:val="21"/>
                <w:lang w:eastAsia="zh-CN"/>
              </w:rPr>
              <w:t xml:space="preserve">     8</w:t>
            </w:r>
          </w:p>
        </w:tc>
        <w:tc>
          <w:tcPr>
            <w:tcW w:w="1568" w:type="dxa"/>
            <w:tcBorders>
              <w:top w:val="single" w:color="000000" w:sz="6" w:space="0"/>
              <w:left w:val="single" w:color="000000" w:sz="6" w:space="0"/>
              <w:bottom w:val="single" w:color="000000" w:sz="6" w:space="0"/>
            </w:tcBorders>
            <w:vAlign w:val="center"/>
          </w:tcPr>
          <w:p>
            <w:pPr>
              <w:pStyle w:val="64"/>
              <w:spacing w:before="115"/>
              <w:ind w:right="848"/>
              <w:jc w:val="right"/>
              <w:rPr>
                <w:rFonts w:ascii="Times New Roman"/>
                <w:sz w:val="21"/>
                <w:lang w:eastAsia="zh-CN"/>
              </w:rPr>
            </w:pPr>
            <w:r>
              <w:rPr>
                <w:rFonts w:hint="eastAsia" w:ascii="Times New Roman"/>
                <w:sz w:val="21"/>
                <w:lang w:eastAsia="zh-CN"/>
              </w:rPr>
              <w:t>40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jc w:val="center"/>
        </w:trPr>
        <w:tc>
          <w:tcPr>
            <w:tcW w:w="1768" w:type="dxa"/>
            <w:tcBorders>
              <w:top w:val="single" w:color="000000" w:sz="6" w:space="0"/>
              <w:right w:val="single" w:color="000000" w:sz="6" w:space="0"/>
            </w:tcBorders>
            <w:vAlign w:val="center"/>
          </w:tcPr>
          <w:p>
            <w:pPr>
              <w:pStyle w:val="64"/>
              <w:spacing w:before="109"/>
              <w:ind w:left="362" w:right="339"/>
              <w:jc w:val="center"/>
              <w:rPr>
                <w:sz w:val="21"/>
                <w:lang w:eastAsia="en-US"/>
              </w:rPr>
            </w:pPr>
            <w:r>
              <w:rPr>
                <w:sz w:val="21"/>
                <w:lang w:eastAsia="en-US"/>
              </w:rPr>
              <w:t>总分（</w:t>
            </w:r>
            <w:r>
              <w:rPr>
                <w:rFonts w:ascii="Times New Roman" w:hAnsi="Times New Roman" w:eastAsia="Times New Roman"/>
                <w:sz w:val="21"/>
                <w:lang w:eastAsia="en-US"/>
              </w:rPr>
              <w:t>∑W×R</w:t>
            </w:r>
            <w:r>
              <w:rPr>
                <w:sz w:val="21"/>
                <w:lang w:eastAsia="en-US"/>
              </w:rPr>
              <w:t>）</w:t>
            </w:r>
          </w:p>
        </w:tc>
        <w:tc>
          <w:tcPr>
            <w:tcW w:w="850" w:type="dxa"/>
            <w:tcBorders>
              <w:top w:val="single" w:color="000000" w:sz="6" w:space="0"/>
              <w:left w:val="single" w:color="000000" w:sz="6" w:space="0"/>
              <w:right w:val="single" w:color="000000" w:sz="6" w:space="0"/>
            </w:tcBorders>
            <w:vAlign w:val="center"/>
          </w:tcPr>
          <w:p>
            <w:pPr>
              <w:pStyle w:val="64"/>
              <w:spacing w:before="118"/>
              <w:ind w:left="27"/>
              <w:jc w:val="center"/>
              <w:rPr>
                <w:rFonts w:ascii="Times New Roman"/>
                <w:sz w:val="21"/>
                <w:lang w:eastAsia="en-US"/>
              </w:rPr>
            </w:pPr>
            <w:r>
              <w:rPr>
                <w:rFonts w:ascii="Times New Roman"/>
                <w:sz w:val="21"/>
                <w:lang w:eastAsia="en-US"/>
              </w:rPr>
              <w:t>/</w:t>
            </w:r>
          </w:p>
        </w:tc>
        <w:tc>
          <w:tcPr>
            <w:tcW w:w="2977" w:type="dxa"/>
            <w:gridSpan w:val="2"/>
            <w:tcBorders>
              <w:top w:val="single" w:color="000000" w:sz="6" w:space="0"/>
              <w:left w:val="single" w:color="000000" w:sz="6" w:space="0"/>
            </w:tcBorders>
            <w:vAlign w:val="center"/>
          </w:tcPr>
          <w:p>
            <w:pPr>
              <w:pStyle w:val="64"/>
              <w:spacing w:before="118"/>
              <w:ind w:right="1780"/>
              <w:jc w:val="center"/>
              <w:rPr>
                <w:rFonts w:ascii="Times New Roman"/>
                <w:sz w:val="21"/>
                <w:lang w:eastAsia="zh-CN"/>
              </w:rPr>
            </w:pPr>
            <w:r>
              <w:rPr>
                <w:rFonts w:hint="eastAsia" w:ascii="Times New Roman"/>
                <w:sz w:val="21"/>
                <w:lang w:eastAsia="zh-CN"/>
              </w:rPr>
              <w:t xml:space="preserve">        </w:t>
            </w:r>
            <w:r>
              <w:rPr>
                <w:rFonts w:ascii="Times New Roman"/>
                <w:sz w:val="21"/>
                <w:lang w:eastAsia="en-US"/>
              </w:rPr>
              <w:t>2</w:t>
            </w:r>
            <w:r>
              <w:rPr>
                <w:rFonts w:hint="eastAsia" w:ascii="Times New Roman"/>
                <w:sz w:val="21"/>
                <w:lang w:eastAsia="zh-CN"/>
              </w:rPr>
              <w:t>94</w:t>
            </w:r>
          </w:p>
        </w:tc>
        <w:tc>
          <w:tcPr>
            <w:tcW w:w="3127" w:type="dxa"/>
            <w:gridSpan w:val="2"/>
            <w:tcBorders>
              <w:top w:val="single" w:color="000000" w:sz="6" w:space="0"/>
              <w:left w:val="single" w:color="000000" w:sz="6" w:space="0"/>
            </w:tcBorders>
            <w:vAlign w:val="center"/>
          </w:tcPr>
          <w:p>
            <w:pPr>
              <w:pStyle w:val="64"/>
              <w:spacing w:before="118"/>
              <w:ind w:right="1780"/>
              <w:jc w:val="center"/>
              <w:rPr>
                <w:rFonts w:ascii="Times New Roman"/>
                <w:sz w:val="21"/>
                <w:lang w:eastAsia="zh-CN"/>
              </w:rPr>
            </w:pPr>
            <w:r>
              <w:rPr>
                <w:rFonts w:hint="eastAsia" w:ascii="Times New Roman"/>
                <w:sz w:val="21"/>
                <w:lang w:eastAsia="zh-CN"/>
              </w:rPr>
              <w:t xml:space="preserve">         281</w:t>
            </w:r>
          </w:p>
        </w:tc>
      </w:tr>
    </w:tbl>
    <w:p>
      <w:pPr>
        <w:pStyle w:val="42"/>
        <w:ind w:firstLine="480" w:firstLineChars="200"/>
        <w:jc w:val="left"/>
        <w:rPr>
          <w:rFonts w:hint="eastAsia" w:hAnsi="Times New Roman" w:eastAsia="宋体"/>
          <w:szCs w:val="24"/>
        </w:rPr>
      </w:pPr>
      <w:r>
        <w:rPr>
          <w:rFonts w:hint="eastAsia" w:hAnsi="Times New Roman" w:eastAsia="宋体"/>
          <w:szCs w:val="24"/>
        </w:rPr>
        <w:t>从上表中的权重总分可以看出，方案“</w:t>
      </w:r>
      <w:r>
        <w:rPr>
          <w:rFonts w:hint="eastAsia"/>
          <w:lang w:val="en-US" w:eastAsia="zh-CN"/>
        </w:rPr>
        <w:t>F2-2</w:t>
      </w:r>
      <w:r>
        <w:rPr>
          <w:rFonts w:ascii="Times New Roman" w:hAnsi="Times New Roman" w:eastAsia="宋体" w:cs="Times New Roman"/>
          <w:kern w:val="2"/>
          <w:sz w:val="21"/>
          <w:szCs w:val="21"/>
          <w:lang w:val="en-US" w:eastAsia="zh-CN" w:bidi="ar-SA"/>
        </w:rPr>
        <w:t>：</w:t>
      </w:r>
      <w:r>
        <w:rPr>
          <w:rFonts w:hint="eastAsia" w:eastAsia="宋体"/>
          <w:snapToGrid w:val="0"/>
          <w:color w:val="auto"/>
          <w:kern w:val="24"/>
          <w:lang w:eastAsia="zh-CN"/>
        </w:rPr>
        <w:t>更换牵引链条</w:t>
      </w:r>
      <w:r>
        <w:rPr>
          <w:rFonts w:hint="eastAsia" w:hAnsi="Times New Roman" w:eastAsia="宋体"/>
          <w:szCs w:val="24"/>
        </w:rPr>
        <w:t>”得分高达</w:t>
      </w:r>
      <w:r>
        <w:rPr>
          <w:rFonts w:hint="eastAsia" w:hAnsi="Times New Roman" w:eastAsia="宋体"/>
          <w:szCs w:val="24"/>
          <w:lang w:val="en-US" w:eastAsia="zh-CN"/>
        </w:rPr>
        <w:t>294</w:t>
      </w:r>
      <w:r>
        <w:rPr>
          <w:rFonts w:hint="eastAsia" w:hAnsi="Times New Roman" w:eastAsia="宋体"/>
          <w:szCs w:val="24"/>
        </w:rPr>
        <w:t>，</w:t>
      </w:r>
      <w:r>
        <w:rPr>
          <w:rFonts w:hAnsi="Times New Roman" w:eastAsia="宋体"/>
          <w:szCs w:val="24"/>
        </w:rPr>
        <w:t>方案</w:t>
      </w:r>
      <w:r>
        <w:rPr>
          <w:rFonts w:hint="eastAsia" w:hAnsi="Times New Roman" w:eastAsia="宋体"/>
          <w:szCs w:val="24"/>
        </w:rPr>
        <w:t>“</w:t>
      </w:r>
      <w:r>
        <w:rPr>
          <w:rFonts w:hAnsi="Times New Roman" w:eastAsia="宋体"/>
          <w:szCs w:val="24"/>
        </w:rPr>
        <w:t>F</w:t>
      </w:r>
      <w:r>
        <w:rPr>
          <w:rFonts w:hint="eastAsia" w:hAnsi="Times New Roman" w:eastAsia="宋体"/>
          <w:szCs w:val="24"/>
        </w:rPr>
        <w:t>2-4</w:t>
      </w:r>
      <w:r>
        <w:rPr>
          <w:rFonts w:hAnsi="Times New Roman" w:eastAsia="宋体"/>
          <w:szCs w:val="24"/>
        </w:rPr>
        <w:t>：</w:t>
      </w:r>
      <w:r>
        <w:rPr>
          <w:rFonts w:hint="eastAsia" w:hAnsi="Times New Roman" w:eastAsia="宋体"/>
          <w:szCs w:val="24"/>
        </w:rPr>
        <w:t>自动混料系统”</w:t>
      </w:r>
      <w:r>
        <w:rPr>
          <w:rFonts w:hAnsi="Times New Roman" w:eastAsia="宋体"/>
          <w:szCs w:val="24"/>
        </w:rPr>
        <w:t>得分为 2</w:t>
      </w:r>
      <w:r>
        <w:rPr>
          <w:rFonts w:hint="eastAsia" w:hAnsi="Times New Roman" w:eastAsia="宋体"/>
          <w:szCs w:val="24"/>
        </w:rPr>
        <w:t>81</w:t>
      </w:r>
      <w:r>
        <w:rPr>
          <w:rFonts w:hint="eastAsia" w:hAnsi="Times New Roman" w:eastAsia="宋体"/>
          <w:szCs w:val="24"/>
          <w:lang w:eastAsia="zh-CN"/>
        </w:rPr>
        <w:t>，</w:t>
      </w:r>
      <w:r>
        <w:rPr>
          <w:rFonts w:hint="eastAsia" w:hAnsi="Times New Roman" w:eastAsia="宋体"/>
          <w:szCs w:val="24"/>
          <w:lang w:val="en-US" w:eastAsia="zh-CN"/>
        </w:rPr>
        <w:t>两个方案得分相差不大，</w:t>
      </w:r>
      <w:r>
        <w:rPr>
          <w:rFonts w:hint="eastAsia" w:hAnsi="Times New Roman" w:eastAsia="宋体"/>
          <w:szCs w:val="24"/>
        </w:rPr>
        <w:t>方案在提高资源利用率、提高自动化水平及可持续发展前景等方面具有比较显著的效果。因此，将</w:t>
      </w:r>
      <w:r>
        <w:rPr>
          <w:rFonts w:hint="eastAsia" w:hAnsi="Times New Roman" w:eastAsia="宋体"/>
          <w:szCs w:val="24"/>
          <w:lang w:val="en-US" w:eastAsia="zh-CN"/>
        </w:rPr>
        <w:t>两个</w:t>
      </w:r>
      <w:r>
        <w:rPr>
          <w:rFonts w:hint="eastAsia" w:hAnsi="Times New Roman" w:eastAsia="宋体"/>
          <w:szCs w:val="24"/>
        </w:rPr>
        <w:t>方案作为本轮审核预推荐的中/高方案，在经过进一步的技术、经济和环境等角度的可行性分析后最终确定是否予以实施。</w:t>
      </w:r>
    </w:p>
    <w:p>
      <w:pPr>
        <w:pStyle w:val="4"/>
        <w:widowControl w:val="0"/>
        <w:spacing w:beforeLines="50" w:after="0" w:line="360" w:lineRule="auto"/>
        <w:rPr>
          <w:rFonts w:ascii="Times New Roman" w:hAnsi="Times New Roman" w:eastAsia="宋体" w:cs="Courier New"/>
          <w:sz w:val="28"/>
          <w:szCs w:val="30"/>
        </w:rPr>
      </w:pPr>
      <w:bookmarkStart w:id="220" w:name="_Toc499903496"/>
      <w:bookmarkStart w:id="221" w:name="_Toc13008"/>
      <w:bookmarkStart w:id="222" w:name="_Toc525138271"/>
      <w:bookmarkStart w:id="223" w:name="_Toc525138415"/>
      <w:bookmarkStart w:id="224" w:name="_Toc499815432"/>
      <w:r>
        <w:rPr>
          <w:rFonts w:hint="eastAsia" w:ascii="Times New Roman" w:hAnsi="Times New Roman" w:eastAsia="宋体" w:cs="Courier New"/>
          <w:sz w:val="28"/>
          <w:szCs w:val="30"/>
        </w:rPr>
        <w:t>5.2.3方案筛选结果汇总</w:t>
      </w:r>
      <w:bookmarkEnd w:id="220"/>
      <w:bookmarkEnd w:id="221"/>
      <w:bookmarkEnd w:id="222"/>
      <w:bookmarkEnd w:id="223"/>
      <w:bookmarkEnd w:id="224"/>
    </w:p>
    <w:p>
      <w:pPr>
        <w:spacing w:before="120"/>
        <w:ind w:firstLine="480"/>
        <w:rPr>
          <w:rFonts w:ascii="Times New Roman" w:hAnsi="宋体" w:eastAsia="宋体"/>
          <w:sz w:val="24"/>
          <w:szCs w:val="24"/>
        </w:rPr>
      </w:pPr>
      <w:r>
        <w:rPr>
          <w:rFonts w:hint="eastAsia" w:ascii="Times New Roman" w:hAnsi="宋体" w:eastAsia="宋体"/>
          <w:sz w:val="24"/>
          <w:szCs w:val="24"/>
        </w:rPr>
        <w:t>根据上述对无低费和中高费方案的筛选，筛选结果如下表所示：</w:t>
      </w:r>
    </w:p>
    <w:p>
      <w:pPr>
        <w:pStyle w:val="42"/>
        <w:adjustRightInd w:val="0"/>
        <w:snapToGrid w:val="0"/>
        <w:spacing w:before="120"/>
        <w:ind w:firstLine="482" w:firstLineChars="200"/>
        <w:rPr>
          <w:rFonts w:eastAsia="宋体"/>
          <w:b/>
          <w:szCs w:val="24"/>
        </w:rPr>
      </w:pPr>
      <w:r>
        <w:rPr>
          <w:rFonts w:eastAsia="宋体"/>
          <w:b/>
          <w:szCs w:val="24"/>
        </w:rPr>
        <w:t>表</w:t>
      </w:r>
      <w:r>
        <w:rPr>
          <w:rFonts w:hint="eastAsia" w:eastAsia="宋体"/>
          <w:b/>
          <w:szCs w:val="24"/>
        </w:rPr>
        <w:t>5</w:t>
      </w:r>
      <w:r>
        <w:rPr>
          <w:rFonts w:eastAsia="宋体"/>
          <w:b/>
          <w:szCs w:val="24"/>
        </w:rPr>
        <w:t>-</w:t>
      </w:r>
      <w:r>
        <w:rPr>
          <w:rFonts w:hint="eastAsia" w:eastAsia="宋体"/>
          <w:b/>
          <w:szCs w:val="24"/>
        </w:rPr>
        <w:t xml:space="preserve">6  </w:t>
      </w:r>
      <w:r>
        <w:rPr>
          <w:rFonts w:eastAsia="宋体"/>
          <w:b/>
          <w:szCs w:val="24"/>
        </w:rPr>
        <w:t>方案筛选</w:t>
      </w:r>
      <w:r>
        <w:rPr>
          <w:rFonts w:hint="eastAsia" w:eastAsia="宋体"/>
          <w:b/>
          <w:szCs w:val="24"/>
        </w:rPr>
        <w:t>结果汇总表</w:t>
      </w:r>
    </w:p>
    <w:tbl>
      <w:tblPr>
        <w:tblStyle w:val="62"/>
        <w:tblW w:w="8952"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43"/>
        <w:gridCol w:w="743"/>
        <w:gridCol w:w="2948"/>
        <w:gridCol w:w="1134"/>
        <w:gridCol w:w="1134"/>
        <w:gridCol w:w="1134"/>
        <w:gridCol w:w="111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78" w:hRule="atLeast"/>
          <w:jc w:val="center"/>
        </w:trPr>
        <w:tc>
          <w:tcPr>
            <w:tcW w:w="743" w:type="dxa"/>
            <w:tcBorders>
              <w:bottom w:val="single" w:color="000000" w:sz="6" w:space="0"/>
              <w:right w:val="single" w:color="000000" w:sz="6" w:space="0"/>
            </w:tcBorders>
            <w:vAlign w:val="center"/>
          </w:tcPr>
          <w:p>
            <w:pPr>
              <w:pStyle w:val="64"/>
              <w:spacing w:before="4"/>
              <w:jc w:val="center"/>
              <w:rPr>
                <w:rFonts w:ascii="楷体"/>
                <w:b/>
                <w:sz w:val="21"/>
                <w:szCs w:val="21"/>
                <w:lang w:eastAsia="zh-CN"/>
              </w:rPr>
            </w:pPr>
            <w:r>
              <w:rPr>
                <w:rFonts w:hint="eastAsia" w:ascii="楷体"/>
                <w:b/>
                <w:sz w:val="21"/>
                <w:szCs w:val="21"/>
                <w:lang w:eastAsia="zh-CN"/>
              </w:rPr>
              <w:t>方案分类</w:t>
            </w:r>
          </w:p>
        </w:tc>
        <w:tc>
          <w:tcPr>
            <w:tcW w:w="743" w:type="dxa"/>
            <w:tcBorders>
              <w:bottom w:val="single" w:color="000000" w:sz="6" w:space="0"/>
              <w:right w:val="single" w:color="000000" w:sz="6" w:space="0"/>
            </w:tcBorders>
            <w:vAlign w:val="center"/>
          </w:tcPr>
          <w:p>
            <w:pPr>
              <w:pStyle w:val="64"/>
              <w:spacing w:before="4"/>
              <w:jc w:val="center"/>
              <w:rPr>
                <w:rFonts w:ascii="楷体"/>
                <w:b/>
                <w:sz w:val="21"/>
                <w:szCs w:val="21"/>
                <w:lang w:eastAsia="en-US"/>
              </w:rPr>
            </w:pPr>
          </w:p>
          <w:p>
            <w:pPr>
              <w:pStyle w:val="64"/>
              <w:ind w:right="134"/>
              <w:jc w:val="center"/>
              <w:rPr>
                <w:sz w:val="21"/>
                <w:szCs w:val="21"/>
                <w:lang w:eastAsia="en-US"/>
              </w:rPr>
            </w:pPr>
            <w:r>
              <w:rPr>
                <w:sz w:val="21"/>
                <w:szCs w:val="21"/>
                <w:lang w:eastAsia="en-US"/>
              </w:rPr>
              <w:t>序号</w:t>
            </w:r>
          </w:p>
        </w:tc>
        <w:tc>
          <w:tcPr>
            <w:tcW w:w="2948" w:type="dxa"/>
            <w:tcBorders>
              <w:left w:val="single" w:color="000000" w:sz="6" w:space="0"/>
              <w:bottom w:val="single" w:color="000000" w:sz="6" w:space="0"/>
              <w:right w:val="single" w:color="000000" w:sz="6" w:space="0"/>
            </w:tcBorders>
            <w:vAlign w:val="center"/>
          </w:tcPr>
          <w:p>
            <w:pPr>
              <w:pStyle w:val="64"/>
              <w:spacing w:before="4"/>
              <w:jc w:val="center"/>
              <w:rPr>
                <w:rFonts w:ascii="楷体"/>
                <w:b/>
                <w:sz w:val="21"/>
                <w:szCs w:val="21"/>
                <w:lang w:eastAsia="en-US"/>
              </w:rPr>
            </w:pPr>
          </w:p>
          <w:p>
            <w:pPr>
              <w:pStyle w:val="64"/>
              <w:ind w:left="696" w:right="666"/>
              <w:jc w:val="center"/>
              <w:rPr>
                <w:sz w:val="21"/>
                <w:szCs w:val="21"/>
                <w:lang w:eastAsia="en-US"/>
              </w:rPr>
            </w:pPr>
            <w:r>
              <w:rPr>
                <w:sz w:val="21"/>
                <w:szCs w:val="21"/>
                <w:lang w:eastAsia="en-US"/>
              </w:rPr>
              <w:t>方 案 内 容</w:t>
            </w:r>
          </w:p>
        </w:tc>
        <w:tc>
          <w:tcPr>
            <w:tcW w:w="1134" w:type="dxa"/>
            <w:tcBorders>
              <w:left w:val="single" w:color="000000" w:sz="6" w:space="0"/>
              <w:bottom w:val="single" w:color="000000" w:sz="6" w:space="0"/>
              <w:right w:val="single" w:color="000000" w:sz="6" w:space="0"/>
            </w:tcBorders>
            <w:vAlign w:val="center"/>
          </w:tcPr>
          <w:p>
            <w:pPr>
              <w:pStyle w:val="64"/>
              <w:spacing w:before="1" w:line="322" w:lineRule="exact"/>
              <w:ind w:left="243" w:right="217" w:firstLine="106"/>
              <w:jc w:val="center"/>
              <w:rPr>
                <w:sz w:val="21"/>
                <w:szCs w:val="21"/>
                <w:lang w:eastAsia="en-US"/>
              </w:rPr>
            </w:pPr>
            <w:r>
              <w:rPr>
                <w:sz w:val="21"/>
                <w:szCs w:val="21"/>
                <w:lang w:eastAsia="en-US"/>
              </w:rPr>
              <w:t>技术可行性</w:t>
            </w:r>
          </w:p>
        </w:tc>
        <w:tc>
          <w:tcPr>
            <w:tcW w:w="1134" w:type="dxa"/>
            <w:tcBorders>
              <w:left w:val="single" w:color="000000" w:sz="6" w:space="0"/>
              <w:bottom w:val="single" w:color="000000" w:sz="6" w:space="0"/>
              <w:right w:val="single" w:color="000000" w:sz="6" w:space="0"/>
            </w:tcBorders>
            <w:vAlign w:val="center"/>
          </w:tcPr>
          <w:p>
            <w:pPr>
              <w:pStyle w:val="64"/>
              <w:spacing w:before="1" w:line="322" w:lineRule="exact"/>
              <w:ind w:left="217" w:right="186" w:firstLine="105"/>
              <w:jc w:val="center"/>
              <w:rPr>
                <w:sz w:val="21"/>
                <w:szCs w:val="21"/>
                <w:lang w:eastAsia="en-US"/>
              </w:rPr>
            </w:pPr>
            <w:r>
              <w:rPr>
                <w:sz w:val="21"/>
                <w:szCs w:val="21"/>
                <w:lang w:eastAsia="en-US"/>
              </w:rPr>
              <w:t>环境可行性</w:t>
            </w:r>
          </w:p>
        </w:tc>
        <w:tc>
          <w:tcPr>
            <w:tcW w:w="1134" w:type="dxa"/>
            <w:tcBorders>
              <w:left w:val="single" w:color="000000" w:sz="6" w:space="0"/>
              <w:bottom w:val="single" w:color="000000" w:sz="6" w:space="0"/>
              <w:right w:val="single" w:color="000000" w:sz="6" w:space="0"/>
            </w:tcBorders>
            <w:vAlign w:val="center"/>
          </w:tcPr>
          <w:p>
            <w:pPr>
              <w:pStyle w:val="64"/>
              <w:spacing w:before="1" w:line="322" w:lineRule="exact"/>
              <w:ind w:left="216" w:right="189" w:firstLine="105"/>
              <w:jc w:val="center"/>
              <w:rPr>
                <w:sz w:val="21"/>
                <w:szCs w:val="21"/>
                <w:lang w:eastAsia="en-US"/>
              </w:rPr>
            </w:pPr>
            <w:r>
              <w:rPr>
                <w:sz w:val="21"/>
                <w:szCs w:val="21"/>
                <w:lang w:eastAsia="en-US"/>
              </w:rPr>
              <w:t>经济可行性</w:t>
            </w:r>
          </w:p>
        </w:tc>
        <w:tc>
          <w:tcPr>
            <w:tcW w:w="1116" w:type="dxa"/>
            <w:tcBorders>
              <w:left w:val="single" w:color="000000" w:sz="6" w:space="0"/>
              <w:bottom w:val="single" w:color="000000" w:sz="6" w:space="0"/>
            </w:tcBorders>
            <w:vAlign w:val="center"/>
          </w:tcPr>
          <w:p>
            <w:pPr>
              <w:pStyle w:val="64"/>
              <w:spacing w:before="1" w:line="322" w:lineRule="exact"/>
              <w:ind w:left="204" w:right="167" w:firstLine="105"/>
              <w:jc w:val="center"/>
              <w:rPr>
                <w:sz w:val="21"/>
                <w:szCs w:val="21"/>
                <w:lang w:eastAsia="en-US"/>
              </w:rPr>
            </w:pPr>
            <w:r>
              <w:rPr>
                <w:sz w:val="21"/>
                <w:szCs w:val="21"/>
                <w:lang w:eastAsia="en-US"/>
              </w:rPr>
              <w:t>综合可行性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4" w:hRule="atLeast"/>
          <w:jc w:val="center"/>
        </w:trPr>
        <w:tc>
          <w:tcPr>
            <w:tcW w:w="743" w:type="dxa"/>
            <w:vMerge w:val="restart"/>
            <w:tcBorders>
              <w:top w:val="single" w:color="000000" w:sz="6" w:space="0"/>
              <w:right w:val="single" w:color="000000" w:sz="6" w:space="0"/>
            </w:tcBorders>
            <w:vAlign w:val="center"/>
          </w:tcPr>
          <w:p>
            <w:pPr>
              <w:pStyle w:val="64"/>
              <w:spacing w:before="58"/>
              <w:ind w:right="151"/>
              <w:jc w:val="center"/>
              <w:rPr>
                <w:rFonts w:ascii="Times New Roman"/>
                <w:sz w:val="21"/>
                <w:szCs w:val="21"/>
                <w:lang w:eastAsia="zh-CN"/>
              </w:rPr>
            </w:pPr>
            <w:r>
              <w:rPr>
                <w:rFonts w:hint="eastAsia" w:ascii="Times New Roman"/>
                <w:sz w:val="21"/>
                <w:szCs w:val="21"/>
                <w:lang w:eastAsia="zh-CN"/>
              </w:rPr>
              <w:t>无低费方案</w:t>
            </w: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rFonts w:ascii="Times New Roman"/>
                <w:sz w:val="21"/>
                <w:szCs w:val="21"/>
                <w:lang w:eastAsia="en-US"/>
              </w:rPr>
            </w:pPr>
            <w:r>
              <w:rPr>
                <w:rFonts w:cs="Times New Roman" w:eastAsiaTheme="minorEastAsia"/>
                <w:sz w:val="21"/>
                <w:szCs w:val="21"/>
              </w:rPr>
              <w:t>F1-1</w:t>
            </w:r>
          </w:p>
        </w:tc>
        <w:tc>
          <w:tcPr>
            <w:tcW w:w="2948" w:type="dxa"/>
            <w:tcBorders>
              <w:top w:val="single" w:color="000000" w:sz="6" w:space="0"/>
              <w:left w:val="single" w:color="000000" w:sz="6" w:space="0"/>
              <w:bottom w:val="single" w:color="000000" w:sz="6" w:space="0"/>
              <w:right w:val="single" w:color="000000" w:sz="6" w:space="0"/>
            </w:tcBorders>
            <w:vAlign w:val="center"/>
          </w:tcPr>
          <w:p>
            <w:pPr>
              <w:autoSpaceDE w:val="0"/>
              <w:autoSpaceDN w:val="0"/>
              <w:spacing w:beforeLines="20" w:afterLines="20"/>
              <w:jc w:val="center"/>
              <w:rPr>
                <w:sz w:val="21"/>
                <w:szCs w:val="21"/>
                <w:lang w:eastAsia="en-US"/>
              </w:rPr>
            </w:pPr>
            <w:r>
              <w:rPr>
                <w:rFonts w:ascii="Times New Roman" w:cs="Times New Roman" w:hAnsiTheme="minorEastAsia" w:eastAsiaTheme="minorEastAsia"/>
                <w:sz w:val="21"/>
                <w:szCs w:val="21"/>
              </w:rPr>
              <w:t>劳保用品配备</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3" w:hRule="atLeast"/>
          <w:jc w:val="center"/>
        </w:trPr>
        <w:tc>
          <w:tcPr>
            <w:tcW w:w="743" w:type="dxa"/>
            <w:vMerge w:val="continue"/>
            <w:tcBorders>
              <w:right w:val="single" w:color="000000" w:sz="6" w:space="0"/>
            </w:tcBorders>
            <w:vAlign w:val="center"/>
          </w:tcPr>
          <w:p>
            <w:pPr>
              <w:pStyle w:val="64"/>
              <w:spacing w:before="58"/>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rFonts w:ascii="Times New Roman"/>
                <w:sz w:val="21"/>
                <w:szCs w:val="21"/>
                <w:lang w:eastAsia="en-US"/>
              </w:rPr>
            </w:pPr>
            <w:r>
              <w:rPr>
                <w:rFonts w:cs="Times New Roman" w:eastAsiaTheme="minorEastAsia"/>
                <w:sz w:val="21"/>
                <w:szCs w:val="21"/>
              </w:rPr>
              <w:t>F1-2</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spacing w:beforeLines="50" w:after="20" w:line="240" w:lineRule="auto"/>
              <w:rPr>
                <w:sz w:val="21"/>
                <w:szCs w:val="21"/>
                <w:lang w:eastAsia="en-US"/>
              </w:rPr>
            </w:pPr>
            <w:r>
              <w:rPr>
                <w:rFonts w:cs="Times New Roman" w:hAnsiTheme="minorEastAsia" w:eastAsiaTheme="minorEastAsia"/>
                <w:snapToGrid w:val="0"/>
                <w:kern w:val="24"/>
                <w:sz w:val="21"/>
                <w:szCs w:val="21"/>
              </w:rPr>
              <w:t>规范仓库管理</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1" w:hRule="atLeast"/>
          <w:jc w:val="center"/>
        </w:trPr>
        <w:tc>
          <w:tcPr>
            <w:tcW w:w="743" w:type="dxa"/>
            <w:vMerge w:val="continue"/>
            <w:tcBorders>
              <w:right w:val="single" w:color="000000" w:sz="6" w:space="0"/>
            </w:tcBorders>
            <w:vAlign w:val="center"/>
          </w:tcPr>
          <w:p>
            <w:pPr>
              <w:pStyle w:val="64"/>
              <w:spacing w:before="55"/>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rFonts w:ascii="Times New Roman"/>
                <w:sz w:val="21"/>
                <w:szCs w:val="21"/>
                <w:lang w:eastAsia="en-US"/>
              </w:rPr>
            </w:pPr>
            <w:r>
              <w:rPr>
                <w:rFonts w:cs="Times New Roman" w:eastAsiaTheme="minorEastAsia"/>
                <w:sz w:val="21"/>
                <w:szCs w:val="21"/>
              </w:rPr>
              <w:t>F1-3</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sz w:val="21"/>
                <w:szCs w:val="21"/>
                <w:lang w:eastAsia="en-US"/>
              </w:rPr>
            </w:pPr>
            <w:r>
              <w:rPr>
                <w:rFonts w:cs="Times New Roman" w:hAnsiTheme="minorEastAsia" w:eastAsiaTheme="minorEastAsia"/>
                <w:sz w:val="21"/>
                <w:szCs w:val="21"/>
              </w:rPr>
              <w:t>优化车间布局</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2" w:hRule="atLeast"/>
          <w:jc w:val="center"/>
        </w:trPr>
        <w:tc>
          <w:tcPr>
            <w:tcW w:w="743" w:type="dxa"/>
            <w:vMerge w:val="continue"/>
            <w:tcBorders>
              <w:right w:val="single" w:color="000000" w:sz="6" w:space="0"/>
            </w:tcBorders>
            <w:vAlign w:val="center"/>
          </w:tcPr>
          <w:p>
            <w:pPr>
              <w:pStyle w:val="64"/>
              <w:spacing w:before="79"/>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rFonts w:ascii="Times New Roman"/>
                <w:sz w:val="21"/>
                <w:szCs w:val="21"/>
                <w:lang w:eastAsia="en-US"/>
              </w:rPr>
            </w:pPr>
            <w:r>
              <w:rPr>
                <w:rFonts w:cs="Times New Roman" w:eastAsiaTheme="minorEastAsia"/>
                <w:sz w:val="21"/>
                <w:szCs w:val="21"/>
              </w:rPr>
              <w:t>F1-4</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pacing w:beforeLines="20" w:line="240" w:lineRule="auto"/>
              <w:rPr>
                <w:sz w:val="21"/>
                <w:szCs w:val="21"/>
                <w:lang w:eastAsia="en-US"/>
              </w:rPr>
            </w:pPr>
            <w:r>
              <w:rPr>
                <w:rFonts w:cs="Times New Roman" w:hAnsiTheme="minorEastAsia" w:eastAsiaTheme="minorEastAsia"/>
                <w:sz w:val="21"/>
                <w:szCs w:val="21"/>
              </w:rPr>
              <w:t>加强空压机等设备的维护保养</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3" w:hRule="atLeast"/>
          <w:jc w:val="center"/>
        </w:trPr>
        <w:tc>
          <w:tcPr>
            <w:tcW w:w="743" w:type="dxa"/>
            <w:vMerge w:val="continue"/>
            <w:tcBorders>
              <w:right w:val="single" w:color="000000" w:sz="6" w:space="0"/>
            </w:tcBorders>
            <w:vAlign w:val="center"/>
          </w:tcPr>
          <w:p>
            <w:pPr>
              <w:pStyle w:val="64"/>
              <w:spacing w:before="58"/>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rFonts w:ascii="Times New Roman"/>
                <w:sz w:val="21"/>
                <w:szCs w:val="21"/>
                <w:lang w:eastAsia="en-US"/>
              </w:rPr>
            </w:pPr>
            <w:r>
              <w:rPr>
                <w:rFonts w:cs="Times New Roman" w:eastAsiaTheme="minorEastAsia"/>
                <w:sz w:val="21"/>
                <w:szCs w:val="21"/>
              </w:rPr>
              <w:t>F1-5</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pacing w:beforeLines="20" w:line="240" w:lineRule="auto"/>
              <w:rPr>
                <w:sz w:val="21"/>
                <w:szCs w:val="21"/>
                <w:lang w:eastAsia="zh-CN"/>
              </w:rPr>
            </w:pPr>
            <w:r>
              <w:rPr>
                <w:rFonts w:hint="eastAsia" w:cs="Times New Roman" w:hAnsiTheme="minorEastAsia" w:eastAsiaTheme="minorEastAsia"/>
                <w:sz w:val="21"/>
                <w:szCs w:val="21"/>
              </w:rPr>
              <w:t>编织袋利用</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4" w:hRule="atLeast"/>
          <w:jc w:val="center"/>
        </w:trPr>
        <w:tc>
          <w:tcPr>
            <w:tcW w:w="743" w:type="dxa"/>
            <w:vMerge w:val="continue"/>
            <w:tcBorders>
              <w:right w:val="single" w:color="000000" w:sz="6" w:space="0"/>
            </w:tcBorders>
            <w:vAlign w:val="center"/>
          </w:tcPr>
          <w:p>
            <w:pPr>
              <w:pStyle w:val="64"/>
              <w:spacing w:before="58"/>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rFonts w:ascii="Times New Roman"/>
                <w:sz w:val="21"/>
                <w:szCs w:val="21"/>
                <w:lang w:eastAsia="en-US"/>
              </w:rPr>
            </w:pPr>
            <w:r>
              <w:rPr>
                <w:rFonts w:cs="Times New Roman" w:eastAsiaTheme="minorEastAsia"/>
                <w:sz w:val="21"/>
                <w:szCs w:val="21"/>
              </w:rPr>
              <w:t>F1-6</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spacing w:beforeLines="20" w:afterLines="20" w:line="240" w:lineRule="auto"/>
              <w:rPr>
                <w:sz w:val="21"/>
                <w:szCs w:val="21"/>
                <w:lang w:eastAsia="en-US"/>
              </w:rPr>
            </w:pPr>
            <w:r>
              <w:rPr>
                <w:rFonts w:cs="Times New Roman" w:hAnsiTheme="minorEastAsia" w:eastAsiaTheme="minorEastAsia"/>
                <w:sz w:val="21"/>
                <w:szCs w:val="21"/>
              </w:rPr>
              <w:t>提高员工清洁生产意识</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3" w:hRule="atLeast"/>
          <w:jc w:val="center"/>
        </w:trPr>
        <w:tc>
          <w:tcPr>
            <w:tcW w:w="743" w:type="dxa"/>
            <w:vMerge w:val="continue"/>
            <w:tcBorders>
              <w:right w:val="single" w:color="000000" w:sz="6" w:space="0"/>
            </w:tcBorders>
            <w:vAlign w:val="center"/>
          </w:tcPr>
          <w:p>
            <w:pPr>
              <w:pStyle w:val="64"/>
              <w:spacing w:before="55"/>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rPr>
                <w:rFonts w:ascii="Times New Roman"/>
                <w:sz w:val="21"/>
                <w:szCs w:val="21"/>
                <w:lang w:eastAsia="en-US"/>
              </w:rPr>
            </w:pPr>
            <w:r>
              <w:rPr>
                <w:rFonts w:hint="eastAsia"/>
                <w:lang w:val="en-US" w:eastAsia="zh-CN"/>
              </w:rPr>
              <w:t>F2-1</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加强对入场原辅料的检验，不合格产品不能入场</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1" w:hRule="atLeast"/>
          <w:jc w:val="center"/>
        </w:trPr>
        <w:tc>
          <w:tcPr>
            <w:tcW w:w="743" w:type="dxa"/>
            <w:vMerge w:val="continue"/>
            <w:tcBorders>
              <w:right w:val="single" w:color="000000" w:sz="6" w:space="0"/>
            </w:tcBorders>
            <w:vAlign w:val="center"/>
          </w:tcPr>
          <w:p>
            <w:pPr>
              <w:pStyle w:val="64"/>
              <w:spacing w:before="55"/>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rPr>
                <w:rFonts w:ascii="Times New Roman"/>
                <w:sz w:val="21"/>
                <w:szCs w:val="21"/>
                <w:lang w:eastAsia="en-US"/>
              </w:rPr>
            </w:pPr>
            <w:r>
              <w:rPr>
                <w:rFonts w:hint="eastAsia"/>
                <w:lang w:val="en-US" w:eastAsia="zh-CN"/>
              </w:rPr>
              <w:t>F2-3</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zh-CN"/>
              </w:rPr>
            </w:pPr>
            <w:r>
              <w:t>对废包装袋分类回收，尽可能循环利用</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3" w:hRule="atLeast"/>
          <w:jc w:val="center"/>
        </w:trPr>
        <w:tc>
          <w:tcPr>
            <w:tcW w:w="743" w:type="dxa"/>
            <w:vMerge w:val="continue"/>
            <w:tcBorders>
              <w:right w:val="single" w:color="000000" w:sz="6" w:space="0"/>
            </w:tcBorders>
            <w:vAlign w:val="center"/>
          </w:tcPr>
          <w:p>
            <w:pPr>
              <w:pStyle w:val="64"/>
              <w:spacing w:before="58"/>
              <w:ind w:right="151"/>
              <w:jc w:val="center"/>
              <w:rPr>
                <w:rFonts w:ascii="Times New Roman"/>
                <w:sz w:val="21"/>
                <w:szCs w:val="21"/>
                <w:lang w:eastAsia="en-US"/>
              </w:rPr>
            </w:pPr>
          </w:p>
        </w:tc>
        <w:tc>
          <w:tcPr>
            <w:tcW w:w="743" w:type="dxa"/>
            <w:tcBorders>
              <w:top w:val="single" w:color="000000" w:sz="6" w:space="0"/>
              <w:bottom w:val="single" w:color="000000" w:sz="6" w:space="0"/>
              <w:right w:val="single" w:color="000000" w:sz="6" w:space="0"/>
            </w:tcBorders>
            <w:vAlign w:val="center"/>
          </w:tcPr>
          <w:p>
            <w:pPr>
              <w:pStyle w:val="44"/>
              <w:autoSpaceDE w:val="0"/>
              <w:autoSpaceDN w:val="0"/>
              <w:snapToGrid w:val="0"/>
              <w:rPr>
                <w:rFonts w:ascii="Times New Roman"/>
                <w:sz w:val="21"/>
                <w:szCs w:val="21"/>
                <w:lang w:eastAsia="en-US"/>
              </w:rPr>
            </w:pPr>
            <w:r>
              <w:rPr>
                <w:rFonts w:hint="eastAsia"/>
                <w:lang w:val="en-US" w:eastAsia="zh-CN"/>
              </w:rPr>
              <w:t>F2-5</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lang w:eastAsia="en-US"/>
              </w:rPr>
            </w:pPr>
            <w:r>
              <w:t>加强员工技术培训，提高员工操作技能</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sz w:val="21"/>
                <w:szCs w:val="21"/>
                <w:lang w:eastAsia="en-US"/>
              </w:rPr>
            </w:pPr>
            <w:r>
              <w:t>可行</w:t>
            </w:r>
          </w:p>
        </w:tc>
        <w:tc>
          <w:tcPr>
            <w:tcW w:w="1116" w:type="dxa"/>
            <w:tcBorders>
              <w:top w:val="single" w:color="000000" w:sz="6" w:space="0"/>
              <w:left w:val="single" w:color="000000" w:sz="6" w:space="0"/>
              <w:bottom w:val="single" w:color="000000" w:sz="6" w:space="0"/>
            </w:tcBorders>
            <w:vAlign w:val="center"/>
          </w:tcPr>
          <w:p>
            <w:pPr>
              <w:pStyle w:val="44"/>
              <w:autoSpaceDE w:val="0"/>
              <w:autoSpaceDN w:val="0"/>
              <w:snapToGrid w:val="0"/>
              <w:rPr>
                <w:sz w:val="21"/>
                <w:szCs w:val="21"/>
                <w:lang w:eastAsia="en-US"/>
              </w:rPr>
            </w:pPr>
            <w: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1" w:hRule="atLeast"/>
          <w:jc w:val="center"/>
        </w:trPr>
        <w:tc>
          <w:tcPr>
            <w:tcW w:w="743" w:type="dxa"/>
            <w:vMerge w:val="restart"/>
            <w:tcBorders>
              <w:top w:val="single" w:color="000000" w:sz="6" w:space="0"/>
              <w:right w:val="single" w:color="000000" w:sz="6" w:space="0"/>
            </w:tcBorders>
            <w:vAlign w:val="center"/>
          </w:tcPr>
          <w:p>
            <w:pPr>
              <w:pStyle w:val="64"/>
              <w:spacing w:before="58"/>
              <w:ind w:right="151"/>
              <w:jc w:val="center"/>
              <w:rPr>
                <w:rFonts w:ascii="Times New Roman"/>
                <w:sz w:val="21"/>
                <w:szCs w:val="21"/>
                <w:lang w:eastAsia="zh-CN"/>
              </w:rPr>
            </w:pPr>
            <w:r>
              <w:rPr>
                <w:rFonts w:hint="eastAsia" w:ascii="Times New Roman"/>
                <w:sz w:val="21"/>
                <w:szCs w:val="21"/>
                <w:lang w:eastAsia="zh-CN"/>
              </w:rPr>
              <w:t>中高费方案</w:t>
            </w:r>
          </w:p>
        </w:tc>
        <w:tc>
          <w:tcPr>
            <w:tcW w:w="743" w:type="dxa"/>
            <w:tcBorders>
              <w:top w:val="single" w:color="000000" w:sz="6" w:space="0"/>
              <w:bottom w:val="single" w:color="000000" w:sz="6" w:space="0"/>
              <w:right w:val="single" w:color="000000" w:sz="6" w:space="0"/>
            </w:tcBorders>
            <w:vAlign w:val="center"/>
          </w:tcPr>
          <w:p>
            <w:pPr>
              <w:pStyle w:val="64"/>
              <w:spacing w:before="58"/>
              <w:ind w:right="151"/>
              <w:jc w:val="center"/>
              <w:rPr>
                <w:rFonts w:hint="default" w:ascii="Times New Roman"/>
                <w:sz w:val="21"/>
                <w:szCs w:val="21"/>
                <w:lang w:val="en-US" w:eastAsia="zh-CN"/>
              </w:rPr>
            </w:pPr>
            <w:r>
              <w:rPr>
                <w:rFonts w:hint="eastAsia"/>
                <w:lang w:val="en-US" w:eastAsia="zh-CN"/>
              </w:rPr>
              <w:t>F2-2</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rFonts w:hint="eastAsia"/>
                <w:lang w:val="en-US" w:eastAsia="zh-CN"/>
              </w:rPr>
            </w:pPr>
            <w:r>
              <w:rPr>
                <w:rFonts w:hint="eastAsia"/>
                <w:lang w:eastAsia="zh-CN"/>
              </w:rPr>
              <w:t>更换牵引链条</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64"/>
              <w:spacing w:before="58"/>
              <w:ind w:right="151"/>
              <w:jc w:val="center"/>
              <w:rPr>
                <w:rFonts w:hint="eastAsia" w:ascii="Times New Roman"/>
                <w:sz w:val="21"/>
                <w:szCs w:val="21"/>
                <w:lang w:val="en-US" w:eastAsia="en-US"/>
              </w:rPr>
            </w:pPr>
            <w:r>
              <w:rPr>
                <w:rFonts w:hint="eastAsia" w:ascii="Times New Roman"/>
                <w:sz w:val="21"/>
                <w:szCs w:val="21"/>
                <w:lang w:val="en-US" w:eastAsia="zh-CN"/>
              </w:rPr>
              <w:t xml:space="preserve">   </w:t>
            </w:r>
            <w:r>
              <w:rPr>
                <w:rFonts w:hint="eastAsia" w:ascii="Times New Roman"/>
                <w:sz w:val="21"/>
                <w:szCs w:val="21"/>
                <w:lang w:val="en-US" w:eastAsia="en-US"/>
              </w:rP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64"/>
              <w:spacing w:before="58"/>
              <w:ind w:right="151"/>
              <w:jc w:val="center"/>
              <w:rPr>
                <w:rFonts w:ascii="Times New Roman"/>
                <w:sz w:val="21"/>
                <w:szCs w:val="21"/>
                <w:lang w:eastAsia="en-US"/>
              </w:rPr>
            </w:pPr>
            <w:r>
              <w:rPr>
                <w:rFonts w:ascii="Times New Roman"/>
                <w:sz w:val="21"/>
                <w:szCs w:val="21"/>
                <w:lang w:eastAsia="en-US"/>
              </w:rP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64"/>
              <w:spacing w:before="58"/>
              <w:ind w:right="151"/>
              <w:jc w:val="center"/>
              <w:rPr>
                <w:rFonts w:ascii="Times New Roman"/>
                <w:sz w:val="21"/>
                <w:szCs w:val="21"/>
                <w:lang w:eastAsia="en-US"/>
              </w:rPr>
            </w:pPr>
            <w:r>
              <w:rPr>
                <w:rFonts w:ascii="Times New Roman"/>
                <w:sz w:val="21"/>
                <w:szCs w:val="21"/>
                <w:lang w:eastAsia="en-US"/>
              </w:rPr>
              <w:t>可行</w:t>
            </w:r>
          </w:p>
        </w:tc>
        <w:tc>
          <w:tcPr>
            <w:tcW w:w="1116" w:type="dxa"/>
            <w:tcBorders>
              <w:top w:val="single" w:color="000000" w:sz="6" w:space="0"/>
              <w:left w:val="single" w:color="000000" w:sz="6" w:space="0"/>
              <w:bottom w:val="single" w:color="000000" w:sz="6" w:space="0"/>
            </w:tcBorders>
            <w:vAlign w:val="center"/>
          </w:tcPr>
          <w:p>
            <w:pPr>
              <w:pStyle w:val="64"/>
              <w:spacing w:before="58"/>
              <w:ind w:right="151"/>
              <w:jc w:val="center"/>
              <w:rPr>
                <w:rFonts w:ascii="Times New Roman"/>
                <w:sz w:val="21"/>
                <w:szCs w:val="21"/>
                <w:lang w:eastAsia="en-US"/>
              </w:rPr>
            </w:pPr>
            <w:r>
              <w:rPr>
                <w:rFonts w:ascii="Times New Roman"/>
                <w:sz w:val="21"/>
                <w:szCs w:val="21"/>
                <w:lang w:eastAsia="en-US"/>
              </w:rPr>
              <w:t>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1" w:hRule="atLeast"/>
          <w:jc w:val="center"/>
        </w:trPr>
        <w:tc>
          <w:tcPr>
            <w:tcW w:w="743" w:type="dxa"/>
            <w:vMerge w:val="continue"/>
            <w:tcBorders>
              <w:right w:val="single" w:color="000000" w:sz="6" w:space="0"/>
            </w:tcBorders>
            <w:vAlign w:val="center"/>
          </w:tcPr>
          <w:p>
            <w:pPr>
              <w:pStyle w:val="64"/>
              <w:spacing w:before="58"/>
              <w:ind w:right="151"/>
              <w:jc w:val="center"/>
              <w:rPr>
                <w:rFonts w:hint="eastAsia" w:ascii="Times New Roman"/>
                <w:sz w:val="21"/>
                <w:szCs w:val="21"/>
                <w:lang w:eastAsia="zh-CN"/>
              </w:rPr>
            </w:pPr>
            <w:bookmarkStart w:id="225" w:name="_Toc525138272"/>
            <w:bookmarkStart w:id="226" w:name="_Toc499903497"/>
            <w:bookmarkStart w:id="227" w:name="_Toc525138416"/>
          </w:p>
        </w:tc>
        <w:tc>
          <w:tcPr>
            <w:tcW w:w="743" w:type="dxa"/>
            <w:tcBorders>
              <w:top w:val="single" w:color="000000" w:sz="6" w:space="0"/>
              <w:bottom w:val="single" w:color="000000" w:sz="6" w:space="0"/>
              <w:right w:val="single" w:color="000000" w:sz="6" w:space="0"/>
            </w:tcBorders>
            <w:vAlign w:val="center"/>
          </w:tcPr>
          <w:p>
            <w:pPr>
              <w:pStyle w:val="64"/>
              <w:spacing w:before="58"/>
              <w:ind w:right="151"/>
              <w:jc w:val="center"/>
              <w:rPr>
                <w:rFonts w:ascii="Times New Roman"/>
                <w:sz w:val="21"/>
                <w:szCs w:val="21"/>
                <w:lang w:eastAsia="en-US"/>
              </w:rPr>
            </w:pPr>
            <w:r>
              <w:rPr>
                <w:rFonts w:hint="eastAsia"/>
                <w:lang w:val="en-US" w:eastAsia="zh-CN"/>
              </w:rPr>
              <w:t>F2-4</w:t>
            </w:r>
          </w:p>
        </w:tc>
        <w:tc>
          <w:tcPr>
            <w:tcW w:w="2948" w:type="dxa"/>
            <w:tcBorders>
              <w:top w:val="single" w:color="000000" w:sz="6" w:space="0"/>
              <w:left w:val="single" w:color="000000" w:sz="6" w:space="0"/>
              <w:bottom w:val="single" w:color="000000" w:sz="6" w:space="0"/>
              <w:right w:val="single" w:color="000000" w:sz="6" w:space="0"/>
            </w:tcBorders>
            <w:vAlign w:val="center"/>
          </w:tcPr>
          <w:p>
            <w:pPr>
              <w:pStyle w:val="44"/>
              <w:autoSpaceDE w:val="0"/>
              <w:autoSpaceDN w:val="0"/>
              <w:snapToGrid w:val="0"/>
              <w:rPr>
                <w:rFonts w:hint="eastAsia"/>
                <w:lang w:val="en-US" w:eastAsia="zh-CN"/>
              </w:rPr>
            </w:pPr>
            <w:r>
              <w:rPr>
                <w:rFonts w:hint="eastAsia"/>
                <w:lang w:eastAsia="zh-CN"/>
              </w:rPr>
              <w:t>自动混料系统</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64"/>
              <w:spacing w:before="58"/>
              <w:ind w:right="151" w:rightChars="0"/>
              <w:jc w:val="center"/>
              <w:rPr>
                <w:rFonts w:hint="eastAsia" w:ascii="Times New Roman"/>
                <w:sz w:val="21"/>
                <w:szCs w:val="21"/>
                <w:lang w:val="en-US" w:eastAsia="zh-CN"/>
              </w:rPr>
            </w:pPr>
            <w:r>
              <w:rPr>
                <w:rFonts w:hint="eastAsia" w:ascii="Times New Roman"/>
                <w:sz w:val="21"/>
                <w:szCs w:val="21"/>
                <w:lang w:val="en-US" w:eastAsia="zh-CN"/>
              </w:rPr>
              <w:t xml:space="preserve">   </w:t>
            </w:r>
            <w:r>
              <w:rPr>
                <w:rFonts w:hint="eastAsia" w:ascii="Times New Roman"/>
                <w:sz w:val="21"/>
                <w:szCs w:val="21"/>
                <w:lang w:val="en-US" w:eastAsia="en-US"/>
              </w:rP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64"/>
              <w:spacing w:before="58"/>
              <w:ind w:right="151" w:rightChars="0"/>
              <w:jc w:val="center"/>
              <w:rPr>
                <w:rFonts w:ascii="Times New Roman"/>
                <w:sz w:val="21"/>
                <w:szCs w:val="21"/>
                <w:lang w:eastAsia="en-US"/>
              </w:rPr>
            </w:pPr>
            <w:r>
              <w:rPr>
                <w:rFonts w:ascii="Times New Roman"/>
                <w:sz w:val="21"/>
                <w:szCs w:val="21"/>
                <w:lang w:eastAsia="en-US"/>
              </w:rPr>
              <w:t>可行</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64"/>
              <w:spacing w:before="58"/>
              <w:ind w:right="151" w:rightChars="0"/>
              <w:jc w:val="center"/>
              <w:rPr>
                <w:rFonts w:ascii="Times New Roman"/>
                <w:sz w:val="21"/>
                <w:szCs w:val="21"/>
                <w:lang w:eastAsia="en-US"/>
              </w:rPr>
            </w:pPr>
            <w:r>
              <w:rPr>
                <w:rFonts w:ascii="Times New Roman"/>
                <w:sz w:val="21"/>
                <w:szCs w:val="21"/>
                <w:lang w:eastAsia="en-US"/>
              </w:rPr>
              <w:t>可行</w:t>
            </w:r>
          </w:p>
        </w:tc>
        <w:tc>
          <w:tcPr>
            <w:tcW w:w="1116" w:type="dxa"/>
            <w:tcBorders>
              <w:top w:val="single" w:color="000000" w:sz="6" w:space="0"/>
              <w:left w:val="single" w:color="000000" w:sz="6" w:space="0"/>
              <w:bottom w:val="single" w:color="000000" w:sz="6" w:space="0"/>
            </w:tcBorders>
            <w:vAlign w:val="center"/>
          </w:tcPr>
          <w:p>
            <w:pPr>
              <w:pStyle w:val="64"/>
              <w:spacing w:before="58"/>
              <w:ind w:right="151" w:rightChars="0"/>
              <w:jc w:val="center"/>
              <w:rPr>
                <w:rFonts w:ascii="Times New Roman"/>
                <w:sz w:val="21"/>
                <w:szCs w:val="21"/>
                <w:lang w:eastAsia="en-US"/>
              </w:rPr>
            </w:pPr>
            <w:r>
              <w:rPr>
                <w:rFonts w:ascii="Times New Roman"/>
                <w:sz w:val="21"/>
                <w:szCs w:val="21"/>
                <w:lang w:eastAsia="en-US"/>
              </w:rPr>
              <w:t>可行</w:t>
            </w:r>
          </w:p>
        </w:tc>
      </w:tr>
    </w:tbl>
    <w:p>
      <w:pPr>
        <w:bidi w:val="0"/>
      </w:pPr>
    </w:p>
    <w:p>
      <w:pPr>
        <w:pStyle w:val="2"/>
        <w:widowControl w:val="0"/>
        <w:adjustRightInd/>
        <w:snapToGrid/>
        <w:spacing w:beforeLines="50" w:after="0" w:line="360" w:lineRule="auto"/>
        <w:ind w:firstLine="199" w:firstLineChars="55"/>
        <w:jc w:val="center"/>
        <w:rPr>
          <w:rFonts w:hint="eastAsia" w:cs="Times New Roman" w:asciiTheme="minorEastAsia" w:hAnsiTheme="minorEastAsia" w:eastAsiaTheme="minorEastAsia"/>
          <w:sz w:val="36"/>
          <w:szCs w:val="36"/>
        </w:rPr>
        <w:sectPr>
          <w:pgSz w:w="11906" w:h="16838"/>
          <w:pgMar w:top="1440" w:right="1800" w:bottom="1440" w:left="1800" w:header="708" w:footer="708" w:gutter="0"/>
          <w:cols w:space="708" w:num="1"/>
          <w:docGrid w:linePitch="360" w:charSpace="0"/>
        </w:sectPr>
      </w:pP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sz w:val="36"/>
          <w:szCs w:val="36"/>
        </w:rPr>
      </w:pPr>
      <w:bookmarkStart w:id="228" w:name="_Toc7589"/>
      <w:r>
        <w:rPr>
          <w:rFonts w:hint="eastAsia" w:cs="Times New Roman" w:asciiTheme="minorEastAsia" w:hAnsiTheme="minorEastAsia" w:eastAsiaTheme="minorEastAsia"/>
          <w:sz w:val="36"/>
          <w:szCs w:val="36"/>
        </w:rPr>
        <w:t>六、中高费方案的确定</w:t>
      </w:r>
      <w:bookmarkEnd w:id="225"/>
      <w:bookmarkEnd w:id="226"/>
      <w:bookmarkEnd w:id="227"/>
      <w:bookmarkEnd w:id="228"/>
    </w:p>
    <w:p>
      <w:pPr>
        <w:spacing w:line="360" w:lineRule="auto"/>
        <w:ind w:firstLine="480" w:firstLineChars="200"/>
        <w:rPr>
          <w:rFonts w:ascii="宋体" w:hAnsi="宋体" w:eastAsia="宋体"/>
          <w:sz w:val="24"/>
          <w:szCs w:val="24"/>
        </w:rPr>
      </w:pPr>
      <w:r>
        <w:rPr>
          <w:rFonts w:ascii="宋体" w:hAnsi="宋体" w:eastAsia="宋体"/>
          <w:sz w:val="24"/>
          <w:szCs w:val="24"/>
        </w:rPr>
        <w:t>本阶段目的是对筛选出来的中/高费清洁生产方案进行分析评估，以选择最佳的、可实施的中高费清洁生产方案。本阶段的审核重点是：在结合市场调查和收集一定资料的基础上，进行方案的技术、环境、经济的可行性分析和比较，从中选择和推荐最佳的实施方案。最佳的可行方案是指该方案在技术先进、在经济上合理有利、又能保护环境的最优方案。</w:t>
      </w:r>
    </w:p>
    <w:p>
      <w:pPr>
        <w:pStyle w:val="3"/>
        <w:widowControl w:val="0"/>
        <w:adjustRightInd/>
        <w:snapToGrid/>
        <w:spacing w:beforeLines="50" w:after="0" w:line="360" w:lineRule="auto"/>
        <w:rPr>
          <w:rFonts w:ascii="Times New Roman" w:hAnsi="Times New Roman"/>
          <w:sz w:val="30"/>
          <w:szCs w:val="30"/>
        </w:rPr>
      </w:pPr>
      <w:bookmarkStart w:id="229" w:name="_Toc499903498"/>
      <w:bookmarkStart w:id="230" w:name="_Toc525138417"/>
      <w:bookmarkStart w:id="231" w:name="_Toc16229"/>
      <w:bookmarkStart w:id="232" w:name="_Toc525138273"/>
      <w:r>
        <w:rPr>
          <w:rFonts w:hint="eastAsia" w:ascii="Times New Roman" w:hAnsi="Times New Roman"/>
          <w:sz w:val="30"/>
          <w:szCs w:val="30"/>
        </w:rPr>
        <w:t>6.1</w:t>
      </w:r>
      <w:r>
        <w:rPr>
          <w:rFonts w:ascii="Times New Roman" w:hAnsi="Times New Roman"/>
          <w:sz w:val="30"/>
          <w:szCs w:val="30"/>
        </w:rPr>
        <w:t>“方案</w:t>
      </w:r>
      <w:r>
        <w:rPr>
          <w:rFonts w:hint="eastAsia" w:ascii="Times New Roman" w:hAnsi="Times New Roman"/>
          <w:sz w:val="30"/>
          <w:szCs w:val="30"/>
          <w:lang w:eastAsia="zh-CN"/>
        </w:rPr>
        <w:t>F2-2：更换牵引链条”</w:t>
      </w:r>
      <w:r>
        <w:rPr>
          <w:rFonts w:ascii="Times New Roman" w:hAnsi="Times New Roman"/>
          <w:sz w:val="30"/>
          <w:szCs w:val="30"/>
        </w:rPr>
        <w:t>可行性分析</w:t>
      </w:r>
      <w:bookmarkEnd w:id="229"/>
      <w:bookmarkEnd w:id="230"/>
      <w:bookmarkEnd w:id="231"/>
      <w:bookmarkEnd w:id="232"/>
    </w:p>
    <w:p>
      <w:pPr>
        <w:pStyle w:val="4"/>
        <w:widowControl w:val="0"/>
        <w:spacing w:beforeLines="50" w:after="0" w:line="360" w:lineRule="auto"/>
        <w:rPr>
          <w:rFonts w:ascii="Times New Roman" w:hAnsi="Times New Roman" w:eastAsia="宋体" w:cs="Courier New"/>
          <w:sz w:val="28"/>
          <w:szCs w:val="30"/>
        </w:rPr>
      </w:pPr>
      <w:bookmarkStart w:id="233" w:name="_Toc28506"/>
      <w:bookmarkStart w:id="234" w:name="_Toc525138274"/>
      <w:bookmarkStart w:id="235" w:name="_Toc525138418"/>
      <w:bookmarkStart w:id="236" w:name="_Toc499903499"/>
      <w:r>
        <w:rPr>
          <w:rFonts w:hint="eastAsia" w:ascii="Times New Roman" w:hAnsi="Times New Roman" w:eastAsia="宋体" w:cs="Courier New"/>
          <w:sz w:val="28"/>
          <w:szCs w:val="30"/>
        </w:rPr>
        <w:t>6.1.1</w:t>
      </w:r>
      <w:r>
        <w:rPr>
          <w:rFonts w:ascii="Times New Roman" w:hAnsi="Times New Roman" w:eastAsia="宋体" w:cs="Courier New"/>
          <w:sz w:val="28"/>
          <w:szCs w:val="30"/>
        </w:rPr>
        <w:t>方案</w:t>
      </w:r>
      <w:r>
        <w:rPr>
          <w:rFonts w:hint="eastAsia" w:ascii="Times New Roman" w:hAnsi="Times New Roman" w:eastAsia="宋体" w:cs="Courier New"/>
          <w:sz w:val="28"/>
          <w:szCs w:val="30"/>
        </w:rPr>
        <w:t>产生背景</w:t>
      </w:r>
      <w:bookmarkEnd w:id="233"/>
      <w:bookmarkEnd w:id="234"/>
      <w:bookmarkEnd w:id="235"/>
      <w:bookmarkEnd w:id="236"/>
    </w:p>
    <w:p>
      <w:pPr>
        <w:spacing w:line="360" w:lineRule="auto"/>
        <w:ind w:firstLine="482"/>
        <w:rPr>
          <w:rFonts w:hint="eastAsia" w:ascii="Times New Roman" w:hAnsi="宋体" w:eastAsia="宋体"/>
          <w:sz w:val="24"/>
          <w:szCs w:val="24"/>
          <w:lang w:val="en-US" w:eastAsia="zh-CN"/>
        </w:rPr>
      </w:pPr>
      <w:bookmarkStart w:id="237" w:name="_Toc499903500"/>
      <w:bookmarkStart w:id="238" w:name="_Toc525138275"/>
      <w:bookmarkStart w:id="239" w:name="_Toc525138419"/>
      <w:r>
        <w:rPr>
          <w:rFonts w:hint="eastAsia" w:ascii="Times New Roman" w:hAnsi="宋体" w:eastAsia="宋体"/>
          <w:sz w:val="24"/>
          <w:szCs w:val="24"/>
          <w:lang w:val="en-US" w:eastAsia="zh-CN"/>
        </w:rPr>
        <w:t>公司现阶段使用的牵引链条比较老旧体型比较薄，弹力比较大容易造成链条上小车掉落，链条运行气管比较老旧漏气比较严重，增加了空压机运行能耗，方案重新采购新的牵引链条整个链条厚度提高减少了链条自身运行时产生的弹力，减少了小车掉落故障，杜绝了气管漏气现象，提高了生产效率，降低了空压机能耗</w:t>
      </w:r>
      <w:r>
        <w:rPr>
          <w:rFonts w:hint="eastAsia" w:ascii="Times New Roman" w:hAnsi="宋体" w:eastAsia="宋体"/>
          <w:sz w:val="24"/>
          <w:szCs w:val="24"/>
          <w:lang w:val="zh-CN" w:eastAsia="zh-CN"/>
        </w:rPr>
        <w:t>。</w:t>
      </w:r>
    </w:p>
    <w:p>
      <w:pPr>
        <w:pStyle w:val="4"/>
        <w:widowControl w:val="0"/>
        <w:spacing w:beforeLines="50" w:after="0" w:line="360" w:lineRule="auto"/>
        <w:rPr>
          <w:rFonts w:ascii="Times New Roman" w:hAnsi="Times New Roman" w:eastAsia="宋体" w:cs="Courier New"/>
          <w:sz w:val="28"/>
          <w:szCs w:val="30"/>
        </w:rPr>
      </w:pPr>
      <w:bookmarkStart w:id="240" w:name="_Toc11277"/>
      <w:r>
        <w:rPr>
          <w:rFonts w:hint="eastAsia" w:ascii="Times New Roman" w:hAnsi="Times New Roman" w:eastAsia="宋体" w:cs="Courier New"/>
          <w:sz w:val="28"/>
          <w:szCs w:val="30"/>
        </w:rPr>
        <w:t>6.1.2</w:t>
      </w:r>
      <w:r>
        <w:rPr>
          <w:rFonts w:ascii="Times New Roman" w:hAnsi="Times New Roman" w:eastAsia="宋体" w:cs="Courier New"/>
          <w:sz w:val="28"/>
          <w:szCs w:val="30"/>
        </w:rPr>
        <w:t>方案技术评估</w:t>
      </w:r>
      <w:bookmarkEnd w:id="237"/>
      <w:bookmarkEnd w:id="238"/>
      <w:bookmarkEnd w:id="239"/>
      <w:bookmarkEnd w:id="240"/>
    </w:p>
    <w:p>
      <w:pPr>
        <w:spacing w:line="360" w:lineRule="auto"/>
        <w:ind w:firstLine="482"/>
        <w:rPr>
          <w:rFonts w:hint="eastAsia" w:ascii="Times New Roman" w:hAnsi="宋体" w:eastAsia="宋体"/>
          <w:sz w:val="24"/>
          <w:szCs w:val="24"/>
          <w:lang w:val="en-US" w:eastAsia="zh-CN"/>
        </w:rPr>
      </w:pPr>
      <w:r>
        <w:rPr>
          <w:rFonts w:hint="eastAsia" w:ascii="Times New Roman" w:hAnsi="宋体" w:eastAsia="宋体"/>
          <w:sz w:val="24"/>
          <w:szCs w:val="24"/>
          <w:lang w:val="zh-CN" w:eastAsia="zh-CN"/>
        </w:rPr>
        <w:t>根据前期调研，</w:t>
      </w:r>
      <w:r>
        <w:rPr>
          <w:rFonts w:hint="eastAsia" w:ascii="Times New Roman" w:hAnsi="宋体" w:eastAsia="宋体"/>
          <w:sz w:val="24"/>
          <w:szCs w:val="24"/>
          <w:lang w:val="en-US" w:eastAsia="zh-CN"/>
        </w:rPr>
        <w:t>主要就是更换牵引链条和压缩气管。采购新的牵引链条运行时不改变生产工艺，不会增加运营成本。本方案，技术成熟可靠，实施简单，无技术难题，方案实施后境效应明显，技术可行。</w:t>
      </w:r>
    </w:p>
    <w:p>
      <w:pPr>
        <w:pStyle w:val="4"/>
        <w:widowControl w:val="0"/>
        <w:spacing w:beforeLines="50" w:after="0" w:line="360" w:lineRule="auto"/>
        <w:rPr>
          <w:rFonts w:ascii="Times New Roman" w:hAnsi="Times New Roman" w:eastAsia="宋体" w:cs="Courier New"/>
          <w:sz w:val="28"/>
          <w:szCs w:val="30"/>
        </w:rPr>
      </w:pPr>
      <w:bookmarkStart w:id="241" w:name="_Toc306382769"/>
      <w:bookmarkEnd w:id="241"/>
      <w:bookmarkStart w:id="242" w:name="_Toc301505939"/>
      <w:bookmarkEnd w:id="242"/>
      <w:bookmarkStart w:id="243" w:name="_Toc298490965"/>
      <w:bookmarkEnd w:id="243"/>
      <w:bookmarkStart w:id="244" w:name="_Toc298752744"/>
      <w:bookmarkEnd w:id="244"/>
      <w:bookmarkStart w:id="245" w:name="_Toc412542519"/>
      <w:bookmarkEnd w:id="245"/>
      <w:bookmarkStart w:id="246" w:name="_Toc11187"/>
      <w:bookmarkStart w:id="247" w:name="_Toc310116586"/>
      <w:r>
        <w:rPr>
          <w:rFonts w:hint="eastAsia" w:ascii="Times New Roman" w:hAnsi="Times New Roman" w:eastAsia="宋体" w:cs="Courier New"/>
          <w:sz w:val="28"/>
          <w:szCs w:val="30"/>
        </w:rPr>
        <w:t>6.1.3环境评估的内容</w:t>
      </w:r>
      <w:bookmarkEnd w:id="246"/>
      <w:bookmarkEnd w:id="247"/>
    </w:p>
    <w:p>
      <w:pPr>
        <w:pStyle w:val="42"/>
        <w:ind w:firstLine="480" w:firstLineChars="200"/>
        <w:jc w:val="both"/>
        <w:rPr>
          <w:rFonts w:hint="eastAsia" w:ascii="Times New Roman" w:hAnsi="Times New Roman" w:eastAsia="宋体" w:cs="Times New Roman"/>
          <w:szCs w:val="24"/>
          <w:lang w:val="en-US" w:eastAsia="zh-CN"/>
        </w:rPr>
      </w:pPr>
      <w:r>
        <w:rPr>
          <w:rFonts w:hint="eastAsia" w:hAnsi="Times New Roman" w:eastAsia="宋体" w:cs="Times New Roman"/>
          <w:szCs w:val="24"/>
          <w:lang w:val="en-US" w:eastAsia="zh-CN"/>
        </w:rPr>
        <w:t>方案主要就是牵引链条的一个更换，主要是经济效益</w:t>
      </w:r>
      <w:r>
        <w:rPr>
          <w:rFonts w:hint="eastAsia" w:ascii="Times New Roman" w:hAnsi="Times New Roman" w:eastAsia="宋体" w:cs="Times New Roman"/>
          <w:szCs w:val="24"/>
          <w:lang w:val="en-US" w:eastAsia="zh-CN"/>
        </w:rPr>
        <w:t>，</w:t>
      </w:r>
      <w:r>
        <w:rPr>
          <w:rFonts w:hint="eastAsia" w:hAnsi="Times New Roman" w:eastAsia="宋体" w:cs="Times New Roman"/>
          <w:szCs w:val="24"/>
          <w:lang w:val="en-US" w:eastAsia="zh-CN"/>
        </w:rPr>
        <w:t>间接降低了能耗</w:t>
      </w:r>
      <w:r>
        <w:rPr>
          <w:rFonts w:hint="eastAsia" w:ascii="Times New Roman" w:hAnsi="Times New Roman" w:eastAsia="宋体" w:cs="Times New Roman"/>
          <w:szCs w:val="24"/>
          <w:lang w:val="en-US" w:eastAsia="zh-CN"/>
        </w:rPr>
        <w:t>。因此，</w:t>
      </w:r>
      <w:r>
        <w:rPr>
          <w:rFonts w:hint="eastAsia" w:hAnsi="Times New Roman" w:eastAsia="宋体" w:cs="Times New Roman"/>
          <w:szCs w:val="24"/>
          <w:lang w:val="en-US" w:eastAsia="zh-CN"/>
        </w:rPr>
        <w:t>因此方案主要是经济效益</w:t>
      </w:r>
      <w:r>
        <w:rPr>
          <w:rFonts w:hint="eastAsia" w:ascii="Times New Roman" w:hAnsi="Times New Roman" w:eastAsia="宋体" w:cs="Times New Roman"/>
          <w:szCs w:val="24"/>
          <w:lang w:val="en-US" w:eastAsia="zh-CN"/>
        </w:rPr>
        <w:t>。</w:t>
      </w:r>
    </w:p>
    <w:p>
      <w:pPr>
        <w:pStyle w:val="4"/>
        <w:widowControl w:val="0"/>
        <w:spacing w:beforeLines="50" w:after="0" w:line="360" w:lineRule="auto"/>
        <w:rPr>
          <w:rFonts w:ascii="Times New Roman" w:hAnsi="Times New Roman" w:eastAsia="宋体" w:cs="Courier New"/>
          <w:sz w:val="28"/>
          <w:szCs w:val="30"/>
        </w:rPr>
      </w:pPr>
      <w:bookmarkStart w:id="248" w:name="_Toc31026"/>
      <w:r>
        <w:rPr>
          <w:rFonts w:hint="eastAsia" w:ascii="Times New Roman" w:hAnsi="Times New Roman" w:eastAsia="宋体" w:cs="Courier New"/>
          <w:sz w:val="28"/>
          <w:szCs w:val="30"/>
        </w:rPr>
        <w:t>6.1.4经济评估的内容</w:t>
      </w:r>
      <w:bookmarkEnd w:id="248"/>
    </w:p>
    <w:p>
      <w:pPr>
        <w:spacing w:line="360" w:lineRule="auto"/>
        <w:ind w:firstLine="482"/>
        <w:rPr>
          <w:rFonts w:hint="eastAsia" w:ascii="Times New Roman" w:hAnsi="宋体" w:eastAsia="宋体"/>
          <w:sz w:val="24"/>
          <w:szCs w:val="24"/>
          <w:lang w:val="en-US" w:eastAsia="zh-CN"/>
        </w:rPr>
      </w:pPr>
      <w:r>
        <w:rPr>
          <w:rFonts w:hint="eastAsia" w:ascii="Times New Roman" w:hAnsi="宋体" w:eastAsia="宋体"/>
          <w:sz w:val="24"/>
          <w:szCs w:val="24"/>
          <w:lang w:val="en-US" w:eastAsia="zh-CN"/>
        </w:rPr>
        <w:t>该方案拟投资12万元，方案实施后主要是减少发泡车间牵引链条运行时链条上面的小车掉落，整个环线生产员工是70人，牵引链条上面的小车掉落，整个环线需要停工检修，严重影响生产效率，浪费人工效率，环线本身供气只需要6公斤，因漏气导致整条环线运行时空压机必须要生产压缩供应8公斤气体才能达到环线运行要求，方案实施后大大降低了牵引链条上小车掉落故障，减少了设备停工时间，提高了生产效率，根据更换前后的故障率估算至少提高生产经济效益2万元/月，年增加经济效益24万元，公司现有空压机是75KW的，气压是0.8PMa，满负荷运行一天是1800kwh/天，气管更换后估算空压机运行时间减少一小时，即年节电22500kwh/a（75kw</w:t>
      </w:r>
      <w:r>
        <w:rPr>
          <w:rFonts w:hint="default" w:ascii="Times New Roman" w:hAnsi="宋体" w:eastAsia="宋体"/>
          <w:sz w:val="24"/>
          <w:szCs w:val="24"/>
          <w:lang w:val="en-US" w:eastAsia="zh-CN"/>
        </w:rPr>
        <w:t>×</w:t>
      </w:r>
      <w:r>
        <w:rPr>
          <w:rFonts w:hint="eastAsia" w:ascii="Times New Roman" w:hAnsi="宋体" w:eastAsia="宋体"/>
          <w:sz w:val="24"/>
          <w:szCs w:val="24"/>
          <w:lang w:val="en-US" w:eastAsia="zh-CN"/>
        </w:rPr>
        <w:t xml:space="preserve">300天）年增加经济效益24750元（1度电按1.1元计）。方案实施后年节电22500kwh/a，减少故障率提高生产效益，年增加经济效益26.475万元。本方案预计投资12万元，设备寿命期取10年，贴现率取8%，综合税率取17%，行业基准收益率取13%，则经计算，本方案投资偿还期0.60年。 </w:t>
      </w:r>
    </w:p>
    <w:p>
      <w:pPr>
        <w:spacing w:line="360" w:lineRule="auto"/>
        <w:ind w:firstLine="482"/>
        <w:rPr>
          <w:rFonts w:hint="eastAsia" w:ascii="Times New Roman" w:hAnsi="宋体" w:eastAsia="宋体"/>
          <w:sz w:val="24"/>
          <w:szCs w:val="24"/>
          <w:lang w:val="en-US" w:eastAsia="zh-CN"/>
        </w:rPr>
      </w:pPr>
      <w:r>
        <w:rPr>
          <w:rFonts w:hint="eastAsia" w:ascii="Times New Roman" w:hAnsi="宋体" w:eastAsia="宋体"/>
          <w:sz w:val="24"/>
          <w:szCs w:val="24"/>
          <w:lang w:val="en-US" w:eastAsia="zh-CN"/>
        </w:rPr>
        <w:t>方案投入生产后，预计年可为公司节省金额26.475万元。</w:t>
      </w:r>
    </w:p>
    <w:p>
      <w:pPr>
        <w:spacing w:line="360" w:lineRule="auto"/>
        <w:ind w:firstLine="482"/>
        <w:rPr>
          <w:rFonts w:hAnsi="Times New Roman" w:eastAsia="宋体"/>
          <w:szCs w:val="24"/>
        </w:rPr>
      </w:pPr>
      <w:r>
        <w:rPr>
          <w:rFonts w:hint="eastAsia" w:ascii="Times New Roman" w:hAnsi="宋体" w:eastAsia="宋体"/>
          <w:sz w:val="24"/>
          <w:szCs w:val="24"/>
          <w:lang w:val="en-US" w:eastAsia="zh-CN"/>
        </w:rPr>
        <w:t>根据清洁生产审核经济可行性评估要求，各项经济指标计算如下：</w:t>
      </w:r>
    </w:p>
    <w:p>
      <w:pPr>
        <w:pStyle w:val="49"/>
        <w:ind w:firstLine="480"/>
        <w:rPr>
          <w:rFonts w:asciiTheme="minorEastAsia" w:hAnsiTheme="minorEastAsia" w:eastAsiaTheme="minorEastAsia"/>
          <w:b w:val="0"/>
        </w:rPr>
      </w:pPr>
      <w:r>
        <w:rPr>
          <w:rFonts w:hint="eastAsia" w:eastAsia="楷体"/>
          <w:b w:val="0"/>
          <w:bCs/>
        </w:rPr>
        <w:tab/>
      </w:r>
      <w:r>
        <w:rPr>
          <w:rFonts w:hint="eastAsia" w:ascii="Times New Roman" w:hAnsi="Times New Roman" w:eastAsia="楷体" w:cs="楷体"/>
          <w:b/>
          <w:bCs w:val="0"/>
          <w:kern w:val="2"/>
          <w:sz w:val="24"/>
          <w:szCs w:val="28"/>
          <w:lang w:val="en-US" w:eastAsia="zh-CN" w:bidi="ar"/>
        </w:rPr>
        <w:t xml:space="preserve">表6-1 </w:t>
      </w:r>
      <w:r>
        <w:rPr>
          <w:rFonts w:hint="eastAsia" w:eastAsia="楷体" w:cs="楷体"/>
          <w:b/>
          <w:bCs w:val="0"/>
          <w:kern w:val="2"/>
          <w:sz w:val="24"/>
          <w:szCs w:val="28"/>
          <w:lang w:val="en-US" w:eastAsia="zh-CN" w:bidi="ar"/>
        </w:rPr>
        <w:t>更换牵引链条</w:t>
      </w:r>
      <w:r>
        <w:rPr>
          <w:rFonts w:hint="eastAsia" w:ascii="Times New Roman" w:hAnsi="Times New Roman" w:eastAsia="楷体" w:cs="楷体"/>
          <w:b/>
          <w:bCs w:val="0"/>
          <w:kern w:val="2"/>
          <w:sz w:val="24"/>
          <w:szCs w:val="28"/>
          <w:lang w:val="en-US" w:eastAsia="zh-CN" w:bidi="ar"/>
        </w:rPr>
        <w:t>方案经济指标计算表</w:t>
      </w:r>
      <w:r>
        <w:rPr>
          <w:rFonts w:hint="eastAsia" w:ascii="Times New Roman" w:hAnsi="Times New Roman" w:eastAsia="楷体" w:cs="楷体"/>
          <w:b/>
          <w:bCs w:val="0"/>
          <w:kern w:val="2"/>
          <w:sz w:val="24"/>
          <w:szCs w:val="28"/>
          <w:lang w:val="en-US" w:eastAsia="zh-CN" w:bidi="ar"/>
        </w:rPr>
        <w:tab/>
      </w:r>
    </w:p>
    <w:tbl>
      <w:tblPr>
        <w:tblStyle w:val="27"/>
        <w:tblW w:w="86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5"/>
        <w:gridCol w:w="3134"/>
        <w:gridCol w:w="2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b/>
                <w:bCs/>
                <w:szCs w:val="21"/>
              </w:rPr>
            </w:pPr>
            <w:r>
              <w:rPr>
                <w:rFonts w:hint="default" w:eastAsia="宋体"/>
                <w:b/>
                <w:bCs/>
                <w:szCs w:val="21"/>
              </w:rPr>
              <w:t>项目</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b/>
                <w:bCs/>
                <w:szCs w:val="21"/>
              </w:rPr>
            </w:pPr>
            <w:r>
              <w:rPr>
                <w:rFonts w:hint="default" w:eastAsia="宋体"/>
                <w:b/>
                <w:bCs/>
                <w:szCs w:val="21"/>
              </w:rPr>
              <w:t>公式</w:t>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b/>
                <w:bCs/>
                <w:szCs w:val="21"/>
              </w:rPr>
            </w:pPr>
            <w:r>
              <w:rPr>
                <w:rFonts w:hint="default" w:eastAsia="宋体"/>
                <w:b/>
                <w:bCs/>
                <w:szCs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总投资费用（I</w:t>
            </w:r>
            <w:r>
              <w:rPr>
                <w:rFonts w:hint="default" w:ascii="宋体" w:hAnsi="宋体" w:eastAsia="宋体"/>
                <w:szCs w:val="21"/>
              </w:rPr>
              <w:t>）</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w:t>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lang w:val="en-US" w:eastAsia="zh-CN"/>
              </w:rPr>
            </w:pPr>
            <w:r>
              <w:rPr>
                <w:rFonts w:hint="eastAsia" w:eastAsia="宋体"/>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年运行费用总节省金额（P</w:t>
            </w:r>
            <w:r>
              <w:rPr>
                <w:rFonts w:hint="default" w:ascii="宋体" w:hAnsi="宋体" w:eastAsia="宋体"/>
                <w:szCs w:val="21"/>
              </w:rPr>
              <w:t>）</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w:t>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lang w:val="en-US" w:eastAsia="zh-CN"/>
              </w:rPr>
            </w:pPr>
            <w:r>
              <w:rPr>
                <w:rFonts w:hint="eastAsia" w:eastAsia="宋体"/>
                <w:szCs w:val="21"/>
                <w:lang w:val="en-US" w:eastAsia="zh-CN"/>
              </w:rPr>
              <w:t>26.475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新增设备折旧额（D</w:t>
            </w:r>
            <w:r>
              <w:rPr>
                <w:rFonts w:hint="default" w:ascii="宋体" w:hAnsi="宋体" w:eastAsia="宋体"/>
                <w:szCs w:val="21"/>
              </w:rPr>
              <w:t>）</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I/n</w:t>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lang w:val="en-US" w:eastAsia="zh-CN"/>
              </w:rPr>
            </w:pPr>
            <w:r>
              <w:rPr>
                <w:rFonts w:hint="eastAsia" w:eastAsia="宋体"/>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年增加现金流量（F</w:t>
            </w:r>
            <w:r>
              <w:rPr>
                <w:rFonts w:hint="default" w:ascii="宋体" w:hAnsi="宋体" w:eastAsia="宋体"/>
                <w:szCs w:val="21"/>
              </w:rPr>
              <w:t>）</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(P-D)*(1-25%)+D</w:t>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lang w:val="en-US" w:eastAsia="zh-CN"/>
              </w:rPr>
            </w:pPr>
            <w:r>
              <w:rPr>
                <w:rFonts w:hint="eastAsia" w:eastAsia="宋体"/>
                <w:szCs w:val="21"/>
                <w:lang w:val="en-US" w:eastAsia="zh-CN"/>
              </w:rPr>
              <w:t>20.156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投资偿还期(N)</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I/F</w:t>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lang w:val="en-US" w:eastAsia="zh-CN"/>
              </w:rPr>
            </w:pPr>
            <w:r>
              <w:rPr>
                <w:rFonts w:hint="eastAsia" w:eastAsia="宋体"/>
                <w:szCs w:val="21"/>
                <w:lang w:val="en-US" w:eastAsia="zh-CN"/>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rPr>
            </w:pPr>
            <w:r>
              <w:rPr>
                <w:rFonts w:hint="default" w:eastAsia="宋体"/>
                <w:szCs w:val="21"/>
              </w:rPr>
              <w:t>净现值(NPV)</w:t>
            </w:r>
          </w:p>
        </w:tc>
        <w:tc>
          <w:tcPr>
            <w:tcW w:w="313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仿宋_GB2312"/>
                <w:sz w:val="24"/>
                <w:szCs w:val="24"/>
              </w:rPr>
            </w:pPr>
            <w:r>
              <w:rPr>
                <w:rFonts w:hint="default" w:eastAsia="宋体"/>
                <w:szCs w:val="21"/>
              </w:rPr>
              <w:drawing>
                <wp:inline distT="0" distB="0" distL="0" distR="0">
                  <wp:extent cx="885825" cy="447675"/>
                  <wp:effectExtent l="0" t="0" r="0" b="8255"/>
                  <wp:docPr id="8" name="图片 11" descr="C:\Users\ADMINI~1\AppData\Local\Temp\ksohtml744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descr="C:\Users\ADMINI~1\AppData\Local\Temp\ksohtml7448\wps2.png"/>
                          <pic:cNvPicPr>
                            <a:picLocks noChangeAspect="1" noChangeArrowheads="1"/>
                          </pic:cNvPicPr>
                        </pic:nvPicPr>
                        <pic:blipFill>
                          <a:blip r:embed="rId25" cstate="print"/>
                          <a:srcRect/>
                          <a:stretch>
                            <a:fillRect/>
                          </a:stretch>
                        </pic:blipFill>
                        <pic:spPr>
                          <a:xfrm>
                            <a:off x="0" y="0"/>
                            <a:ext cx="885825" cy="447675"/>
                          </a:xfrm>
                          <a:prstGeom prst="rect">
                            <a:avLst/>
                          </a:prstGeom>
                          <a:noFill/>
                          <a:ln w="9525">
                            <a:noFill/>
                            <a:miter lim="800000"/>
                            <a:headEnd/>
                            <a:tailEnd/>
                          </a:ln>
                        </pic:spPr>
                      </pic:pic>
                    </a:graphicData>
                  </a:graphic>
                </wp:inline>
              </w:drawing>
            </w:r>
          </w:p>
        </w:tc>
        <w:tc>
          <w:tcPr>
            <w:tcW w:w="2454" w:type="dxa"/>
            <w:vAlign w:val="center"/>
          </w:tcPr>
          <w:p>
            <w:pPr>
              <w:keepNext w:val="0"/>
              <w:keepLines w:val="0"/>
              <w:suppressLineNumbers w:val="0"/>
              <w:adjustRightInd w:val="0"/>
              <w:snapToGrid w:val="0"/>
              <w:spacing w:before="0" w:beforeAutospacing="0" w:after="100" w:afterAutospacing="1" w:line="360" w:lineRule="auto"/>
              <w:ind w:left="0" w:right="0"/>
              <w:jc w:val="center"/>
              <w:rPr>
                <w:rFonts w:hint="default" w:eastAsia="宋体"/>
                <w:szCs w:val="21"/>
                <w:lang w:val="en-US" w:eastAsia="zh-CN"/>
              </w:rPr>
            </w:pPr>
            <w:r>
              <w:rPr>
                <w:rFonts w:hint="eastAsia" w:eastAsia="宋体"/>
                <w:szCs w:val="21"/>
                <w:lang w:val="en-US" w:eastAsia="zh-CN"/>
              </w:rPr>
              <w:t>15.12</w:t>
            </w:r>
          </w:p>
        </w:tc>
      </w:tr>
    </w:tbl>
    <w:p>
      <w:pPr>
        <w:pStyle w:val="42"/>
        <w:ind w:firstLine="480" w:firstLineChars="200"/>
        <w:jc w:val="both"/>
        <w:rPr>
          <w:rFonts w:hint="eastAsia" w:hAnsi="Times New Roman" w:eastAsia="宋体"/>
          <w:szCs w:val="24"/>
        </w:rPr>
      </w:pPr>
      <w:r>
        <w:rPr>
          <w:rFonts w:hAnsi="Times New Roman" w:eastAsia="宋体"/>
          <w:szCs w:val="24"/>
        </w:rPr>
        <w:t>从经济指标分析中可以看出，NPV=</w:t>
      </w:r>
      <w:r>
        <w:rPr>
          <w:rFonts w:hint="eastAsia" w:hAnsi="Times New Roman" w:eastAsia="宋体"/>
          <w:szCs w:val="24"/>
          <w:lang w:val="en-US" w:eastAsia="zh-CN"/>
        </w:rPr>
        <w:t>15.12</w:t>
      </w:r>
      <w:r>
        <w:rPr>
          <w:rFonts w:hAnsi="Times New Roman" w:eastAsia="宋体"/>
          <w:szCs w:val="24"/>
        </w:rPr>
        <w:t>&gt;0,根据经济评估准则要求，NPV≥0方案即可行，因此该方案经济可行。</w:t>
      </w:r>
    </w:p>
    <w:p>
      <w:pPr>
        <w:pStyle w:val="3"/>
        <w:widowControl w:val="0"/>
        <w:adjustRightInd/>
        <w:snapToGrid/>
        <w:spacing w:beforeLines="50" w:after="0" w:line="360" w:lineRule="auto"/>
        <w:rPr>
          <w:rFonts w:ascii="Times New Roman" w:hAnsi="Times New Roman"/>
          <w:sz w:val="30"/>
          <w:szCs w:val="30"/>
        </w:rPr>
      </w:pPr>
      <w:bookmarkStart w:id="249" w:name="_Toc8786"/>
      <w:bookmarkStart w:id="250" w:name="_Toc176255099"/>
      <w:bookmarkStart w:id="251" w:name="_Toc525138278"/>
      <w:bookmarkStart w:id="252" w:name="_Toc525138422"/>
      <w:bookmarkStart w:id="253" w:name="_Toc499903508"/>
      <w:r>
        <w:rPr>
          <w:rFonts w:hint="eastAsia" w:ascii="Times New Roman" w:hAnsi="Times New Roman"/>
          <w:sz w:val="30"/>
          <w:szCs w:val="30"/>
        </w:rPr>
        <w:t>6.</w:t>
      </w:r>
      <w:r>
        <w:rPr>
          <w:rFonts w:hint="eastAsia" w:ascii="Times New Roman" w:hAnsi="Times New Roman"/>
          <w:sz w:val="30"/>
          <w:szCs w:val="30"/>
          <w:lang w:val="en-US" w:eastAsia="zh-CN"/>
        </w:rPr>
        <w:t>2</w:t>
      </w:r>
      <w:r>
        <w:rPr>
          <w:rFonts w:ascii="Times New Roman" w:hAnsi="Times New Roman"/>
          <w:sz w:val="30"/>
          <w:szCs w:val="30"/>
        </w:rPr>
        <w:t>“方案</w:t>
      </w:r>
      <w:r>
        <w:rPr>
          <w:rFonts w:hint="eastAsia" w:ascii="Times New Roman" w:hAnsi="Times New Roman"/>
          <w:sz w:val="30"/>
          <w:szCs w:val="30"/>
          <w:lang w:eastAsia="zh-CN"/>
        </w:rPr>
        <w:t>F2-</w:t>
      </w:r>
      <w:r>
        <w:rPr>
          <w:rFonts w:hint="eastAsia" w:ascii="Times New Roman" w:hAnsi="Times New Roman"/>
          <w:sz w:val="30"/>
          <w:szCs w:val="30"/>
          <w:lang w:val="en-US" w:eastAsia="zh-CN"/>
        </w:rPr>
        <w:t>4</w:t>
      </w:r>
      <w:r>
        <w:rPr>
          <w:rFonts w:hint="eastAsia" w:ascii="Times New Roman" w:hAnsi="Times New Roman"/>
          <w:sz w:val="30"/>
          <w:szCs w:val="30"/>
          <w:lang w:eastAsia="zh-CN"/>
        </w:rPr>
        <w:t>：</w:t>
      </w:r>
      <w:r>
        <w:rPr>
          <w:rFonts w:hint="eastAsia"/>
          <w:snapToGrid w:val="0"/>
          <w:color w:val="auto"/>
          <w:kern w:val="24"/>
          <w:lang w:eastAsia="zh-CN"/>
        </w:rPr>
        <w:t>自动混料系统</w:t>
      </w:r>
      <w:r>
        <w:rPr>
          <w:rFonts w:hint="eastAsia" w:ascii="Times New Roman" w:hAnsi="Times New Roman"/>
          <w:sz w:val="30"/>
          <w:szCs w:val="30"/>
          <w:lang w:eastAsia="zh-CN"/>
        </w:rPr>
        <w:t>”</w:t>
      </w:r>
      <w:r>
        <w:rPr>
          <w:rFonts w:ascii="Times New Roman" w:hAnsi="Times New Roman"/>
          <w:sz w:val="30"/>
          <w:szCs w:val="30"/>
        </w:rPr>
        <w:t>可行性分析</w:t>
      </w:r>
      <w:bookmarkEnd w:id="249"/>
    </w:p>
    <w:p>
      <w:pPr>
        <w:pStyle w:val="4"/>
        <w:widowControl w:val="0"/>
        <w:spacing w:beforeLines="50" w:after="0" w:line="360" w:lineRule="auto"/>
        <w:rPr>
          <w:rFonts w:ascii="Times New Roman" w:hAnsi="Times New Roman" w:eastAsia="宋体" w:cs="Courier New"/>
          <w:sz w:val="28"/>
          <w:szCs w:val="30"/>
        </w:rPr>
      </w:pPr>
      <w:bookmarkStart w:id="254" w:name="_Toc19785"/>
      <w:r>
        <w:rPr>
          <w:rFonts w:hint="eastAsia" w:ascii="Times New Roman" w:hAnsi="Times New Roman" w:eastAsia="宋体" w:cs="Courier New"/>
          <w:sz w:val="28"/>
          <w:szCs w:val="30"/>
        </w:rPr>
        <w:t>6.</w:t>
      </w:r>
      <w:r>
        <w:rPr>
          <w:rFonts w:hint="eastAsia" w:ascii="Times New Roman" w:hAnsi="Times New Roman" w:eastAsia="宋体" w:cs="Courier New"/>
          <w:sz w:val="28"/>
          <w:szCs w:val="30"/>
          <w:lang w:val="en-US" w:eastAsia="zh-CN"/>
        </w:rPr>
        <w:t>2</w:t>
      </w:r>
      <w:r>
        <w:rPr>
          <w:rFonts w:hint="eastAsia" w:ascii="Times New Roman" w:hAnsi="Times New Roman" w:eastAsia="宋体" w:cs="Courier New"/>
          <w:sz w:val="28"/>
          <w:szCs w:val="30"/>
        </w:rPr>
        <w:t>.1</w:t>
      </w:r>
      <w:r>
        <w:rPr>
          <w:rFonts w:ascii="Times New Roman" w:hAnsi="Times New Roman" w:eastAsia="宋体" w:cs="Courier New"/>
          <w:sz w:val="28"/>
          <w:szCs w:val="30"/>
        </w:rPr>
        <w:t>方案</w:t>
      </w:r>
      <w:r>
        <w:rPr>
          <w:rFonts w:hint="eastAsia" w:ascii="Times New Roman" w:hAnsi="Times New Roman" w:eastAsia="宋体" w:cs="Courier New"/>
          <w:sz w:val="28"/>
          <w:szCs w:val="30"/>
        </w:rPr>
        <w:t>产生背景</w:t>
      </w:r>
      <w:bookmarkEnd w:id="254"/>
    </w:p>
    <w:p>
      <w:pPr>
        <w:spacing w:line="360" w:lineRule="auto"/>
        <w:ind w:firstLine="480" w:firstLineChars="200"/>
        <w:rPr>
          <w:rFonts w:hint="eastAsia" w:ascii="宋体" w:hAnsi="宋体" w:eastAsia="宋体"/>
          <w:sz w:val="24"/>
          <w:szCs w:val="24"/>
          <w:lang w:val="zh-CN"/>
        </w:rPr>
      </w:pPr>
      <w:r>
        <w:rPr>
          <w:rFonts w:hint="eastAsia" w:ascii="Times New Roman" w:hAnsi="宋体" w:eastAsia="宋体"/>
          <w:sz w:val="24"/>
          <w:szCs w:val="24"/>
        </w:rPr>
        <w:t>公司</w:t>
      </w:r>
      <w:r>
        <w:rPr>
          <w:rFonts w:hint="eastAsia" w:ascii="Times New Roman" w:hAnsi="宋体" w:eastAsia="宋体"/>
          <w:sz w:val="24"/>
          <w:szCs w:val="24"/>
          <w:lang w:val="en-US" w:eastAsia="zh-CN"/>
        </w:rPr>
        <w:t>发泡</w:t>
      </w:r>
      <w:r>
        <w:rPr>
          <w:rFonts w:hint="eastAsia" w:ascii="Times New Roman" w:hAnsi="宋体" w:eastAsia="宋体"/>
          <w:sz w:val="24"/>
          <w:szCs w:val="24"/>
        </w:rPr>
        <w:t>生产车间原使用是传统的人工混料装置，在生产过程中，有大量的粉尘产生，需要使用大的中央吸尘处理装置，同时耗用人工也比较多。</w:t>
      </w:r>
    </w:p>
    <w:p>
      <w:pPr>
        <w:pStyle w:val="4"/>
        <w:widowControl w:val="0"/>
        <w:spacing w:beforeLines="50" w:after="0" w:line="360" w:lineRule="auto"/>
        <w:rPr>
          <w:rFonts w:ascii="Times New Roman" w:hAnsi="Times New Roman" w:eastAsia="宋体" w:cs="Courier New"/>
          <w:sz w:val="28"/>
          <w:szCs w:val="30"/>
        </w:rPr>
      </w:pPr>
      <w:bookmarkStart w:id="255" w:name="_Toc1994"/>
      <w:r>
        <w:rPr>
          <w:rFonts w:hint="eastAsia" w:ascii="Times New Roman" w:hAnsi="Times New Roman" w:eastAsia="宋体" w:cs="Courier New"/>
          <w:sz w:val="28"/>
          <w:szCs w:val="30"/>
        </w:rPr>
        <w:t>6.</w:t>
      </w:r>
      <w:r>
        <w:rPr>
          <w:rFonts w:hint="eastAsia" w:ascii="Times New Roman" w:hAnsi="Times New Roman" w:eastAsia="宋体" w:cs="Courier New"/>
          <w:sz w:val="28"/>
          <w:szCs w:val="30"/>
          <w:lang w:val="en-US" w:eastAsia="zh-CN"/>
        </w:rPr>
        <w:t>2</w:t>
      </w:r>
      <w:r>
        <w:rPr>
          <w:rFonts w:hint="eastAsia" w:ascii="Times New Roman" w:hAnsi="Times New Roman" w:eastAsia="宋体" w:cs="Courier New"/>
          <w:sz w:val="28"/>
          <w:szCs w:val="30"/>
        </w:rPr>
        <w:t>.2</w:t>
      </w:r>
      <w:r>
        <w:rPr>
          <w:rFonts w:ascii="Times New Roman" w:hAnsi="Times New Roman" w:eastAsia="宋体" w:cs="Courier New"/>
          <w:sz w:val="28"/>
          <w:szCs w:val="30"/>
        </w:rPr>
        <w:t>方案技术评估</w:t>
      </w:r>
      <w:bookmarkEnd w:id="255"/>
    </w:p>
    <w:p>
      <w:pPr>
        <w:spacing w:line="360" w:lineRule="auto"/>
        <w:ind w:firstLine="482"/>
        <w:rPr>
          <w:rFonts w:ascii="Times New Roman" w:hAnsi="宋体" w:eastAsia="宋体"/>
          <w:sz w:val="24"/>
          <w:szCs w:val="24"/>
        </w:rPr>
      </w:pPr>
      <w:r>
        <w:rPr>
          <w:rFonts w:hint="eastAsia" w:ascii="Times New Roman" w:hAnsi="宋体" w:eastAsia="宋体"/>
          <w:sz w:val="24"/>
          <w:szCs w:val="24"/>
        </w:rPr>
        <w:t>针对原有传统的人工混料装置占用人工较多，粉尘产生量等问题，现改用自动混料系统，将原来人工投料、分散的设备整合成集中投料、自动计量、全封闭输送管道系统，达到资源整合集中互补利用，节约人工、能源。</w:t>
      </w:r>
    </w:p>
    <w:p>
      <w:pPr>
        <w:spacing w:line="360" w:lineRule="auto"/>
        <w:ind w:firstLine="482"/>
        <w:rPr>
          <w:rFonts w:ascii="Times New Roman" w:hAnsi="宋体" w:eastAsia="宋体"/>
          <w:sz w:val="24"/>
          <w:szCs w:val="24"/>
        </w:rPr>
      </w:pPr>
      <w:r>
        <w:rPr>
          <w:rFonts w:hint="eastAsia" w:ascii="Times New Roman" w:hAnsi="宋体" w:eastAsia="宋体"/>
          <w:sz w:val="24"/>
          <w:szCs w:val="24"/>
        </w:rPr>
        <w:t>根据生产流程及工艺要求，在一层安装</w:t>
      </w:r>
      <w:r>
        <w:rPr>
          <w:rFonts w:hint="eastAsia" w:ascii="Times New Roman" w:hAnsi="宋体" w:eastAsia="宋体"/>
          <w:sz w:val="24"/>
          <w:szCs w:val="24"/>
          <w:lang w:val="en-US" w:eastAsia="zh-CN"/>
        </w:rPr>
        <w:t>2</w:t>
      </w:r>
      <w:r>
        <w:rPr>
          <w:rFonts w:hint="eastAsia" w:ascii="Times New Roman" w:hAnsi="宋体" w:eastAsia="宋体"/>
          <w:sz w:val="24"/>
          <w:szCs w:val="24"/>
        </w:rPr>
        <w:t xml:space="preserve">个集中投料桶、计量装置、高混机、冷混机、原料输送管道，在二层安装小料投料桶、计量桶、大储料桶、管道输送除尘系统，中央控制系统。            </w:t>
      </w:r>
    </w:p>
    <w:p>
      <w:pPr>
        <w:spacing w:line="360" w:lineRule="auto"/>
        <w:ind w:firstLine="482"/>
        <w:rPr>
          <w:rFonts w:ascii="Times New Roman" w:hAnsi="宋体" w:eastAsia="宋体"/>
          <w:sz w:val="24"/>
          <w:szCs w:val="24"/>
        </w:rPr>
      </w:pPr>
      <w:r>
        <w:rPr>
          <w:rFonts w:hint="eastAsia" w:ascii="Times New Roman" w:hAnsi="宋体" w:eastAsia="宋体"/>
          <w:sz w:val="24"/>
          <w:szCs w:val="24"/>
        </w:rPr>
        <w:t>通过改造升级后，由原来的中央吸尘处理转变成利用管道输送的负压进行除尘，同时减少物料转运过程耗用的人工，对工作环境、能耗节约、减少用工，都产生了显著的成效该技术难度不高，方案成熟可靠。</w:t>
      </w:r>
    </w:p>
    <w:p>
      <w:pPr>
        <w:pStyle w:val="49"/>
        <w:ind w:firstLine="480"/>
        <w:rPr>
          <w:rFonts w:asciiTheme="minorEastAsia" w:hAnsiTheme="minorEastAsia" w:eastAsiaTheme="minorEastAsia"/>
          <w:sz w:val="24"/>
        </w:rPr>
      </w:pPr>
      <w:r>
        <w:rPr>
          <w:rFonts w:hint="eastAsia" w:asciiTheme="minorEastAsia" w:hAnsiTheme="minorEastAsia" w:eastAsiaTheme="minorEastAsia"/>
          <w:sz w:val="24"/>
        </w:rPr>
        <w:t>表6-</w:t>
      </w:r>
      <w:r>
        <w:rPr>
          <w:rFonts w:hint="eastAsia" w:asciiTheme="minorEastAsia" w:hAnsiTheme="minorEastAsia" w:eastAsiaTheme="minorEastAsia"/>
          <w:sz w:val="24"/>
          <w:lang w:val="en-US" w:eastAsia="zh-CN"/>
        </w:rPr>
        <w:t>2</w:t>
      </w:r>
      <w:r>
        <w:rPr>
          <w:rFonts w:hint="eastAsia" w:asciiTheme="minorEastAsia" w:hAnsiTheme="minorEastAsia" w:eastAsiaTheme="minorEastAsia"/>
          <w:sz w:val="24"/>
        </w:rPr>
        <w:t xml:space="preserve"> 自动混料系统方案技术评估分析表</w:t>
      </w:r>
    </w:p>
    <w:tbl>
      <w:tblPr>
        <w:tblStyle w:val="27"/>
        <w:tblW w:w="84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3423"/>
        <w:gridCol w:w="3685"/>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638"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序号</w:t>
            </w:r>
          </w:p>
        </w:tc>
        <w:tc>
          <w:tcPr>
            <w:tcW w:w="3423"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技术评估内容</w:t>
            </w:r>
          </w:p>
        </w:tc>
        <w:tc>
          <w:tcPr>
            <w:tcW w:w="3685"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评估</w:t>
            </w:r>
          </w:p>
        </w:tc>
        <w:tc>
          <w:tcPr>
            <w:tcW w:w="709"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63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1</w:t>
            </w:r>
          </w:p>
        </w:tc>
        <w:tc>
          <w:tcPr>
            <w:tcW w:w="3423"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采用的工艺技术路线和设备在经济上是否合理，技术是否先进、适用？</w:t>
            </w:r>
          </w:p>
        </w:tc>
        <w:tc>
          <w:tcPr>
            <w:tcW w:w="3685"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本方案公司在考察多行业技术后制定本方案，经技术评估可行</w:t>
            </w:r>
          </w:p>
        </w:tc>
        <w:tc>
          <w:tcPr>
            <w:tcW w:w="709" w:type="dxa"/>
            <w:vMerge w:val="restart"/>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63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2</w:t>
            </w:r>
          </w:p>
        </w:tc>
        <w:tc>
          <w:tcPr>
            <w:tcW w:w="3423"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技术引进或设备进口是否符合我国国情，引进技术有否消化吸收能力？</w:t>
            </w:r>
          </w:p>
        </w:tc>
        <w:tc>
          <w:tcPr>
            <w:tcW w:w="3685"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本方案为业内通用技术</w:t>
            </w:r>
          </w:p>
        </w:tc>
        <w:tc>
          <w:tcPr>
            <w:tcW w:w="709" w:type="dxa"/>
            <w:vMerge w:val="continue"/>
            <w:vAlign w:val="center"/>
          </w:tcPr>
          <w:p>
            <w:pPr>
              <w:widowControl/>
              <w:jc w:val="center"/>
              <w:rPr>
                <w:rFonts w:ascii="宋体" w:eastAsia="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63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3</w:t>
            </w:r>
          </w:p>
        </w:tc>
        <w:tc>
          <w:tcPr>
            <w:tcW w:w="3423"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资源能源利用率是否合理？</w:t>
            </w:r>
          </w:p>
        </w:tc>
        <w:tc>
          <w:tcPr>
            <w:tcW w:w="3685" w:type="dxa"/>
            <w:vAlign w:val="center"/>
          </w:tcPr>
          <w:p>
            <w:pPr>
              <w:spacing w:before="120"/>
              <w:ind w:firstLine="420"/>
            </w:pPr>
            <w:r>
              <w:rPr>
                <w:rFonts w:hint="eastAsia" w:ascii="宋体" w:hAnsi="宋体" w:eastAsia="宋体"/>
                <w:kern w:val="0"/>
                <w:szCs w:val="21"/>
              </w:rPr>
              <w:t>提高资源利用效率</w:t>
            </w:r>
          </w:p>
        </w:tc>
        <w:tc>
          <w:tcPr>
            <w:tcW w:w="709" w:type="dxa"/>
            <w:vMerge w:val="continue"/>
            <w:vAlign w:val="center"/>
          </w:tcPr>
          <w:p>
            <w:pPr>
              <w:widowControl/>
              <w:jc w:val="center"/>
              <w:rPr>
                <w:rFonts w:ascii="宋体" w:eastAsia="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63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4</w:t>
            </w:r>
          </w:p>
        </w:tc>
        <w:tc>
          <w:tcPr>
            <w:tcW w:w="3423"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生产过程是否安全可靠？</w:t>
            </w:r>
          </w:p>
        </w:tc>
        <w:tc>
          <w:tcPr>
            <w:tcW w:w="3685"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设备正常运行过程安全可靠</w:t>
            </w:r>
          </w:p>
        </w:tc>
        <w:tc>
          <w:tcPr>
            <w:tcW w:w="709" w:type="dxa"/>
            <w:vMerge w:val="continue"/>
            <w:vAlign w:val="center"/>
          </w:tcPr>
          <w:p>
            <w:pPr>
              <w:widowControl/>
              <w:jc w:val="center"/>
              <w:rPr>
                <w:rFonts w:ascii="宋体" w:eastAsia="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63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5</w:t>
            </w:r>
          </w:p>
        </w:tc>
        <w:tc>
          <w:tcPr>
            <w:tcW w:w="3423"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工艺技术或设备是否成熟</w:t>
            </w:r>
          </w:p>
        </w:tc>
        <w:tc>
          <w:tcPr>
            <w:tcW w:w="3685"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该改造方案采用的工艺技术和设备成熟</w:t>
            </w:r>
          </w:p>
        </w:tc>
        <w:tc>
          <w:tcPr>
            <w:tcW w:w="709" w:type="dxa"/>
            <w:vMerge w:val="continue"/>
            <w:vAlign w:val="center"/>
          </w:tcPr>
          <w:p>
            <w:pPr>
              <w:widowControl/>
              <w:jc w:val="center"/>
              <w:rPr>
                <w:rFonts w:ascii="宋体" w:eastAsia="宋体"/>
                <w:kern w:val="0"/>
                <w:szCs w:val="21"/>
              </w:rPr>
            </w:pPr>
          </w:p>
        </w:tc>
      </w:tr>
    </w:tbl>
    <w:p>
      <w:pPr>
        <w:pStyle w:val="4"/>
        <w:widowControl w:val="0"/>
        <w:spacing w:beforeLines="50" w:after="0" w:line="360" w:lineRule="auto"/>
        <w:rPr>
          <w:rFonts w:ascii="Times New Roman" w:hAnsi="Times New Roman" w:eastAsia="宋体" w:cs="Courier New"/>
          <w:sz w:val="28"/>
          <w:szCs w:val="30"/>
        </w:rPr>
      </w:pPr>
      <w:bookmarkStart w:id="256" w:name="_Toc23239"/>
      <w:r>
        <w:rPr>
          <w:rFonts w:hint="eastAsia" w:ascii="Times New Roman" w:hAnsi="Times New Roman" w:eastAsia="宋体" w:cs="Courier New"/>
          <w:sz w:val="28"/>
          <w:szCs w:val="30"/>
        </w:rPr>
        <w:t>6.</w:t>
      </w:r>
      <w:r>
        <w:rPr>
          <w:rFonts w:hint="eastAsia" w:ascii="Times New Roman" w:hAnsi="Times New Roman" w:eastAsia="宋体" w:cs="Courier New"/>
          <w:sz w:val="28"/>
          <w:szCs w:val="30"/>
          <w:lang w:val="en-US" w:eastAsia="zh-CN"/>
        </w:rPr>
        <w:t>2</w:t>
      </w:r>
      <w:r>
        <w:rPr>
          <w:rFonts w:hint="eastAsia" w:ascii="Times New Roman" w:hAnsi="Times New Roman" w:eastAsia="宋体" w:cs="Courier New"/>
          <w:sz w:val="28"/>
          <w:szCs w:val="30"/>
        </w:rPr>
        <w:t>.3环境评估的内容</w:t>
      </w:r>
      <w:bookmarkEnd w:id="256"/>
    </w:p>
    <w:p>
      <w:pPr>
        <w:spacing w:line="360" w:lineRule="auto"/>
        <w:ind w:firstLine="482"/>
        <w:rPr>
          <w:rFonts w:ascii="Times New Roman" w:hAnsi="宋体" w:eastAsia="宋体"/>
          <w:sz w:val="24"/>
          <w:szCs w:val="24"/>
        </w:rPr>
      </w:pPr>
      <w:r>
        <w:rPr>
          <w:rFonts w:hint="eastAsia" w:ascii="Times New Roman" w:hAnsi="宋体" w:eastAsia="宋体"/>
          <w:sz w:val="24"/>
          <w:szCs w:val="24"/>
        </w:rPr>
        <w:t>自动混料系统属于全封闭输送管道系统，除尘系统由原来的中央吸尘处理转变成利用管道输送的负压进行除尘，能够减少混料过程中粉尘的产生。</w:t>
      </w:r>
    </w:p>
    <w:p>
      <w:pPr>
        <w:spacing w:line="360" w:lineRule="auto"/>
        <w:ind w:firstLine="482"/>
        <w:rPr>
          <w:rFonts w:ascii="Times New Roman" w:hAnsi="宋体" w:eastAsia="宋体"/>
          <w:sz w:val="24"/>
          <w:szCs w:val="24"/>
        </w:rPr>
      </w:pPr>
      <w:r>
        <w:rPr>
          <w:rFonts w:hint="eastAsia" w:ascii="Times New Roman" w:hAnsi="宋体" w:eastAsia="宋体"/>
          <w:sz w:val="24"/>
          <w:szCs w:val="24"/>
        </w:rPr>
        <w:t>原中央吸尘使用的是四台16kW电机，每天二十四小时运转，一年共计耗电量：16×8×280×４＝143360kWh</w:t>
      </w:r>
    </w:p>
    <w:p>
      <w:pPr>
        <w:spacing w:line="360" w:lineRule="auto"/>
        <w:ind w:firstLine="482"/>
        <w:rPr>
          <w:rFonts w:ascii="Times New Roman" w:hAnsi="宋体" w:eastAsia="宋体"/>
          <w:sz w:val="24"/>
          <w:szCs w:val="24"/>
        </w:rPr>
      </w:pPr>
      <w:r>
        <w:rPr>
          <w:rFonts w:hint="eastAsia" w:ascii="Times New Roman" w:hAnsi="宋体" w:eastAsia="宋体"/>
          <w:sz w:val="24"/>
          <w:szCs w:val="24"/>
        </w:rPr>
        <w:t>减少原料浪费，原中央吸尘处理收集的粉尘，每天约有３０kg产生，一年就有30×280＝</w:t>
      </w:r>
      <w:r>
        <w:rPr>
          <w:rFonts w:hint="eastAsia" w:ascii="Times New Roman" w:hAnsi="宋体" w:eastAsia="宋体"/>
          <w:sz w:val="24"/>
          <w:szCs w:val="24"/>
          <w:lang w:val="en-US" w:eastAsia="zh-CN"/>
        </w:rPr>
        <w:t>9000</w:t>
      </w:r>
      <w:r>
        <w:rPr>
          <w:rFonts w:hint="eastAsia" w:ascii="Times New Roman" w:hAnsi="宋体" w:eastAsia="宋体"/>
          <w:sz w:val="24"/>
          <w:szCs w:val="24"/>
        </w:rPr>
        <w:t>kg只能降级使用</w:t>
      </w:r>
    </w:p>
    <w:p>
      <w:pPr>
        <w:spacing w:line="360" w:lineRule="auto"/>
        <w:ind w:firstLine="482"/>
        <w:rPr>
          <w:rFonts w:ascii="Times New Roman" w:hAnsi="宋体" w:eastAsia="宋体"/>
          <w:sz w:val="24"/>
          <w:szCs w:val="24"/>
        </w:rPr>
      </w:pPr>
      <w:r>
        <w:rPr>
          <w:rFonts w:hint="eastAsia" w:ascii="Times New Roman" w:hAnsi="宋体" w:eastAsia="宋体"/>
          <w:sz w:val="24"/>
          <w:szCs w:val="24"/>
        </w:rPr>
        <w:t>降低劳动强度预计节约岗位人员3人</w:t>
      </w:r>
    </w:p>
    <w:p>
      <w:pPr>
        <w:spacing w:line="360" w:lineRule="auto"/>
        <w:ind w:firstLine="482"/>
        <w:rPr>
          <w:rFonts w:ascii="Times New Roman" w:hAnsi="宋体" w:eastAsia="宋体"/>
          <w:sz w:val="24"/>
          <w:szCs w:val="24"/>
        </w:rPr>
      </w:pPr>
      <w:r>
        <w:rPr>
          <w:rFonts w:hint="eastAsia" w:ascii="Times New Roman" w:hAnsi="宋体" w:eastAsia="宋体"/>
          <w:sz w:val="24"/>
          <w:szCs w:val="24"/>
        </w:rPr>
        <w:t>自动混料系统方案，其环境可行性对比见表</w:t>
      </w:r>
      <w:r>
        <w:rPr>
          <w:rFonts w:hint="eastAsia" w:ascii="Times New Roman" w:hAnsi="宋体" w:eastAsia="宋体"/>
          <w:sz w:val="24"/>
          <w:szCs w:val="24"/>
          <w:lang w:val="en-US" w:eastAsia="zh-CN"/>
        </w:rPr>
        <w:t>6-3</w:t>
      </w:r>
      <w:r>
        <w:rPr>
          <w:rFonts w:hint="eastAsia" w:ascii="Times New Roman" w:hAnsi="宋体" w:eastAsia="宋体"/>
          <w:sz w:val="24"/>
          <w:szCs w:val="24"/>
        </w:rPr>
        <w:t>。</w:t>
      </w:r>
    </w:p>
    <w:p>
      <w:pPr>
        <w:pStyle w:val="76"/>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表6-</w:t>
      </w:r>
      <w:r>
        <w:rPr>
          <w:rFonts w:hint="eastAsia" w:asciiTheme="minorEastAsia" w:hAnsiTheme="minorEastAsia" w:eastAsiaTheme="minorEastAsia"/>
          <w:b/>
          <w:sz w:val="24"/>
          <w:szCs w:val="24"/>
          <w:lang w:val="en-US" w:eastAsia="zh-CN"/>
        </w:rPr>
        <w:t>3</w:t>
      </w:r>
      <w:r>
        <w:rPr>
          <w:rFonts w:hint="eastAsia" w:asciiTheme="minorEastAsia" w:hAnsiTheme="minorEastAsia" w:eastAsiaTheme="minorEastAsia"/>
          <w:b/>
          <w:sz w:val="24"/>
          <w:szCs w:val="24"/>
        </w:rPr>
        <w:t xml:space="preserve"> 自动混料系统方案环境可行性对比表</w:t>
      </w:r>
    </w:p>
    <w:tbl>
      <w:tblPr>
        <w:tblStyle w:val="27"/>
        <w:tblW w:w="90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2"/>
        <w:gridCol w:w="4758"/>
        <w:gridCol w:w="2957"/>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02"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序号</w:t>
            </w:r>
          </w:p>
        </w:tc>
        <w:tc>
          <w:tcPr>
            <w:tcW w:w="4758"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环境评估内容</w:t>
            </w:r>
          </w:p>
        </w:tc>
        <w:tc>
          <w:tcPr>
            <w:tcW w:w="2957"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评估</w:t>
            </w:r>
          </w:p>
        </w:tc>
        <w:tc>
          <w:tcPr>
            <w:tcW w:w="708" w:type="dxa"/>
            <w:vAlign w:val="center"/>
          </w:tcPr>
          <w:p>
            <w:pPr>
              <w:widowControl/>
              <w:adjustRightInd w:val="0"/>
              <w:snapToGrid w:val="0"/>
              <w:spacing w:after="100" w:afterAutospacing="1" w:line="360" w:lineRule="auto"/>
              <w:jc w:val="center"/>
              <w:rPr>
                <w:rFonts w:ascii="宋体" w:eastAsia="宋体"/>
                <w:b/>
                <w:bCs/>
                <w:kern w:val="0"/>
                <w:szCs w:val="21"/>
              </w:rPr>
            </w:pPr>
            <w:r>
              <w:rPr>
                <w:rFonts w:hint="eastAsia" w:ascii="宋体" w:eastAsia="宋体"/>
                <w:b/>
                <w:bCs/>
                <w:kern w:val="0"/>
                <w:szCs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02"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1</w:t>
            </w:r>
          </w:p>
        </w:tc>
        <w:tc>
          <w:tcPr>
            <w:tcW w:w="475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资源和能源消耗是否减少，是否可利用再生能源</w:t>
            </w:r>
          </w:p>
        </w:tc>
        <w:tc>
          <w:tcPr>
            <w:tcW w:w="2957"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年节电14万kWh</w:t>
            </w:r>
          </w:p>
        </w:tc>
        <w:tc>
          <w:tcPr>
            <w:tcW w:w="708" w:type="dxa"/>
            <w:vMerge w:val="restart"/>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02"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2</w:t>
            </w:r>
          </w:p>
        </w:tc>
        <w:tc>
          <w:tcPr>
            <w:tcW w:w="475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废弃物排放量是否变化，污染物总量变化情况，污染物是否会产生二次污染</w:t>
            </w:r>
          </w:p>
        </w:tc>
        <w:tc>
          <w:tcPr>
            <w:tcW w:w="2957"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减少粉尘产生量8400kg</w:t>
            </w:r>
          </w:p>
        </w:tc>
        <w:tc>
          <w:tcPr>
            <w:tcW w:w="708" w:type="dxa"/>
            <w:vMerge w:val="continue"/>
            <w:vAlign w:val="center"/>
          </w:tcPr>
          <w:p>
            <w:pPr>
              <w:widowControl/>
              <w:jc w:val="left"/>
              <w:rPr>
                <w:rFonts w:ascii="宋体" w:eastAsia="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02"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3</w:t>
            </w:r>
          </w:p>
        </w:tc>
        <w:tc>
          <w:tcPr>
            <w:tcW w:w="475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是否减少了毒性大、危害严重的原辅材料使用量</w:t>
            </w:r>
          </w:p>
        </w:tc>
        <w:tc>
          <w:tcPr>
            <w:tcW w:w="2957"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方案实施前后无变化</w:t>
            </w:r>
          </w:p>
        </w:tc>
        <w:tc>
          <w:tcPr>
            <w:tcW w:w="708" w:type="dxa"/>
            <w:vMerge w:val="continue"/>
            <w:vAlign w:val="center"/>
          </w:tcPr>
          <w:p>
            <w:pPr>
              <w:widowControl/>
              <w:jc w:val="left"/>
              <w:rPr>
                <w:rFonts w:ascii="宋体" w:eastAsia="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02"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4</w:t>
            </w:r>
          </w:p>
        </w:tc>
        <w:tc>
          <w:tcPr>
            <w:tcW w:w="475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szCs w:val="21"/>
              </w:rPr>
              <w:t>方案实施所需的操作环境对生产人员健康的影响</w:t>
            </w:r>
          </w:p>
        </w:tc>
        <w:tc>
          <w:tcPr>
            <w:tcW w:w="2957"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改善员工劳动强度和环境</w:t>
            </w:r>
          </w:p>
        </w:tc>
        <w:tc>
          <w:tcPr>
            <w:tcW w:w="708" w:type="dxa"/>
            <w:vMerge w:val="continue"/>
            <w:vAlign w:val="center"/>
          </w:tcPr>
          <w:p>
            <w:pPr>
              <w:widowControl/>
              <w:jc w:val="left"/>
              <w:rPr>
                <w:rFonts w:ascii="宋体" w:eastAsia="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02"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5</w:t>
            </w:r>
          </w:p>
        </w:tc>
        <w:tc>
          <w:tcPr>
            <w:tcW w:w="4758"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szCs w:val="21"/>
              </w:rPr>
              <w:t>方案实施后，是否可以实现对废弃物的重复利用、循环利用和再生回收</w:t>
            </w:r>
          </w:p>
        </w:tc>
        <w:tc>
          <w:tcPr>
            <w:tcW w:w="2957" w:type="dxa"/>
            <w:vAlign w:val="center"/>
          </w:tcPr>
          <w:p>
            <w:pPr>
              <w:widowControl/>
              <w:adjustRightInd w:val="0"/>
              <w:snapToGrid w:val="0"/>
              <w:spacing w:after="100" w:afterAutospacing="1" w:line="360" w:lineRule="auto"/>
              <w:jc w:val="center"/>
              <w:rPr>
                <w:rFonts w:ascii="宋体" w:eastAsia="宋体"/>
                <w:kern w:val="0"/>
                <w:szCs w:val="21"/>
              </w:rPr>
            </w:pPr>
            <w:r>
              <w:rPr>
                <w:rFonts w:hint="eastAsia" w:ascii="宋体" w:eastAsia="宋体"/>
                <w:kern w:val="0"/>
                <w:szCs w:val="21"/>
              </w:rPr>
              <w:t>提高塑粉的循环利用率</w:t>
            </w:r>
          </w:p>
        </w:tc>
        <w:tc>
          <w:tcPr>
            <w:tcW w:w="708" w:type="dxa"/>
            <w:vMerge w:val="continue"/>
            <w:vAlign w:val="center"/>
          </w:tcPr>
          <w:p>
            <w:pPr>
              <w:widowControl/>
              <w:jc w:val="left"/>
              <w:rPr>
                <w:rFonts w:ascii="宋体" w:eastAsia="宋体"/>
                <w:kern w:val="0"/>
                <w:szCs w:val="21"/>
              </w:rPr>
            </w:pPr>
          </w:p>
        </w:tc>
      </w:tr>
    </w:tbl>
    <w:p>
      <w:pPr>
        <w:pStyle w:val="4"/>
        <w:widowControl w:val="0"/>
        <w:spacing w:beforeLines="50" w:after="0" w:line="360" w:lineRule="auto"/>
        <w:rPr>
          <w:rFonts w:ascii="Times New Roman" w:hAnsi="Times New Roman" w:eastAsia="宋体" w:cs="Courier New"/>
          <w:sz w:val="28"/>
          <w:szCs w:val="30"/>
        </w:rPr>
      </w:pPr>
      <w:bookmarkStart w:id="257" w:name="_Toc31808"/>
      <w:r>
        <w:rPr>
          <w:rFonts w:hint="eastAsia" w:ascii="Times New Roman" w:hAnsi="Times New Roman" w:eastAsia="宋体" w:cs="Courier New"/>
          <w:sz w:val="28"/>
          <w:szCs w:val="30"/>
        </w:rPr>
        <w:t>6.</w:t>
      </w:r>
      <w:r>
        <w:rPr>
          <w:rFonts w:hint="eastAsia" w:ascii="Times New Roman" w:hAnsi="Times New Roman" w:eastAsia="宋体" w:cs="Courier New"/>
          <w:sz w:val="28"/>
          <w:szCs w:val="30"/>
          <w:lang w:val="en-US" w:eastAsia="zh-CN"/>
        </w:rPr>
        <w:t>2</w:t>
      </w:r>
      <w:r>
        <w:rPr>
          <w:rFonts w:hint="eastAsia" w:ascii="Times New Roman" w:hAnsi="Times New Roman" w:eastAsia="宋体" w:cs="Courier New"/>
          <w:sz w:val="28"/>
          <w:szCs w:val="30"/>
        </w:rPr>
        <w:t>.4经济评估的内容</w:t>
      </w:r>
      <w:bookmarkEnd w:id="257"/>
    </w:p>
    <w:p>
      <w:pPr>
        <w:pStyle w:val="42"/>
        <w:ind w:firstLine="480" w:firstLineChars="200"/>
        <w:jc w:val="both"/>
        <w:rPr>
          <w:rFonts w:hAnsi="Times New Roman" w:eastAsia="宋体"/>
          <w:szCs w:val="24"/>
        </w:rPr>
      </w:pPr>
      <w:r>
        <w:rPr>
          <w:rFonts w:hint="eastAsia" w:hAnsi="Times New Roman" w:eastAsia="宋体"/>
          <w:szCs w:val="24"/>
        </w:rPr>
        <w:t>本方案设备、人工、调试等综合费用费用</w:t>
      </w:r>
      <w:r>
        <w:rPr>
          <w:rFonts w:hint="eastAsia" w:hAnsi="Times New Roman" w:eastAsia="宋体"/>
          <w:szCs w:val="24"/>
          <w:lang w:val="en-US" w:eastAsia="zh-CN"/>
        </w:rPr>
        <w:t>20</w:t>
      </w:r>
      <w:r>
        <w:rPr>
          <w:rFonts w:hint="eastAsia" w:hAnsi="Times New Roman" w:eastAsia="宋体"/>
          <w:szCs w:val="24"/>
        </w:rPr>
        <w:t>万元。</w:t>
      </w:r>
    </w:p>
    <w:p>
      <w:pPr>
        <w:pStyle w:val="42"/>
        <w:ind w:firstLine="480" w:firstLineChars="200"/>
        <w:jc w:val="both"/>
        <w:rPr>
          <w:rFonts w:hAnsi="Times New Roman" w:eastAsia="宋体"/>
          <w:szCs w:val="24"/>
        </w:rPr>
      </w:pPr>
      <w:r>
        <w:rPr>
          <w:rFonts w:hint="eastAsia" w:hAnsi="Times New Roman" w:eastAsia="宋体"/>
          <w:szCs w:val="24"/>
        </w:rPr>
        <w:t>按现公司平均电价计算，年可节约电费：</w:t>
      </w:r>
    </w:p>
    <w:p>
      <w:pPr>
        <w:pStyle w:val="42"/>
        <w:ind w:firstLine="480" w:firstLineChars="200"/>
        <w:jc w:val="both"/>
        <w:rPr>
          <w:rFonts w:hAnsi="Times New Roman" w:eastAsia="宋体"/>
          <w:szCs w:val="24"/>
        </w:rPr>
      </w:pPr>
      <w:r>
        <w:rPr>
          <w:rFonts w:hint="eastAsia" w:hAnsi="Times New Roman" w:eastAsia="宋体"/>
          <w:szCs w:val="24"/>
        </w:rPr>
        <w:t>143360×1</w:t>
      </w:r>
      <w:r>
        <w:rPr>
          <w:rFonts w:hint="eastAsia" w:hAnsi="Times New Roman" w:eastAsia="宋体"/>
          <w:szCs w:val="24"/>
          <w:lang w:val="en-US" w:eastAsia="zh-CN"/>
        </w:rPr>
        <w:t>.1</w:t>
      </w:r>
      <w:r>
        <w:rPr>
          <w:rFonts w:hint="eastAsia" w:hAnsi="Times New Roman" w:eastAsia="宋体"/>
          <w:szCs w:val="24"/>
        </w:rPr>
        <w:t>＝</w:t>
      </w:r>
      <w:r>
        <w:rPr>
          <w:rFonts w:hint="eastAsia" w:hAnsi="Times New Roman" w:eastAsia="宋体"/>
          <w:szCs w:val="24"/>
          <w:lang w:val="en-US" w:eastAsia="zh-CN"/>
        </w:rPr>
        <w:t>157696</w:t>
      </w:r>
      <w:r>
        <w:rPr>
          <w:rFonts w:hint="eastAsia" w:hAnsi="Times New Roman" w:eastAsia="宋体"/>
          <w:szCs w:val="24"/>
        </w:rPr>
        <w:t xml:space="preserve">元    </w:t>
      </w:r>
    </w:p>
    <w:p>
      <w:pPr>
        <w:pStyle w:val="42"/>
        <w:ind w:firstLine="480" w:firstLineChars="200"/>
        <w:jc w:val="both"/>
        <w:rPr>
          <w:rFonts w:hAnsi="Times New Roman" w:eastAsia="宋体"/>
          <w:szCs w:val="24"/>
        </w:rPr>
      </w:pPr>
      <w:r>
        <w:rPr>
          <w:rFonts w:hint="eastAsia" w:hAnsi="Times New Roman" w:eastAsia="宋体"/>
          <w:szCs w:val="24"/>
        </w:rPr>
        <w:t>减少粉尘降级处理费：</w:t>
      </w:r>
    </w:p>
    <w:p>
      <w:pPr>
        <w:pStyle w:val="42"/>
        <w:ind w:firstLine="480" w:firstLineChars="200"/>
        <w:jc w:val="both"/>
        <w:rPr>
          <w:rFonts w:hAnsi="Times New Roman" w:eastAsia="宋体"/>
          <w:szCs w:val="24"/>
        </w:rPr>
      </w:pPr>
      <w:r>
        <w:rPr>
          <w:rFonts w:hint="eastAsia" w:hAnsi="Times New Roman" w:eastAsia="宋体"/>
          <w:szCs w:val="24"/>
          <w:lang w:val="en-US" w:eastAsia="zh-CN"/>
        </w:rPr>
        <w:t>9000</w:t>
      </w:r>
      <w:r>
        <w:rPr>
          <w:rFonts w:hint="eastAsia" w:hAnsi="Times New Roman" w:eastAsia="宋体"/>
          <w:szCs w:val="24"/>
        </w:rPr>
        <w:t>×6＝</w:t>
      </w:r>
      <w:r>
        <w:rPr>
          <w:rFonts w:hint="eastAsia" w:hAnsi="Times New Roman" w:eastAsia="宋体"/>
          <w:szCs w:val="24"/>
          <w:lang w:val="en-US" w:eastAsia="zh-CN"/>
        </w:rPr>
        <w:t>54000</w:t>
      </w:r>
      <w:r>
        <w:rPr>
          <w:rFonts w:hint="eastAsia" w:hAnsi="Times New Roman" w:eastAsia="宋体"/>
          <w:szCs w:val="24"/>
        </w:rPr>
        <w:t xml:space="preserve">元   </w:t>
      </w:r>
    </w:p>
    <w:p>
      <w:pPr>
        <w:pStyle w:val="42"/>
        <w:ind w:firstLine="480" w:firstLineChars="200"/>
        <w:jc w:val="both"/>
        <w:rPr>
          <w:rFonts w:hAnsi="Times New Roman" w:eastAsia="宋体"/>
          <w:szCs w:val="24"/>
        </w:rPr>
      </w:pPr>
      <w:r>
        <w:rPr>
          <w:rFonts w:hint="eastAsia" w:hAnsi="Times New Roman" w:eastAsia="宋体"/>
          <w:szCs w:val="24"/>
        </w:rPr>
        <w:t>节约人工成本：3人×3500元／月×12月＝126000元</w:t>
      </w:r>
    </w:p>
    <w:p>
      <w:pPr>
        <w:pStyle w:val="42"/>
        <w:ind w:firstLine="480" w:firstLineChars="200"/>
        <w:jc w:val="both"/>
        <w:rPr>
          <w:rFonts w:hAnsi="Times New Roman" w:eastAsia="宋体"/>
          <w:szCs w:val="24"/>
        </w:rPr>
      </w:pPr>
      <w:r>
        <w:rPr>
          <w:rFonts w:hint="eastAsia" w:hAnsi="Times New Roman" w:eastAsia="宋体"/>
          <w:szCs w:val="24"/>
        </w:rPr>
        <w:t>共计节约</w:t>
      </w:r>
      <w:r>
        <w:rPr>
          <w:rFonts w:hint="eastAsia" w:hAnsi="Times New Roman" w:eastAsia="宋体"/>
          <w:szCs w:val="24"/>
          <w:lang w:val="en-US" w:eastAsia="zh-CN"/>
        </w:rPr>
        <w:t>33.77万元</w:t>
      </w:r>
      <w:r>
        <w:rPr>
          <w:rFonts w:hint="eastAsia" w:hAnsi="Times New Roman" w:eastAsia="宋体"/>
          <w:szCs w:val="24"/>
        </w:rPr>
        <w:t>元，因更符合公司管理及环保方面的需求。</w:t>
      </w:r>
    </w:p>
    <w:p>
      <w:pPr>
        <w:pStyle w:val="42"/>
        <w:ind w:firstLine="480" w:firstLineChars="200"/>
        <w:jc w:val="both"/>
        <w:rPr>
          <w:rFonts w:hAnsi="Times New Roman" w:eastAsia="宋体"/>
          <w:szCs w:val="24"/>
        </w:rPr>
      </w:pPr>
      <w:r>
        <w:rPr>
          <w:rFonts w:hint="eastAsia" w:hAnsi="Times New Roman" w:eastAsia="宋体"/>
          <w:szCs w:val="24"/>
        </w:rPr>
        <w:t>根据清洁生产审核经济可行性评估要求，各项经济指标计算如下：</w:t>
      </w:r>
    </w:p>
    <w:p>
      <w:pPr>
        <w:pStyle w:val="76"/>
        <w:jc w:val="center"/>
        <w:rPr>
          <w:rFonts w:asciiTheme="minorEastAsia" w:hAnsiTheme="minorEastAsia" w:eastAsiaTheme="minorEastAsia"/>
          <w:b/>
        </w:rPr>
      </w:pPr>
      <w:r>
        <w:rPr>
          <w:rFonts w:hint="eastAsia" w:asciiTheme="minorEastAsia" w:hAnsiTheme="minorEastAsia" w:eastAsiaTheme="minorEastAsia"/>
          <w:b/>
          <w:sz w:val="24"/>
          <w:szCs w:val="24"/>
        </w:rPr>
        <w:t>表6-</w:t>
      </w:r>
      <w:r>
        <w:rPr>
          <w:rFonts w:hint="eastAsia" w:asciiTheme="minorEastAsia" w:hAnsiTheme="minorEastAsia" w:eastAsiaTheme="minorEastAsia"/>
          <w:b/>
          <w:sz w:val="24"/>
          <w:szCs w:val="24"/>
          <w:lang w:val="en-US" w:eastAsia="zh-CN"/>
        </w:rPr>
        <w:t>4</w:t>
      </w:r>
      <w:r>
        <w:rPr>
          <w:rFonts w:hint="eastAsia" w:asciiTheme="minorEastAsia" w:hAnsiTheme="minorEastAsia" w:eastAsiaTheme="minorEastAsia"/>
          <w:b/>
          <w:sz w:val="24"/>
          <w:szCs w:val="24"/>
        </w:rPr>
        <w:t xml:space="preserve"> 自动混料系统方案经济指标计算表</w:t>
      </w:r>
    </w:p>
    <w:tbl>
      <w:tblPr>
        <w:tblStyle w:val="27"/>
        <w:tblW w:w="86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5"/>
        <w:gridCol w:w="3134"/>
        <w:gridCol w:w="2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项目</w:t>
            </w:r>
          </w:p>
        </w:tc>
        <w:tc>
          <w:tcPr>
            <w:tcW w:w="3134"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公式</w:t>
            </w:r>
          </w:p>
        </w:tc>
        <w:tc>
          <w:tcPr>
            <w:tcW w:w="2454" w:type="dxa"/>
            <w:vAlign w:val="center"/>
          </w:tcPr>
          <w:p>
            <w:pPr>
              <w:adjustRightInd w:val="0"/>
              <w:snapToGrid w:val="0"/>
              <w:spacing w:after="100" w:afterAutospacing="1" w:line="360" w:lineRule="auto"/>
              <w:jc w:val="center"/>
              <w:rPr>
                <w:rFonts w:ascii="宋体" w:eastAsia="宋体"/>
                <w:b/>
                <w:bCs/>
                <w:szCs w:val="21"/>
              </w:rPr>
            </w:pPr>
            <w:r>
              <w:rPr>
                <w:rFonts w:hint="eastAsia" w:ascii="宋体" w:eastAsia="宋体"/>
                <w:b/>
                <w:bCs/>
                <w:szCs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总投资费用（I）</w:t>
            </w:r>
          </w:p>
        </w:tc>
        <w:tc>
          <w:tcPr>
            <w:tcW w:w="3134"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w:t>
            </w:r>
          </w:p>
        </w:tc>
        <w:tc>
          <w:tcPr>
            <w:tcW w:w="2454" w:type="dxa"/>
            <w:vAlign w:val="center"/>
          </w:tcPr>
          <w:p>
            <w:pPr>
              <w:adjustRightInd w:val="0"/>
              <w:snapToGrid w:val="0"/>
              <w:spacing w:after="100" w:afterAutospacing="1" w:line="360" w:lineRule="auto"/>
              <w:jc w:val="center"/>
              <w:rPr>
                <w:rFonts w:hint="default" w:ascii="宋体" w:eastAsia="宋体"/>
                <w:szCs w:val="21"/>
                <w:lang w:val="en-US" w:eastAsia="zh-CN"/>
              </w:rPr>
            </w:pPr>
            <w:r>
              <w:rPr>
                <w:rFonts w:hint="eastAsia" w:ascii="宋体" w:eastAsia="宋体"/>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年运行费用总节省金额（P）</w:t>
            </w:r>
          </w:p>
        </w:tc>
        <w:tc>
          <w:tcPr>
            <w:tcW w:w="3134"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w:t>
            </w:r>
          </w:p>
        </w:tc>
        <w:tc>
          <w:tcPr>
            <w:tcW w:w="2454" w:type="dxa"/>
            <w:vAlign w:val="center"/>
          </w:tcPr>
          <w:p>
            <w:pPr>
              <w:adjustRightInd w:val="0"/>
              <w:snapToGrid w:val="0"/>
              <w:spacing w:after="100" w:afterAutospacing="1" w:line="360" w:lineRule="auto"/>
              <w:jc w:val="center"/>
              <w:rPr>
                <w:rFonts w:hint="default" w:ascii="宋体" w:eastAsia="宋体"/>
                <w:szCs w:val="21"/>
                <w:lang w:val="en-US" w:eastAsia="zh-CN"/>
              </w:rPr>
            </w:pPr>
            <w:r>
              <w:rPr>
                <w:rFonts w:hint="eastAsia" w:ascii="宋体" w:eastAsia="宋体"/>
                <w:szCs w:val="21"/>
                <w:lang w:val="en-US" w:eastAsia="zh-CN"/>
              </w:rPr>
              <w:t>33.77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新增设备折旧额（D）</w:t>
            </w:r>
          </w:p>
        </w:tc>
        <w:tc>
          <w:tcPr>
            <w:tcW w:w="3134"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I/n</w:t>
            </w:r>
          </w:p>
        </w:tc>
        <w:tc>
          <w:tcPr>
            <w:tcW w:w="2454" w:type="dxa"/>
            <w:vAlign w:val="center"/>
          </w:tcPr>
          <w:p>
            <w:pPr>
              <w:adjustRightInd w:val="0"/>
              <w:snapToGrid w:val="0"/>
              <w:spacing w:after="100" w:afterAutospacing="1" w:line="360" w:lineRule="auto"/>
              <w:jc w:val="center"/>
              <w:rPr>
                <w:rFonts w:hint="eastAsia" w:ascii="宋体" w:eastAsia="宋体"/>
                <w:szCs w:val="21"/>
                <w:lang w:eastAsia="zh-CN"/>
              </w:rPr>
            </w:pPr>
            <w:r>
              <w:rPr>
                <w:rFonts w:hint="eastAsia" w:ascii="宋体" w:eastAsia="宋体"/>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年增加现金流量（F）</w:t>
            </w:r>
          </w:p>
        </w:tc>
        <w:tc>
          <w:tcPr>
            <w:tcW w:w="3134"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(P-D)*(1-25%)+D</w:t>
            </w:r>
          </w:p>
        </w:tc>
        <w:tc>
          <w:tcPr>
            <w:tcW w:w="2454" w:type="dxa"/>
            <w:vAlign w:val="center"/>
          </w:tcPr>
          <w:p>
            <w:pPr>
              <w:adjustRightInd w:val="0"/>
              <w:snapToGrid w:val="0"/>
              <w:spacing w:after="100" w:afterAutospacing="1" w:line="360" w:lineRule="auto"/>
              <w:jc w:val="center"/>
              <w:rPr>
                <w:rFonts w:hint="default" w:ascii="宋体" w:eastAsia="宋体"/>
                <w:szCs w:val="21"/>
                <w:lang w:val="en-US" w:eastAsia="zh-CN"/>
              </w:rPr>
            </w:pPr>
            <w:r>
              <w:rPr>
                <w:rFonts w:hint="eastAsia" w:ascii="宋体" w:eastAsia="宋体"/>
                <w:szCs w:val="21"/>
                <w:lang w:val="en-US" w:eastAsia="zh-CN"/>
              </w:rPr>
              <w:t>25.83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投资偿还期(N)</w:t>
            </w:r>
          </w:p>
        </w:tc>
        <w:tc>
          <w:tcPr>
            <w:tcW w:w="3134"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I/F</w:t>
            </w:r>
          </w:p>
        </w:tc>
        <w:tc>
          <w:tcPr>
            <w:tcW w:w="2454" w:type="dxa"/>
            <w:vAlign w:val="center"/>
          </w:tcPr>
          <w:p>
            <w:pPr>
              <w:adjustRightInd w:val="0"/>
              <w:snapToGrid w:val="0"/>
              <w:spacing w:after="100" w:afterAutospacing="1" w:line="360" w:lineRule="auto"/>
              <w:jc w:val="center"/>
              <w:rPr>
                <w:rFonts w:hint="default" w:ascii="宋体" w:eastAsia="宋体"/>
                <w:szCs w:val="21"/>
                <w:lang w:val="en-US" w:eastAsia="zh-CN"/>
              </w:rPr>
            </w:pPr>
            <w:r>
              <w:rPr>
                <w:rFonts w:hint="eastAsia" w:ascii="宋体" w:eastAsia="宋体"/>
                <w:szCs w:val="21"/>
                <w:lang w:val="en-US" w:eastAsia="zh-CN"/>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25"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净现值(NPV)</w:t>
            </w:r>
          </w:p>
        </w:tc>
        <w:tc>
          <w:tcPr>
            <w:tcW w:w="3134" w:type="dxa"/>
            <w:vAlign w:val="center"/>
          </w:tcPr>
          <w:p>
            <w:pPr>
              <w:adjustRightInd w:val="0"/>
              <w:snapToGrid w:val="0"/>
              <w:spacing w:after="100" w:afterAutospacing="1" w:line="360" w:lineRule="auto"/>
              <w:jc w:val="center"/>
              <w:rPr>
                <w:rFonts w:eastAsia="仿宋_GB2312"/>
                <w:sz w:val="24"/>
                <w:szCs w:val="24"/>
              </w:rPr>
            </w:pPr>
            <w:r>
              <w:rPr>
                <w:rFonts w:ascii="宋体" w:eastAsia="宋体"/>
                <w:szCs w:val="21"/>
              </w:rPr>
              <w:drawing>
                <wp:inline distT="0" distB="0" distL="0" distR="0">
                  <wp:extent cx="1112520" cy="563880"/>
                  <wp:effectExtent l="0" t="0" r="11430" b="6985"/>
                  <wp:docPr id="13" name="图片 5" descr="C:\Users\ADMINI~1.USE\AppData\Local\Temp\ksohtml662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C:\Users\ADMINI~1.USE\AppData\Local\Temp\ksohtml6620\wps2.png"/>
                          <pic:cNvPicPr>
                            <a:picLocks noChangeAspect="1" noChangeArrowheads="1"/>
                          </pic:cNvPicPr>
                        </pic:nvPicPr>
                        <pic:blipFill>
                          <a:blip r:embed="rId26" cstate="print"/>
                          <a:srcRect/>
                          <a:stretch>
                            <a:fillRect/>
                          </a:stretch>
                        </pic:blipFill>
                        <pic:spPr>
                          <a:xfrm>
                            <a:off x="0" y="0"/>
                            <a:ext cx="1112520" cy="563880"/>
                          </a:xfrm>
                          <a:prstGeom prst="rect">
                            <a:avLst/>
                          </a:prstGeom>
                          <a:noFill/>
                          <a:ln w="9525">
                            <a:noFill/>
                            <a:miter lim="800000"/>
                            <a:headEnd/>
                            <a:tailEnd/>
                          </a:ln>
                        </pic:spPr>
                      </pic:pic>
                    </a:graphicData>
                  </a:graphic>
                </wp:inline>
              </w:drawing>
            </w:r>
          </w:p>
        </w:tc>
        <w:tc>
          <w:tcPr>
            <w:tcW w:w="2454" w:type="dxa"/>
            <w:vAlign w:val="center"/>
          </w:tcPr>
          <w:p>
            <w:pPr>
              <w:adjustRightInd w:val="0"/>
              <w:snapToGrid w:val="0"/>
              <w:spacing w:after="100" w:afterAutospacing="1" w:line="360" w:lineRule="auto"/>
              <w:jc w:val="center"/>
              <w:rPr>
                <w:rFonts w:ascii="宋体" w:eastAsia="宋体"/>
                <w:szCs w:val="21"/>
              </w:rPr>
            </w:pPr>
            <w:r>
              <w:rPr>
                <w:rFonts w:hint="eastAsia" w:ascii="宋体" w:eastAsia="宋体"/>
                <w:szCs w:val="21"/>
              </w:rPr>
              <w:t>42.44</w:t>
            </w:r>
          </w:p>
        </w:tc>
      </w:tr>
    </w:tbl>
    <w:p>
      <w:pPr>
        <w:pStyle w:val="42"/>
        <w:ind w:firstLine="480" w:firstLineChars="200"/>
        <w:jc w:val="both"/>
        <w:rPr>
          <w:rFonts w:hAnsi="Times New Roman" w:eastAsia="宋体"/>
          <w:szCs w:val="24"/>
        </w:rPr>
      </w:pPr>
      <w:r>
        <w:rPr>
          <w:rFonts w:hint="eastAsia" w:hAnsi="Times New Roman" w:eastAsia="宋体"/>
          <w:szCs w:val="24"/>
        </w:rPr>
        <w:t>从经济指标分析中可以看出，NPV=42.44&gt;0,根据经济评估准则要求，NPV≥0方案即可行，因此该方案经济可行。</w:t>
      </w:r>
    </w:p>
    <w:p>
      <w:pPr>
        <w:pStyle w:val="3"/>
        <w:widowControl w:val="0"/>
        <w:adjustRightInd/>
        <w:snapToGrid/>
        <w:spacing w:beforeLines="50" w:after="0" w:line="360" w:lineRule="auto"/>
        <w:rPr>
          <w:rFonts w:ascii="Times New Roman" w:hAnsi="Times New Roman"/>
          <w:sz w:val="30"/>
          <w:szCs w:val="30"/>
        </w:rPr>
      </w:pPr>
      <w:bookmarkStart w:id="258" w:name="_Toc8884"/>
      <w:r>
        <w:rPr>
          <w:rFonts w:hint="eastAsia" w:ascii="Times New Roman" w:hAnsi="Times New Roman"/>
          <w:sz w:val="30"/>
          <w:szCs w:val="30"/>
        </w:rPr>
        <w:t>6.</w:t>
      </w:r>
      <w:r>
        <w:rPr>
          <w:rFonts w:hint="eastAsia" w:ascii="Times New Roman" w:hAnsi="Times New Roman"/>
          <w:sz w:val="30"/>
          <w:szCs w:val="30"/>
          <w:lang w:val="en-US" w:eastAsia="zh-CN"/>
        </w:rPr>
        <w:t>3</w:t>
      </w:r>
      <w:r>
        <w:rPr>
          <w:rFonts w:ascii="Times New Roman" w:hAnsi="Times New Roman"/>
          <w:sz w:val="30"/>
          <w:szCs w:val="30"/>
        </w:rPr>
        <w:t>推荐可实施</w:t>
      </w:r>
      <w:r>
        <w:rPr>
          <w:rFonts w:hint="eastAsia" w:ascii="Times New Roman" w:hAnsi="Times New Roman"/>
          <w:sz w:val="30"/>
          <w:szCs w:val="30"/>
        </w:rPr>
        <w:t>中高费</w:t>
      </w:r>
      <w:r>
        <w:rPr>
          <w:rFonts w:ascii="Times New Roman" w:hAnsi="Times New Roman"/>
          <w:sz w:val="30"/>
          <w:szCs w:val="30"/>
        </w:rPr>
        <w:t>方案</w:t>
      </w:r>
      <w:bookmarkEnd w:id="250"/>
      <w:bookmarkEnd w:id="251"/>
      <w:bookmarkEnd w:id="252"/>
      <w:bookmarkEnd w:id="253"/>
      <w:bookmarkEnd w:id="258"/>
    </w:p>
    <w:p>
      <w:pPr>
        <w:spacing w:line="360" w:lineRule="auto"/>
        <w:ind w:firstLine="482"/>
        <w:rPr>
          <w:rFonts w:ascii="Times New Roman" w:hAnsi="宋体" w:eastAsia="宋体"/>
          <w:sz w:val="24"/>
          <w:szCs w:val="24"/>
        </w:rPr>
      </w:pPr>
      <w:r>
        <w:rPr>
          <w:rFonts w:ascii="Times New Roman" w:hAnsi="宋体" w:eastAsia="宋体"/>
          <w:sz w:val="24"/>
          <w:szCs w:val="24"/>
        </w:rPr>
        <w:t>本轮清洁生产提出的</w:t>
      </w:r>
      <w:r>
        <w:rPr>
          <w:rFonts w:hint="eastAsia" w:ascii="Times New Roman" w:hAnsi="宋体" w:eastAsia="宋体"/>
          <w:sz w:val="24"/>
          <w:szCs w:val="24"/>
          <w:lang w:val="en-US" w:eastAsia="zh-CN"/>
        </w:rPr>
        <w:t>2</w:t>
      </w:r>
      <w:r>
        <w:rPr>
          <w:rFonts w:ascii="Times New Roman" w:hAnsi="宋体" w:eastAsia="宋体"/>
          <w:sz w:val="24"/>
          <w:szCs w:val="24"/>
        </w:rPr>
        <w:t>个中</w:t>
      </w:r>
      <w:r>
        <w:rPr>
          <w:rFonts w:hint="eastAsia" w:ascii="Times New Roman" w:hAnsi="宋体" w:eastAsia="宋体"/>
          <w:sz w:val="24"/>
          <w:szCs w:val="24"/>
        </w:rPr>
        <w:t>/</w:t>
      </w:r>
      <w:r>
        <w:rPr>
          <w:rFonts w:ascii="Times New Roman" w:hAnsi="宋体" w:eastAsia="宋体"/>
          <w:sz w:val="24"/>
          <w:szCs w:val="24"/>
        </w:rPr>
        <w:t>高费方案经过技术、经济和环境可行性分析，分析结</w:t>
      </w:r>
      <w:r>
        <w:rPr>
          <w:rFonts w:hint="eastAsia" w:ascii="Times New Roman" w:hAnsi="宋体" w:eastAsia="宋体"/>
          <w:sz w:val="24"/>
          <w:szCs w:val="24"/>
        </w:rPr>
        <w:t>论如下表所示：</w:t>
      </w:r>
    </w:p>
    <w:p>
      <w:pPr>
        <w:pStyle w:val="42"/>
        <w:adjustRightInd w:val="0"/>
        <w:snapToGrid w:val="0"/>
        <w:rPr>
          <w:rFonts w:asciiTheme="minorEastAsia" w:hAnsiTheme="minorEastAsia" w:eastAsiaTheme="minorEastAsia"/>
          <w:b/>
          <w:szCs w:val="24"/>
        </w:rPr>
      </w:pPr>
      <w:r>
        <w:rPr>
          <w:rFonts w:hint="eastAsia" w:asciiTheme="minorEastAsia" w:hAnsiTheme="minorEastAsia" w:eastAsiaTheme="minorEastAsia"/>
          <w:b/>
          <w:szCs w:val="24"/>
        </w:rPr>
        <w:t>表6-</w:t>
      </w:r>
      <w:r>
        <w:rPr>
          <w:rFonts w:hint="eastAsia" w:asciiTheme="minorEastAsia" w:hAnsiTheme="minorEastAsia" w:eastAsiaTheme="minorEastAsia"/>
          <w:b/>
          <w:szCs w:val="24"/>
          <w:lang w:val="en-US" w:eastAsia="zh-CN"/>
        </w:rPr>
        <w:t>5</w:t>
      </w:r>
      <w:r>
        <w:rPr>
          <w:rFonts w:hint="eastAsia" w:asciiTheme="minorEastAsia" w:hAnsiTheme="minorEastAsia" w:eastAsiaTheme="minorEastAsia"/>
          <w:b/>
          <w:szCs w:val="24"/>
        </w:rPr>
        <w:t>中高费方案可行性结论汇总表</w:t>
      </w:r>
    </w:p>
    <w:tbl>
      <w:tblPr>
        <w:tblStyle w:val="27"/>
        <w:tblW w:w="87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560"/>
        <w:gridCol w:w="2126"/>
        <w:gridCol w:w="1701"/>
        <w:gridCol w:w="15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pPr>
              <w:pStyle w:val="44"/>
              <w:snapToGrid w:val="0"/>
              <w:spacing w:beforeLines="20" w:afterLines="20" w:line="240" w:lineRule="auto"/>
              <w:rPr>
                <w:rFonts w:eastAsia="宋体"/>
                <w:b/>
                <w:szCs w:val="21"/>
              </w:rPr>
            </w:pPr>
            <w:r>
              <w:rPr>
                <w:rFonts w:hAnsi="宋体" w:eastAsia="宋体"/>
                <w:b/>
                <w:szCs w:val="21"/>
              </w:rPr>
              <w:t>方案编号及名称</w:t>
            </w:r>
          </w:p>
        </w:tc>
        <w:tc>
          <w:tcPr>
            <w:tcW w:w="1560" w:type="dxa"/>
            <w:vAlign w:val="center"/>
          </w:tcPr>
          <w:p>
            <w:pPr>
              <w:pStyle w:val="44"/>
              <w:snapToGrid w:val="0"/>
              <w:spacing w:beforeLines="20" w:afterLines="20" w:line="240" w:lineRule="auto"/>
              <w:rPr>
                <w:rFonts w:eastAsia="宋体"/>
                <w:b/>
                <w:szCs w:val="21"/>
              </w:rPr>
            </w:pPr>
            <w:r>
              <w:rPr>
                <w:rFonts w:hAnsi="宋体" w:eastAsia="宋体"/>
                <w:b/>
                <w:szCs w:val="21"/>
              </w:rPr>
              <w:t>技术可行性</w:t>
            </w:r>
          </w:p>
        </w:tc>
        <w:tc>
          <w:tcPr>
            <w:tcW w:w="2126" w:type="dxa"/>
            <w:vAlign w:val="center"/>
          </w:tcPr>
          <w:p>
            <w:pPr>
              <w:pStyle w:val="44"/>
              <w:snapToGrid w:val="0"/>
              <w:spacing w:beforeLines="20" w:afterLines="20" w:line="240" w:lineRule="auto"/>
              <w:rPr>
                <w:rFonts w:eastAsia="宋体"/>
                <w:b/>
                <w:szCs w:val="21"/>
              </w:rPr>
            </w:pPr>
            <w:r>
              <w:rPr>
                <w:rFonts w:hAnsi="宋体" w:eastAsia="宋体"/>
                <w:b/>
                <w:szCs w:val="21"/>
              </w:rPr>
              <w:t>环境可行性</w:t>
            </w:r>
          </w:p>
        </w:tc>
        <w:tc>
          <w:tcPr>
            <w:tcW w:w="1701" w:type="dxa"/>
            <w:vAlign w:val="center"/>
          </w:tcPr>
          <w:p>
            <w:pPr>
              <w:pStyle w:val="44"/>
              <w:snapToGrid w:val="0"/>
              <w:spacing w:beforeLines="20" w:afterLines="20" w:line="240" w:lineRule="auto"/>
              <w:rPr>
                <w:rFonts w:eastAsia="宋体"/>
                <w:b/>
                <w:szCs w:val="21"/>
              </w:rPr>
            </w:pPr>
            <w:r>
              <w:rPr>
                <w:rFonts w:hAnsi="宋体" w:eastAsia="宋体"/>
                <w:b/>
                <w:szCs w:val="21"/>
              </w:rPr>
              <w:t>经济可行性</w:t>
            </w:r>
          </w:p>
        </w:tc>
        <w:tc>
          <w:tcPr>
            <w:tcW w:w="1524" w:type="dxa"/>
            <w:vAlign w:val="center"/>
          </w:tcPr>
          <w:p>
            <w:pPr>
              <w:pStyle w:val="44"/>
              <w:snapToGrid w:val="0"/>
              <w:spacing w:beforeLines="20" w:afterLines="20" w:line="240" w:lineRule="auto"/>
              <w:rPr>
                <w:rFonts w:eastAsia="宋体"/>
                <w:b/>
                <w:szCs w:val="21"/>
              </w:rPr>
            </w:pPr>
            <w:r>
              <w:rPr>
                <w:rFonts w:hAnsi="宋体" w:eastAsia="宋体"/>
                <w:b/>
                <w:szCs w:val="21"/>
              </w:rPr>
              <w:t>是否推荐</w:t>
            </w:r>
          </w:p>
          <w:p>
            <w:pPr>
              <w:pStyle w:val="44"/>
              <w:snapToGrid w:val="0"/>
              <w:spacing w:beforeLines="20" w:afterLines="20" w:line="240" w:lineRule="auto"/>
              <w:rPr>
                <w:rFonts w:eastAsia="宋体"/>
                <w:b/>
                <w:szCs w:val="21"/>
              </w:rPr>
            </w:pPr>
            <w:r>
              <w:rPr>
                <w:rFonts w:hAnsi="宋体" w:eastAsia="宋体"/>
                <w:b/>
                <w:szCs w:val="21"/>
              </w:rPr>
              <w:t>企业实施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pPr>
              <w:spacing w:beforeLines="20" w:afterLines="20"/>
              <w:jc w:val="center"/>
              <w:rPr>
                <w:rFonts w:hint="eastAsia" w:ascii="Times New Roman" w:hAnsi="Times New Roman" w:eastAsiaTheme="minorEastAsia"/>
                <w:szCs w:val="21"/>
                <w:lang w:eastAsia="zh-CN"/>
              </w:rPr>
            </w:pPr>
            <w:r>
              <w:rPr>
                <w:rFonts w:hint="eastAsia" w:ascii="Times New Roman" w:eastAsia="宋体"/>
                <w:lang w:eastAsia="zh-CN"/>
              </w:rPr>
              <w:t>F2-2：更换牵引链条”</w:t>
            </w:r>
          </w:p>
        </w:tc>
        <w:tc>
          <w:tcPr>
            <w:tcW w:w="1560" w:type="dxa"/>
            <w:vAlign w:val="center"/>
          </w:tcPr>
          <w:p>
            <w:pPr>
              <w:pStyle w:val="45"/>
              <w:snapToGrid w:val="0"/>
              <w:spacing w:beforeLines="20" w:afterLines="20" w:line="240" w:lineRule="auto"/>
              <w:rPr>
                <w:rFonts w:eastAsia="宋体"/>
                <w:kern w:val="0"/>
                <w:szCs w:val="21"/>
              </w:rPr>
            </w:pPr>
            <w:r>
              <w:rPr>
                <w:rFonts w:hAnsi="宋体" w:eastAsia="宋体"/>
                <w:kern w:val="0"/>
                <w:szCs w:val="21"/>
              </w:rPr>
              <w:t>可行</w:t>
            </w:r>
          </w:p>
        </w:tc>
        <w:tc>
          <w:tcPr>
            <w:tcW w:w="2126" w:type="dxa"/>
            <w:vAlign w:val="center"/>
          </w:tcPr>
          <w:p>
            <w:pPr>
              <w:pStyle w:val="44"/>
              <w:spacing w:beforeLines="20" w:line="240" w:lineRule="auto"/>
              <w:rPr>
                <w:rFonts w:eastAsia="宋体"/>
                <w:szCs w:val="21"/>
              </w:rPr>
            </w:pPr>
            <w:r>
              <w:rPr>
                <w:rFonts w:hint="eastAsia" w:hAnsi="宋体" w:eastAsia="宋体"/>
                <w:snapToGrid w:val="0"/>
                <w:kern w:val="24"/>
                <w:szCs w:val="21"/>
                <w:lang w:val="en-US" w:eastAsia="zh-CN"/>
              </w:rPr>
              <w:t>间接环境效益</w:t>
            </w:r>
          </w:p>
        </w:tc>
        <w:tc>
          <w:tcPr>
            <w:tcW w:w="1701" w:type="dxa"/>
            <w:vAlign w:val="center"/>
          </w:tcPr>
          <w:p>
            <w:pPr>
              <w:pStyle w:val="44"/>
              <w:spacing w:beforeLines="20" w:line="240" w:lineRule="auto"/>
              <w:rPr>
                <w:rFonts w:hint="eastAsia" w:eastAsia="宋体"/>
                <w:snapToGrid w:val="0"/>
                <w:kern w:val="24"/>
                <w:szCs w:val="21"/>
                <w:lang w:eastAsia="zh-CN"/>
              </w:rPr>
            </w:pPr>
            <w:r>
              <w:rPr>
                <w:rFonts w:hint="eastAsia" w:hAnsi="宋体" w:eastAsia="宋体"/>
                <w:snapToGrid w:val="0"/>
                <w:kern w:val="24"/>
                <w:szCs w:val="21"/>
                <w:lang w:val="en-US" w:eastAsia="zh-CN"/>
              </w:rPr>
              <w:t>可行</w:t>
            </w:r>
          </w:p>
        </w:tc>
        <w:tc>
          <w:tcPr>
            <w:tcW w:w="1524" w:type="dxa"/>
            <w:vAlign w:val="center"/>
          </w:tcPr>
          <w:p>
            <w:pPr>
              <w:pStyle w:val="44"/>
              <w:snapToGrid w:val="0"/>
              <w:spacing w:beforeLines="20" w:afterLines="20" w:line="240" w:lineRule="auto"/>
              <w:rPr>
                <w:rFonts w:eastAsia="宋体"/>
                <w:szCs w:val="21"/>
              </w:rPr>
            </w:pPr>
            <w:r>
              <w:rPr>
                <w:rFonts w:hAnsi="宋体" w:eastAsia="宋体"/>
                <w:szCs w:val="21"/>
              </w:rPr>
              <w:t>推案实施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pPr>
              <w:spacing w:beforeLines="20" w:afterLines="20"/>
              <w:jc w:val="center"/>
              <w:rPr>
                <w:rFonts w:hint="eastAsia" w:ascii="Times New Roman" w:eastAsia="宋体"/>
                <w:lang w:eastAsia="zh-CN"/>
              </w:rPr>
            </w:pPr>
            <w:r>
              <w:rPr>
                <w:rFonts w:hint="eastAsia" w:ascii="Times New Roman" w:eastAsia="宋体"/>
                <w:lang w:eastAsia="zh-CN"/>
              </w:rPr>
              <w:t>F2-</w:t>
            </w:r>
            <w:r>
              <w:rPr>
                <w:rFonts w:hint="eastAsia" w:ascii="Times New Roman" w:eastAsia="宋体"/>
                <w:lang w:val="en-US" w:eastAsia="zh-CN"/>
              </w:rPr>
              <w:t>4</w:t>
            </w:r>
            <w:r>
              <w:rPr>
                <w:rFonts w:hint="eastAsia" w:ascii="Times New Roman" w:eastAsia="宋体"/>
                <w:lang w:eastAsia="zh-CN"/>
              </w:rPr>
              <w:t>：自动混料系统</w:t>
            </w:r>
          </w:p>
        </w:tc>
        <w:tc>
          <w:tcPr>
            <w:tcW w:w="1560" w:type="dxa"/>
            <w:vAlign w:val="center"/>
          </w:tcPr>
          <w:p>
            <w:pPr>
              <w:pStyle w:val="45"/>
              <w:snapToGrid w:val="0"/>
              <w:spacing w:beforeLines="20" w:afterLines="20" w:line="240" w:lineRule="auto"/>
              <w:rPr>
                <w:rFonts w:hAnsi="宋体" w:eastAsia="宋体"/>
                <w:kern w:val="0"/>
                <w:szCs w:val="21"/>
              </w:rPr>
            </w:pPr>
            <w:r>
              <w:rPr>
                <w:rFonts w:hAnsi="宋体" w:eastAsia="宋体"/>
                <w:kern w:val="0"/>
                <w:szCs w:val="21"/>
              </w:rPr>
              <w:t>可行</w:t>
            </w:r>
          </w:p>
        </w:tc>
        <w:tc>
          <w:tcPr>
            <w:tcW w:w="2126" w:type="dxa"/>
            <w:vAlign w:val="center"/>
          </w:tcPr>
          <w:p>
            <w:pPr>
              <w:pStyle w:val="44"/>
              <w:spacing w:beforeLines="20" w:line="240" w:lineRule="auto"/>
              <w:rPr>
                <w:rFonts w:hAnsi="宋体" w:eastAsia="宋体"/>
                <w:snapToGrid w:val="0"/>
                <w:kern w:val="24"/>
                <w:szCs w:val="21"/>
              </w:rPr>
            </w:pPr>
            <w:r>
              <w:rPr>
                <w:rFonts w:hint="eastAsia" w:hAnsi="宋体" w:eastAsia="宋体"/>
                <w:snapToGrid w:val="0"/>
                <w:kern w:val="24"/>
                <w:szCs w:val="21"/>
                <w:lang w:val="en-US" w:eastAsia="zh-CN"/>
              </w:rPr>
              <w:t>间接环境效益</w:t>
            </w:r>
          </w:p>
        </w:tc>
        <w:tc>
          <w:tcPr>
            <w:tcW w:w="1701" w:type="dxa"/>
            <w:vAlign w:val="center"/>
          </w:tcPr>
          <w:p>
            <w:pPr>
              <w:pStyle w:val="44"/>
              <w:spacing w:beforeLines="20" w:line="240" w:lineRule="auto"/>
              <w:rPr>
                <w:rFonts w:hint="eastAsia" w:hAnsi="宋体" w:eastAsia="宋体"/>
                <w:snapToGrid w:val="0"/>
                <w:kern w:val="24"/>
                <w:szCs w:val="21"/>
                <w:lang w:val="en-US" w:eastAsia="zh-CN"/>
              </w:rPr>
            </w:pPr>
            <w:r>
              <w:rPr>
                <w:rFonts w:hint="eastAsia" w:hAnsi="宋体" w:eastAsia="宋体"/>
                <w:snapToGrid w:val="0"/>
                <w:kern w:val="24"/>
                <w:szCs w:val="21"/>
                <w:lang w:val="en-US" w:eastAsia="zh-CN"/>
              </w:rPr>
              <w:t>可行</w:t>
            </w:r>
          </w:p>
        </w:tc>
        <w:tc>
          <w:tcPr>
            <w:tcW w:w="1524" w:type="dxa"/>
            <w:vAlign w:val="center"/>
          </w:tcPr>
          <w:p>
            <w:pPr>
              <w:pStyle w:val="44"/>
              <w:snapToGrid w:val="0"/>
              <w:spacing w:beforeLines="20" w:afterLines="20" w:line="240" w:lineRule="auto"/>
              <w:rPr>
                <w:rFonts w:hAnsi="宋体" w:eastAsia="宋体"/>
                <w:szCs w:val="21"/>
              </w:rPr>
            </w:pPr>
            <w:r>
              <w:rPr>
                <w:rFonts w:hAnsi="宋体" w:eastAsia="宋体"/>
                <w:szCs w:val="21"/>
              </w:rPr>
              <w:t>推案实施</w:t>
            </w:r>
          </w:p>
        </w:tc>
      </w:tr>
    </w:tbl>
    <w:p>
      <w:pPr>
        <w:spacing w:line="360" w:lineRule="auto"/>
        <w:ind w:firstLine="482"/>
        <w:rPr>
          <w:rFonts w:ascii="Times New Roman" w:hAnsi="宋体" w:eastAsia="宋体"/>
          <w:sz w:val="24"/>
          <w:szCs w:val="24"/>
        </w:rPr>
      </w:pPr>
      <w:r>
        <w:rPr>
          <w:rFonts w:ascii="Times New Roman" w:hAnsi="宋体" w:eastAsia="宋体"/>
          <w:sz w:val="24"/>
          <w:szCs w:val="24"/>
        </w:rPr>
        <w:t>根据上述分析，方案“</w:t>
      </w:r>
      <w:r>
        <w:rPr>
          <w:rFonts w:hint="eastAsia" w:ascii="Times New Roman" w:hAnsi="宋体" w:eastAsia="宋体"/>
          <w:sz w:val="24"/>
          <w:szCs w:val="24"/>
          <w:lang w:eastAsia="zh-CN"/>
        </w:rPr>
        <w:t>F2-2：更换牵引链条”“F2-</w:t>
      </w:r>
      <w:r>
        <w:rPr>
          <w:rFonts w:hint="eastAsia" w:ascii="Times New Roman" w:hAnsi="宋体" w:eastAsia="宋体"/>
          <w:sz w:val="24"/>
          <w:szCs w:val="24"/>
          <w:lang w:val="en-US" w:eastAsia="zh-CN"/>
        </w:rPr>
        <w:t>4</w:t>
      </w:r>
      <w:r>
        <w:rPr>
          <w:rFonts w:hint="eastAsia" w:ascii="Times New Roman" w:hAnsi="宋体" w:eastAsia="宋体"/>
          <w:sz w:val="24"/>
          <w:szCs w:val="24"/>
          <w:lang w:eastAsia="zh-CN"/>
        </w:rPr>
        <w:t>：自动混料系统”</w:t>
      </w:r>
      <w:r>
        <w:rPr>
          <w:rFonts w:ascii="Times New Roman" w:hAnsi="宋体" w:eastAsia="宋体"/>
          <w:sz w:val="24"/>
          <w:szCs w:val="24"/>
        </w:rPr>
        <w:t>在技术经济环境方面均具有良好的效益，因此，审核小组建议企业将以上方案尽快组织实施。</w:t>
      </w:r>
    </w:p>
    <w:p>
      <w:pPr>
        <w:pStyle w:val="42"/>
        <w:ind w:firstLine="480" w:firstLineChars="200"/>
        <w:jc w:val="left"/>
        <w:rPr>
          <w:rFonts w:eastAsia="宋体"/>
          <w:szCs w:val="24"/>
        </w:rPr>
        <w:sectPr>
          <w:pgSz w:w="11906" w:h="16838"/>
          <w:pgMar w:top="1440" w:right="1800" w:bottom="1440" w:left="1800" w:header="708" w:footer="708" w:gutter="0"/>
          <w:cols w:space="708" w:num="1"/>
          <w:docGrid w:linePitch="360" w:charSpace="0"/>
        </w:sectPr>
      </w:pP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color w:val="000000" w:themeColor="text1"/>
          <w:sz w:val="36"/>
          <w:szCs w:val="36"/>
        </w:rPr>
      </w:pPr>
      <w:bookmarkStart w:id="259" w:name="_Toc525138279"/>
      <w:bookmarkStart w:id="260" w:name="_Toc525138423"/>
      <w:bookmarkStart w:id="261" w:name="_Toc16431"/>
      <w:bookmarkStart w:id="262" w:name="_Toc499903509"/>
      <w:bookmarkStart w:id="263" w:name="_Toc176255100"/>
      <w:r>
        <w:rPr>
          <w:rFonts w:hint="eastAsia" w:cs="Times New Roman" w:asciiTheme="minorEastAsia" w:hAnsiTheme="minorEastAsia" w:eastAsiaTheme="minorEastAsia"/>
          <w:color w:val="000000" w:themeColor="text1"/>
          <w:sz w:val="36"/>
          <w:szCs w:val="36"/>
        </w:rPr>
        <w:t>七、</w:t>
      </w:r>
      <w:r>
        <w:rPr>
          <w:rFonts w:cs="Times New Roman" w:asciiTheme="minorEastAsia" w:hAnsiTheme="minorEastAsia" w:eastAsiaTheme="minorEastAsia"/>
          <w:color w:val="000000" w:themeColor="text1"/>
          <w:sz w:val="36"/>
          <w:szCs w:val="36"/>
        </w:rPr>
        <w:t>方案的实施</w:t>
      </w:r>
      <w:bookmarkEnd w:id="259"/>
      <w:bookmarkEnd w:id="260"/>
      <w:bookmarkEnd w:id="261"/>
      <w:bookmarkEnd w:id="262"/>
      <w:bookmarkEnd w:id="263"/>
    </w:p>
    <w:p>
      <w:pPr>
        <w:spacing w:line="360" w:lineRule="auto"/>
        <w:ind w:firstLine="482"/>
        <w:rPr>
          <w:rFonts w:ascii="宋体" w:hAnsi="宋体" w:eastAsia="宋体"/>
          <w:sz w:val="24"/>
          <w:szCs w:val="24"/>
        </w:rPr>
      </w:pPr>
      <w:r>
        <w:rPr>
          <w:rFonts w:ascii="宋体" w:hAnsi="宋体" w:eastAsia="宋体"/>
          <w:sz w:val="24"/>
          <w:szCs w:val="24"/>
        </w:rPr>
        <w:t>方案</w:t>
      </w:r>
      <w:r>
        <w:rPr>
          <w:rFonts w:hint="eastAsia" w:ascii="宋体" w:hAnsi="宋体" w:eastAsia="宋体"/>
          <w:sz w:val="24"/>
          <w:szCs w:val="24"/>
        </w:rPr>
        <w:t>的</w:t>
      </w:r>
      <w:r>
        <w:rPr>
          <w:rFonts w:ascii="宋体" w:hAnsi="宋体" w:eastAsia="宋体"/>
          <w:sz w:val="24"/>
          <w:szCs w:val="24"/>
        </w:rPr>
        <w:t>实施是</w:t>
      </w:r>
      <w:r>
        <w:rPr>
          <w:rFonts w:hint="eastAsia" w:ascii="宋体" w:hAnsi="宋体" w:eastAsia="宋体"/>
          <w:sz w:val="24"/>
          <w:szCs w:val="24"/>
        </w:rPr>
        <w:t>企业</w:t>
      </w:r>
      <w:r>
        <w:rPr>
          <w:rFonts w:ascii="宋体" w:hAnsi="宋体" w:eastAsia="宋体"/>
          <w:sz w:val="24"/>
          <w:szCs w:val="24"/>
        </w:rPr>
        <w:t>清洁生产审核的第</w:t>
      </w:r>
      <w:r>
        <w:rPr>
          <w:rFonts w:hint="eastAsia" w:ascii="宋体" w:hAnsi="宋体" w:eastAsia="宋体"/>
          <w:sz w:val="24"/>
          <w:szCs w:val="24"/>
        </w:rPr>
        <w:t>六</w:t>
      </w:r>
      <w:r>
        <w:rPr>
          <w:rFonts w:ascii="宋体" w:hAnsi="宋体" w:eastAsia="宋体"/>
          <w:sz w:val="24"/>
          <w:szCs w:val="24"/>
        </w:rPr>
        <w:t>个阶段。目的是通过</w:t>
      </w:r>
      <w:r>
        <w:rPr>
          <w:rFonts w:hint="eastAsia" w:ascii="宋体" w:hAnsi="宋体" w:eastAsia="宋体"/>
          <w:sz w:val="24"/>
          <w:szCs w:val="24"/>
        </w:rPr>
        <w:t>对</w:t>
      </w:r>
      <w:r>
        <w:rPr>
          <w:rFonts w:ascii="宋体" w:hAnsi="宋体" w:eastAsia="宋体"/>
          <w:sz w:val="24"/>
          <w:szCs w:val="24"/>
        </w:rPr>
        <w:t>推荐方案</w:t>
      </w:r>
      <w:r>
        <w:rPr>
          <w:rFonts w:hint="eastAsia" w:ascii="宋体" w:hAnsi="宋体" w:eastAsia="宋体"/>
          <w:sz w:val="24"/>
          <w:szCs w:val="24"/>
        </w:rPr>
        <w:t>，特别是</w:t>
      </w:r>
      <w:r>
        <w:rPr>
          <w:rFonts w:ascii="宋体" w:hAnsi="宋体" w:eastAsia="宋体"/>
          <w:sz w:val="24"/>
          <w:szCs w:val="24"/>
        </w:rPr>
        <w:t>经分析可行</w:t>
      </w:r>
      <w:r>
        <w:rPr>
          <w:rFonts w:hint="eastAsia" w:ascii="宋体" w:hAnsi="宋体" w:eastAsia="宋体"/>
          <w:sz w:val="24"/>
          <w:szCs w:val="24"/>
        </w:rPr>
        <w:t>的</w:t>
      </w:r>
      <w:r>
        <w:rPr>
          <w:rFonts w:ascii="宋体" w:hAnsi="宋体" w:eastAsia="宋体"/>
          <w:sz w:val="24"/>
          <w:szCs w:val="24"/>
        </w:rPr>
        <w:t>中/高费方案的实施，使</w:t>
      </w:r>
      <w:r>
        <w:rPr>
          <w:rFonts w:hint="eastAsia" w:ascii="宋体" w:hAnsi="宋体" w:eastAsia="宋体"/>
          <w:sz w:val="24"/>
          <w:szCs w:val="24"/>
        </w:rPr>
        <w:t>企业</w:t>
      </w:r>
      <w:r>
        <w:rPr>
          <w:rFonts w:ascii="宋体" w:hAnsi="宋体" w:eastAsia="宋体"/>
          <w:sz w:val="24"/>
          <w:szCs w:val="24"/>
        </w:rPr>
        <w:t>实现技术进步，获得显著的经济和环境效益；通过</w:t>
      </w:r>
      <w:r>
        <w:rPr>
          <w:rFonts w:hint="eastAsia" w:ascii="宋体" w:hAnsi="宋体" w:eastAsia="宋体"/>
          <w:sz w:val="24"/>
          <w:szCs w:val="24"/>
        </w:rPr>
        <w:t>汇总</w:t>
      </w:r>
      <w:r>
        <w:rPr>
          <w:rFonts w:ascii="宋体" w:hAnsi="宋体" w:eastAsia="宋体"/>
          <w:sz w:val="24"/>
          <w:szCs w:val="24"/>
        </w:rPr>
        <w:t>已实施的清洁生产方案成果，激励</w:t>
      </w:r>
      <w:r>
        <w:rPr>
          <w:rFonts w:hint="eastAsia" w:ascii="宋体" w:hAnsi="宋体" w:eastAsia="宋体"/>
          <w:sz w:val="24"/>
          <w:szCs w:val="24"/>
        </w:rPr>
        <w:t>企业</w:t>
      </w:r>
      <w:r>
        <w:rPr>
          <w:rFonts w:ascii="宋体" w:hAnsi="宋体" w:eastAsia="宋体"/>
          <w:sz w:val="24"/>
          <w:szCs w:val="24"/>
        </w:rPr>
        <w:t>推行清洁生产。本阶段工作重点是：总结前几个审核阶段已实施的清洁生产方案的成果，统筹规划推荐方案的实施。</w:t>
      </w:r>
    </w:p>
    <w:p>
      <w:pPr>
        <w:pStyle w:val="3"/>
        <w:widowControl w:val="0"/>
        <w:adjustRightInd/>
        <w:snapToGrid/>
        <w:spacing w:beforeLines="50" w:after="0" w:line="360" w:lineRule="auto"/>
        <w:rPr>
          <w:rFonts w:ascii="Times New Roman" w:hAnsi="Times New Roman"/>
          <w:sz w:val="30"/>
          <w:szCs w:val="30"/>
        </w:rPr>
      </w:pPr>
      <w:bookmarkStart w:id="264" w:name="_Toc24809"/>
      <w:bookmarkStart w:id="265" w:name="_Toc499903510"/>
      <w:bookmarkStart w:id="266" w:name="_Toc525138280"/>
      <w:bookmarkStart w:id="267" w:name="_Toc525138424"/>
      <w:r>
        <w:rPr>
          <w:rFonts w:hint="eastAsia" w:ascii="Times New Roman" w:hAnsi="Times New Roman"/>
          <w:sz w:val="30"/>
          <w:szCs w:val="30"/>
        </w:rPr>
        <w:t>7.1组织方案实施</w:t>
      </w:r>
      <w:bookmarkEnd w:id="264"/>
      <w:bookmarkEnd w:id="265"/>
      <w:bookmarkEnd w:id="266"/>
      <w:bookmarkEnd w:id="267"/>
    </w:p>
    <w:p>
      <w:pPr>
        <w:spacing w:line="360" w:lineRule="auto"/>
        <w:ind w:firstLine="482"/>
        <w:jc w:val="left"/>
        <w:rPr>
          <w:rFonts w:ascii="宋体" w:hAnsi="宋体" w:eastAsia="宋体"/>
          <w:sz w:val="24"/>
          <w:szCs w:val="24"/>
        </w:rPr>
      </w:pPr>
      <w:r>
        <w:rPr>
          <w:rFonts w:ascii="宋体" w:hAnsi="宋体" w:eastAsia="宋体"/>
          <w:sz w:val="24"/>
          <w:szCs w:val="24"/>
        </w:rPr>
        <w:t>对于投资少，实施容易的无/低费方案，审核小组根据“边审核、边实施”原则组织予以立即实施。对于花费较多、实施起来有一定难度的方案，经可行性分析可行的方案应制定实施计划予以实施。为此，制定如下方案实施计划：</w:t>
      </w:r>
    </w:p>
    <w:p>
      <w:pPr>
        <w:pStyle w:val="42"/>
        <w:adjustRightInd w:val="0"/>
        <w:snapToGrid w:val="0"/>
        <w:spacing w:before="120"/>
        <w:ind w:firstLine="482" w:firstLineChars="200"/>
        <w:rPr>
          <w:rFonts w:ascii="宋体" w:eastAsia="宋体"/>
          <w:b/>
          <w:szCs w:val="24"/>
        </w:rPr>
      </w:pPr>
      <w:r>
        <w:rPr>
          <w:rFonts w:ascii="宋体" w:eastAsia="宋体"/>
          <w:b/>
          <w:szCs w:val="24"/>
        </w:rPr>
        <w:t>表</w:t>
      </w:r>
      <w:r>
        <w:rPr>
          <w:rFonts w:hint="eastAsia" w:ascii="宋体" w:eastAsia="宋体"/>
          <w:b/>
          <w:szCs w:val="24"/>
        </w:rPr>
        <w:t>7</w:t>
      </w:r>
      <w:r>
        <w:rPr>
          <w:rFonts w:ascii="宋体" w:eastAsia="宋体"/>
          <w:b/>
          <w:szCs w:val="24"/>
        </w:rPr>
        <w:t>-1清洁生产方案实施计划和进度表</w:t>
      </w:r>
    </w:p>
    <w:tbl>
      <w:tblPr>
        <w:tblStyle w:val="27"/>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661"/>
        <w:gridCol w:w="696"/>
        <w:gridCol w:w="2862"/>
        <w:gridCol w:w="709"/>
        <w:gridCol w:w="2268"/>
        <w:gridCol w:w="13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noWrap w:val="0"/>
            <w:vAlign w:val="center"/>
          </w:tcPr>
          <w:p>
            <w:pPr>
              <w:adjustRightInd w:val="0"/>
              <w:snapToGrid w:val="0"/>
              <w:ind w:firstLine="0" w:firstLineChars="0"/>
              <w:jc w:val="center"/>
              <w:rPr>
                <w:rFonts w:hint="eastAsia"/>
                <w:sz w:val="21"/>
                <w:szCs w:val="21"/>
              </w:rPr>
            </w:pPr>
            <w:bookmarkStart w:id="268" w:name="_Toc525138425"/>
            <w:bookmarkStart w:id="269" w:name="_Toc525138281"/>
            <w:bookmarkStart w:id="270" w:name="_Toc309399556"/>
            <w:bookmarkStart w:id="271" w:name="_Toc499903511"/>
            <w:r>
              <w:rPr>
                <w:rFonts w:hint="eastAsia"/>
                <w:sz w:val="21"/>
                <w:szCs w:val="21"/>
              </w:rPr>
              <w:t>方案类型</w:t>
            </w:r>
          </w:p>
        </w:tc>
        <w:tc>
          <w:tcPr>
            <w:tcW w:w="696" w:type="dxa"/>
            <w:noWrap w:val="0"/>
            <w:vAlign w:val="center"/>
          </w:tcPr>
          <w:p>
            <w:pPr>
              <w:adjustRightInd w:val="0"/>
              <w:snapToGrid w:val="0"/>
              <w:ind w:firstLine="0" w:firstLineChars="0"/>
              <w:jc w:val="center"/>
              <w:rPr>
                <w:rFonts w:hint="eastAsia"/>
                <w:sz w:val="21"/>
                <w:szCs w:val="21"/>
              </w:rPr>
            </w:pPr>
            <w:r>
              <w:rPr>
                <w:rFonts w:hint="eastAsia"/>
                <w:sz w:val="21"/>
                <w:szCs w:val="21"/>
              </w:rPr>
              <w:t>编号</w:t>
            </w:r>
          </w:p>
        </w:tc>
        <w:tc>
          <w:tcPr>
            <w:tcW w:w="2862" w:type="dxa"/>
            <w:noWrap w:val="0"/>
            <w:vAlign w:val="center"/>
          </w:tcPr>
          <w:p>
            <w:pPr>
              <w:adjustRightInd w:val="0"/>
              <w:snapToGrid w:val="0"/>
              <w:ind w:firstLine="0" w:firstLineChars="0"/>
              <w:jc w:val="center"/>
              <w:rPr>
                <w:rFonts w:hint="eastAsia"/>
                <w:sz w:val="21"/>
                <w:szCs w:val="21"/>
              </w:rPr>
            </w:pPr>
            <w:r>
              <w:rPr>
                <w:rFonts w:hint="eastAsia"/>
                <w:sz w:val="21"/>
                <w:szCs w:val="21"/>
              </w:rPr>
              <w:t>方案内容</w:t>
            </w:r>
          </w:p>
        </w:tc>
        <w:tc>
          <w:tcPr>
            <w:tcW w:w="709" w:type="dxa"/>
            <w:noWrap w:val="0"/>
            <w:vAlign w:val="center"/>
          </w:tcPr>
          <w:p>
            <w:pPr>
              <w:adjustRightInd w:val="0"/>
              <w:snapToGrid w:val="0"/>
              <w:ind w:firstLine="0" w:firstLineChars="0"/>
              <w:jc w:val="center"/>
              <w:rPr>
                <w:rFonts w:hint="eastAsia"/>
                <w:sz w:val="21"/>
                <w:szCs w:val="21"/>
              </w:rPr>
            </w:pPr>
            <w:r>
              <w:rPr>
                <w:rFonts w:hint="eastAsia"/>
                <w:sz w:val="21"/>
                <w:szCs w:val="21"/>
              </w:rPr>
              <w:t>预计投资</w:t>
            </w:r>
          </w:p>
        </w:tc>
        <w:tc>
          <w:tcPr>
            <w:tcW w:w="2268" w:type="dxa"/>
            <w:noWrap w:val="0"/>
            <w:vAlign w:val="center"/>
          </w:tcPr>
          <w:p>
            <w:pPr>
              <w:adjustRightInd w:val="0"/>
              <w:snapToGrid w:val="0"/>
              <w:ind w:firstLine="0" w:firstLineChars="0"/>
              <w:jc w:val="center"/>
              <w:rPr>
                <w:rFonts w:hint="eastAsia"/>
                <w:sz w:val="21"/>
                <w:szCs w:val="21"/>
              </w:rPr>
            </w:pPr>
            <w:r>
              <w:rPr>
                <w:rFonts w:hint="eastAsia"/>
                <w:sz w:val="21"/>
                <w:szCs w:val="21"/>
              </w:rPr>
              <w:t>预期经济环境效益</w:t>
            </w:r>
          </w:p>
        </w:tc>
        <w:tc>
          <w:tcPr>
            <w:tcW w:w="1326" w:type="dxa"/>
            <w:noWrap w:val="0"/>
            <w:vAlign w:val="center"/>
          </w:tcPr>
          <w:p>
            <w:pPr>
              <w:adjustRightInd w:val="0"/>
              <w:snapToGrid w:val="0"/>
              <w:ind w:firstLine="0" w:firstLineChars="0"/>
              <w:jc w:val="center"/>
              <w:rPr>
                <w:rFonts w:hint="eastAsia"/>
                <w:sz w:val="21"/>
                <w:szCs w:val="21"/>
              </w:rPr>
            </w:pPr>
            <w:r>
              <w:rPr>
                <w:rFonts w:hint="eastAsia"/>
                <w:sz w:val="21"/>
                <w:szCs w:val="21"/>
              </w:rPr>
              <w:t>实施计划</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restart"/>
            <w:noWrap w:val="0"/>
            <w:vAlign w:val="center"/>
          </w:tcPr>
          <w:p>
            <w:pPr>
              <w:adjustRightInd w:val="0"/>
              <w:snapToGrid w:val="0"/>
              <w:ind w:firstLine="0" w:firstLineChars="0"/>
              <w:jc w:val="center"/>
              <w:rPr>
                <w:rFonts w:hint="eastAsia"/>
                <w:sz w:val="21"/>
                <w:szCs w:val="21"/>
              </w:rPr>
            </w:pPr>
            <w:r>
              <w:rPr>
                <w:rFonts w:hint="eastAsia"/>
                <w:sz w:val="21"/>
                <w:szCs w:val="21"/>
              </w:rPr>
              <w:t>无低费方案</w:t>
            </w:r>
          </w:p>
        </w:tc>
        <w:tc>
          <w:tcPr>
            <w:tcW w:w="696" w:type="dxa"/>
            <w:noWrap w:val="0"/>
            <w:vAlign w:val="center"/>
          </w:tcPr>
          <w:p>
            <w:pPr>
              <w:pStyle w:val="44"/>
              <w:snapToGrid w:val="0"/>
              <w:spacing w:beforeLines="20" w:afterLines="20" w:line="240" w:lineRule="auto"/>
              <w:rPr>
                <w:sz w:val="21"/>
                <w:szCs w:val="21"/>
              </w:rPr>
            </w:pPr>
            <w:r>
              <w:rPr>
                <w:rFonts w:cs="Times New Roman" w:eastAsiaTheme="minorEastAsia"/>
                <w:sz w:val="21"/>
                <w:szCs w:val="21"/>
              </w:rPr>
              <w:t>F1-1</w:t>
            </w:r>
          </w:p>
        </w:tc>
        <w:tc>
          <w:tcPr>
            <w:tcW w:w="2862" w:type="dxa"/>
            <w:noWrap w:val="0"/>
            <w:vAlign w:val="center"/>
          </w:tcPr>
          <w:p>
            <w:pPr>
              <w:spacing w:beforeLines="20" w:afterLines="20"/>
              <w:jc w:val="center"/>
              <w:rPr>
                <w:sz w:val="21"/>
                <w:szCs w:val="21"/>
              </w:rPr>
            </w:pPr>
            <w:r>
              <w:rPr>
                <w:rFonts w:ascii="Times New Roman" w:cs="Times New Roman" w:hAnsiTheme="minorEastAsia" w:eastAsiaTheme="minorEastAsia"/>
                <w:sz w:val="21"/>
                <w:szCs w:val="21"/>
              </w:rPr>
              <w:t>劳保用品配备</w:t>
            </w:r>
          </w:p>
        </w:tc>
        <w:tc>
          <w:tcPr>
            <w:tcW w:w="709" w:type="dxa"/>
            <w:noWrap w:val="0"/>
            <w:vAlign w:val="center"/>
          </w:tcPr>
          <w:p>
            <w:pPr>
              <w:adjustRightInd w:val="0"/>
              <w:snapToGrid w:val="0"/>
              <w:ind w:firstLine="0" w:firstLineChars="0"/>
              <w:jc w:val="center"/>
              <w:rPr>
                <w:rFonts w:hint="eastAsia" w:eastAsiaTheme="minorEastAsia"/>
                <w:sz w:val="21"/>
                <w:szCs w:val="21"/>
                <w:lang w:eastAsia="zh-CN"/>
              </w:rPr>
            </w:pPr>
            <w:r>
              <w:rPr>
                <w:rFonts w:hint="eastAsia"/>
                <w:sz w:val="21"/>
                <w:szCs w:val="21"/>
                <w:lang w:val="en-US" w:eastAsia="zh-CN"/>
              </w:rPr>
              <w:t>0</w:t>
            </w:r>
          </w:p>
        </w:tc>
        <w:tc>
          <w:tcPr>
            <w:tcW w:w="2268" w:type="dxa"/>
            <w:noWrap w:val="0"/>
            <w:vAlign w:val="center"/>
          </w:tcPr>
          <w:p>
            <w:pPr>
              <w:pStyle w:val="44"/>
              <w:snapToGrid w:val="0"/>
            </w:pPr>
            <w:r>
              <w:rPr>
                <w:rFonts w:ascii="宋体" w:hAnsi="宋体" w:eastAsia="宋体" w:cs="宋体"/>
                <w:spacing w:val="-9"/>
                <w:sz w:val="21"/>
                <w:szCs w:val="21"/>
              </w:rPr>
              <w:t>加</w:t>
            </w:r>
            <w:r>
              <w:rPr>
                <w:rFonts w:ascii="宋体" w:hAnsi="宋体" w:eastAsia="宋体" w:cs="宋体"/>
                <w:spacing w:val="-7"/>
                <w:sz w:val="21"/>
                <w:szCs w:val="21"/>
              </w:rPr>
              <w:t>强个体防护，</w:t>
            </w:r>
            <w:r>
              <w:rPr>
                <w:rFonts w:ascii="宋体" w:hAnsi="宋体" w:eastAsia="宋体" w:cs="宋体"/>
                <w:sz w:val="21"/>
                <w:szCs w:val="21"/>
              </w:rPr>
              <w:t xml:space="preserve"> </w:t>
            </w:r>
            <w:r>
              <w:rPr>
                <w:rFonts w:ascii="宋体" w:hAnsi="宋体" w:eastAsia="宋体" w:cs="宋体"/>
                <w:spacing w:val="-1"/>
                <w:sz w:val="21"/>
                <w:szCs w:val="21"/>
              </w:rPr>
              <w:t>减少生产对</w:t>
            </w:r>
            <w:r>
              <w:rPr>
                <w:rFonts w:ascii="宋体" w:hAnsi="宋体" w:eastAsia="宋体" w:cs="宋体"/>
                <w:sz w:val="21"/>
                <w:szCs w:val="21"/>
              </w:rPr>
              <w:t>员工</w:t>
            </w:r>
            <w:r>
              <w:rPr>
                <w:rFonts w:ascii="宋体" w:hAnsi="宋体" w:eastAsia="宋体" w:cs="宋体"/>
                <w:spacing w:val="-5"/>
                <w:sz w:val="21"/>
                <w:szCs w:val="21"/>
              </w:rPr>
              <w:t>的危害</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spacing w:beforeLines="20" w:afterLines="20" w:line="240" w:lineRule="auto"/>
              <w:rPr>
                <w:sz w:val="21"/>
                <w:szCs w:val="21"/>
              </w:rPr>
            </w:pPr>
            <w:r>
              <w:rPr>
                <w:rFonts w:cs="Times New Roman" w:eastAsiaTheme="minorEastAsia"/>
                <w:sz w:val="21"/>
                <w:szCs w:val="21"/>
              </w:rPr>
              <w:t>F1-2</w:t>
            </w:r>
          </w:p>
        </w:tc>
        <w:tc>
          <w:tcPr>
            <w:tcW w:w="2862" w:type="dxa"/>
            <w:noWrap w:val="0"/>
            <w:vAlign w:val="center"/>
          </w:tcPr>
          <w:p>
            <w:pPr>
              <w:pStyle w:val="44"/>
              <w:snapToGrid w:val="0"/>
              <w:spacing w:beforeLines="50" w:after="20" w:line="240" w:lineRule="auto"/>
              <w:rPr>
                <w:sz w:val="21"/>
                <w:szCs w:val="21"/>
              </w:rPr>
            </w:pPr>
            <w:r>
              <w:rPr>
                <w:rFonts w:cs="Times New Roman" w:hAnsiTheme="minorEastAsia" w:eastAsiaTheme="minorEastAsia"/>
                <w:snapToGrid w:val="0"/>
                <w:kern w:val="24"/>
                <w:sz w:val="21"/>
                <w:szCs w:val="21"/>
              </w:rPr>
              <w:t>规范仓库管理</w:t>
            </w:r>
          </w:p>
        </w:tc>
        <w:tc>
          <w:tcPr>
            <w:tcW w:w="709" w:type="dxa"/>
            <w:noWrap w:val="0"/>
            <w:vAlign w:val="center"/>
          </w:tcPr>
          <w:p>
            <w:pPr>
              <w:adjustRightInd w:val="0"/>
              <w:snapToGrid w:val="0"/>
              <w:ind w:firstLine="0" w:firstLineChars="0"/>
              <w:jc w:val="center"/>
              <w:rPr>
                <w:rFonts w:hint="eastAsia" w:eastAsiaTheme="minorEastAsia"/>
                <w:sz w:val="21"/>
                <w:szCs w:val="21"/>
                <w:lang w:eastAsia="zh-CN"/>
              </w:rPr>
            </w:pPr>
            <w:r>
              <w:rPr>
                <w:rFonts w:hint="eastAsia"/>
                <w:sz w:val="21"/>
                <w:szCs w:val="21"/>
                <w:lang w:val="en-US" w:eastAsia="zh-CN"/>
              </w:rPr>
              <w:t>0</w:t>
            </w:r>
          </w:p>
        </w:tc>
        <w:tc>
          <w:tcPr>
            <w:tcW w:w="2268" w:type="dxa"/>
            <w:noWrap w:val="0"/>
            <w:vAlign w:val="center"/>
          </w:tcPr>
          <w:p>
            <w:pPr>
              <w:pStyle w:val="44"/>
              <w:snapToGrid w:val="0"/>
            </w:pPr>
            <w:r>
              <w:rPr>
                <w:rFonts w:ascii="宋体" w:hAnsi="宋体" w:eastAsia="宋体" w:cs="宋体"/>
                <w:spacing w:val="-10"/>
                <w:sz w:val="21"/>
                <w:szCs w:val="21"/>
              </w:rPr>
              <w:t>改</w:t>
            </w:r>
            <w:r>
              <w:rPr>
                <w:rFonts w:ascii="宋体" w:hAnsi="宋体" w:eastAsia="宋体" w:cs="宋体"/>
                <w:spacing w:val="-8"/>
                <w:sz w:val="21"/>
                <w:szCs w:val="21"/>
              </w:rPr>
              <w:t>善车间环境，</w:t>
            </w:r>
            <w:r>
              <w:rPr>
                <w:rFonts w:ascii="宋体" w:hAnsi="宋体" w:eastAsia="宋体" w:cs="宋体"/>
                <w:sz w:val="21"/>
                <w:szCs w:val="21"/>
              </w:rPr>
              <w:t xml:space="preserve"> </w:t>
            </w:r>
            <w:r>
              <w:rPr>
                <w:rFonts w:ascii="宋体" w:hAnsi="宋体" w:eastAsia="宋体" w:cs="宋体"/>
                <w:spacing w:val="-1"/>
                <w:sz w:val="21"/>
                <w:szCs w:val="21"/>
              </w:rPr>
              <w:t>减少废弃物</w:t>
            </w:r>
            <w:r>
              <w:rPr>
                <w:rFonts w:ascii="宋体" w:hAnsi="宋体" w:eastAsia="宋体" w:cs="宋体"/>
                <w:sz w:val="21"/>
                <w:szCs w:val="21"/>
              </w:rPr>
              <w:t>产生</w:t>
            </w:r>
            <w:r>
              <w:rPr>
                <w:rFonts w:ascii="宋体" w:hAnsi="宋体" w:eastAsia="宋体" w:cs="宋体"/>
                <w:spacing w:val="-2"/>
                <w:sz w:val="21"/>
                <w:szCs w:val="21"/>
              </w:rPr>
              <w:t>与排放</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spacing w:beforeLines="20" w:afterLines="20" w:line="240" w:lineRule="auto"/>
              <w:rPr>
                <w:sz w:val="21"/>
                <w:szCs w:val="21"/>
              </w:rPr>
            </w:pPr>
            <w:r>
              <w:rPr>
                <w:rFonts w:cs="Times New Roman" w:eastAsiaTheme="minorEastAsia"/>
                <w:sz w:val="21"/>
                <w:szCs w:val="21"/>
              </w:rPr>
              <w:t>F1-3</w:t>
            </w:r>
          </w:p>
        </w:tc>
        <w:tc>
          <w:tcPr>
            <w:tcW w:w="2862" w:type="dxa"/>
            <w:noWrap w:val="0"/>
            <w:vAlign w:val="center"/>
          </w:tcPr>
          <w:p>
            <w:pPr>
              <w:pStyle w:val="44"/>
              <w:snapToGrid w:val="0"/>
              <w:spacing w:beforeLines="20" w:afterLines="20" w:line="240" w:lineRule="auto"/>
              <w:rPr>
                <w:sz w:val="21"/>
                <w:szCs w:val="21"/>
              </w:rPr>
            </w:pPr>
            <w:r>
              <w:rPr>
                <w:rFonts w:cs="Times New Roman" w:hAnsiTheme="minorEastAsia" w:eastAsiaTheme="minorEastAsia"/>
                <w:sz w:val="21"/>
                <w:szCs w:val="21"/>
              </w:rPr>
              <w:t>优化车间布局</w:t>
            </w:r>
          </w:p>
        </w:tc>
        <w:tc>
          <w:tcPr>
            <w:tcW w:w="709" w:type="dxa"/>
            <w:noWrap w:val="0"/>
            <w:vAlign w:val="center"/>
          </w:tcPr>
          <w:p>
            <w:pPr>
              <w:adjustRightInd w:val="0"/>
              <w:snapToGrid w:val="0"/>
              <w:ind w:firstLine="0" w:firstLineChars="0"/>
              <w:jc w:val="center"/>
              <w:rPr>
                <w:sz w:val="21"/>
                <w:szCs w:val="21"/>
              </w:rPr>
            </w:pPr>
            <w:r>
              <w:rPr>
                <w:sz w:val="21"/>
                <w:szCs w:val="21"/>
              </w:rPr>
              <w:t>0</w:t>
            </w:r>
          </w:p>
        </w:tc>
        <w:tc>
          <w:tcPr>
            <w:tcW w:w="2268" w:type="dxa"/>
            <w:noWrap w:val="0"/>
            <w:vAlign w:val="center"/>
          </w:tcPr>
          <w:p>
            <w:pPr>
              <w:pStyle w:val="44"/>
              <w:snapToGrid w:val="0"/>
            </w:pPr>
            <w:r>
              <w:rPr>
                <w:rFonts w:ascii="宋体" w:hAnsi="宋体" w:eastAsia="宋体" w:cs="宋体"/>
                <w:spacing w:val="-4"/>
                <w:sz w:val="21"/>
                <w:szCs w:val="21"/>
              </w:rPr>
              <w:t>改</w:t>
            </w:r>
            <w:r>
              <w:rPr>
                <w:rFonts w:ascii="宋体" w:hAnsi="宋体" w:eastAsia="宋体" w:cs="宋体"/>
                <w:spacing w:val="-2"/>
                <w:sz w:val="21"/>
                <w:szCs w:val="21"/>
              </w:rPr>
              <w:t>善厂房环境</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spacing w:beforeLines="20" w:afterLines="20" w:line="240" w:lineRule="auto"/>
              <w:rPr>
                <w:sz w:val="21"/>
                <w:szCs w:val="21"/>
              </w:rPr>
            </w:pPr>
            <w:r>
              <w:rPr>
                <w:rFonts w:cs="Times New Roman" w:eastAsiaTheme="minorEastAsia"/>
                <w:sz w:val="21"/>
                <w:szCs w:val="21"/>
              </w:rPr>
              <w:t>F1-4</w:t>
            </w:r>
          </w:p>
        </w:tc>
        <w:tc>
          <w:tcPr>
            <w:tcW w:w="2862" w:type="dxa"/>
            <w:noWrap w:val="0"/>
            <w:vAlign w:val="center"/>
          </w:tcPr>
          <w:p>
            <w:pPr>
              <w:pStyle w:val="44"/>
              <w:spacing w:beforeLines="20" w:line="240" w:lineRule="auto"/>
              <w:rPr>
                <w:sz w:val="21"/>
                <w:szCs w:val="21"/>
              </w:rPr>
            </w:pPr>
            <w:r>
              <w:rPr>
                <w:rFonts w:cs="Times New Roman" w:hAnsiTheme="minorEastAsia" w:eastAsiaTheme="minorEastAsia"/>
                <w:sz w:val="21"/>
                <w:szCs w:val="21"/>
              </w:rPr>
              <w:t>加强空压机等设备的维护保养</w:t>
            </w:r>
          </w:p>
        </w:tc>
        <w:tc>
          <w:tcPr>
            <w:tcW w:w="709" w:type="dxa"/>
            <w:noWrap w:val="0"/>
            <w:vAlign w:val="center"/>
          </w:tcPr>
          <w:p>
            <w:pPr>
              <w:adjustRightInd w:val="0"/>
              <w:snapToGrid w:val="0"/>
              <w:ind w:firstLine="0" w:firstLineChars="0"/>
              <w:jc w:val="center"/>
              <w:rPr>
                <w:rFonts w:hint="default" w:eastAsiaTheme="minorEastAsia"/>
                <w:sz w:val="21"/>
                <w:szCs w:val="21"/>
                <w:lang w:val="en-US" w:eastAsia="zh-CN"/>
              </w:rPr>
            </w:pPr>
            <w:r>
              <w:rPr>
                <w:sz w:val="21"/>
                <w:szCs w:val="21"/>
              </w:rPr>
              <w:t>0</w:t>
            </w:r>
            <w:r>
              <w:rPr>
                <w:rFonts w:hint="eastAsia"/>
                <w:sz w:val="21"/>
                <w:szCs w:val="21"/>
                <w:lang w:val="en-US" w:eastAsia="zh-CN"/>
              </w:rPr>
              <w:t>.2</w:t>
            </w:r>
          </w:p>
        </w:tc>
        <w:tc>
          <w:tcPr>
            <w:tcW w:w="2268" w:type="dxa"/>
            <w:noWrap w:val="0"/>
            <w:vAlign w:val="center"/>
          </w:tcPr>
          <w:p>
            <w:pPr>
              <w:pStyle w:val="44"/>
              <w:snapToGrid w:val="0"/>
            </w:pPr>
            <w:r>
              <w:t>节约电能</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spacing w:beforeLines="20" w:afterLines="20" w:line="240" w:lineRule="auto"/>
              <w:rPr>
                <w:sz w:val="21"/>
                <w:szCs w:val="21"/>
              </w:rPr>
            </w:pPr>
            <w:r>
              <w:rPr>
                <w:rFonts w:cs="Times New Roman" w:eastAsiaTheme="minorEastAsia"/>
                <w:sz w:val="21"/>
                <w:szCs w:val="21"/>
              </w:rPr>
              <w:t>F1-5</w:t>
            </w:r>
          </w:p>
        </w:tc>
        <w:tc>
          <w:tcPr>
            <w:tcW w:w="2862" w:type="dxa"/>
            <w:noWrap w:val="0"/>
            <w:vAlign w:val="center"/>
          </w:tcPr>
          <w:p>
            <w:pPr>
              <w:pStyle w:val="44"/>
              <w:spacing w:beforeLines="20" w:line="240" w:lineRule="auto"/>
              <w:rPr>
                <w:sz w:val="21"/>
                <w:szCs w:val="21"/>
              </w:rPr>
            </w:pPr>
            <w:r>
              <w:rPr>
                <w:rFonts w:hint="eastAsia" w:cs="Times New Roman" w:hAnsiTheme="minorEastAsia" w:eastAsiaTheme="minorEastAsia"/>
                <w:sz w:val="21"/>
                <w:szCs w:val="21"/>
              </w:rPr>
              <w:t>编织袋利用</w:t>
            </w:r>
          </w:p>
        </w:tc>
        <w:tc>
          <w:tcPr>
            <w:tcW w:w="709" w:type="dxa"/>
            <w:noWrap w:val="0"/>
            <w:vAlign w:val="center"/>
          </w:tcPr>
          <w:p>
            <w:pPr>
              <w:adjustRightInd w:val="0"/>
              <w:snapToGrid w:val="0"/>
              <w:ind w:firstLine="0" w:firstLineChars="0"/>
              <w:jc w:val="center"/>
              <w:rPr>
                <w:sz w:val="21"/>
                <w:szCs w:val="21"/>
              </w:rPr>
            </w:pPr>
            <w:r>
              <w:rPr>
                <w:rFonts w:hint="eastAsia"/>
                <w:sz w:val="21"/>
                <w:szCs w:val="21"/>
              </w:rPr>
              <w:t>0</w:t>
            </w:r>
          </w:p>
        </w:tc>
        <w:tc>
          <w:tcPr>
            <w:tcW w:w="2268" w:type="dxa"/>
            <w:noWrap w:val="0"/>
            <w:vAlign w:val="center"/>
          </w:tcPr>
          <w:p>
            <w:pPr>
              <w:pStyle w:val="44"/>
              <w:snapToGrid w:val="0"/>
              <w:rPr>
                <w:rFonts w:hint="default" w:eastAsiaTheme="minorEastAsia"/>
                <w:lang w:val="en-US" w:eastAsia="zh-CN"/>
              </w:rPr>
            </w:pPr>
            <w:r>
              <w:rPr>
                <w:rFonts w:hint="eastAsia" w:ascii="宋体" w:hAnsi="宋体" w:eastAsia="宋体" w:cs="宋体"/>
                <w:spacing w:val="-1"/>
                <w:sz w:val="21"/>
                <w:szCs w:val="21"/>
                <w:lang w:val="en-US" w:eastAsia="zh-CN"/>
              </w:rPr>
              <w:t>提高固废利用率</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spacing w:beforeLines="20" w:afterLines="20" w:line="240" w:lineRule="auto"/>
              <w:rPr>
                <w:sz w:val="21"/>
                <w:szCs w:val="21"/>
              </w:rPr>
            </w:pPr>
            <w:r>
              <w:rPr>
                <w:rFonts w:cs="Times New Roman" w:eastAsiaTheme="minorEastAsia"/>
                <w:sz w:val="21"/>
                <w:szCs w:val="21"/>
              </w:rPr>
              <w:t>F1-6</w:t>
            </w:r>
          </w:p>
        </w:tc>
        <w:tc>
          <w:tcPr>
            <w:tcW w:w="2862" w:type="dxa"/>
            <w:noWrap w:val="0"/>
            <w:vAlign w:val="center"/>
          </w:tcPr>
          <w:p>
            <w:pPr>
              <w:pStyle w:val="44"/>
              <w:snapToGrid w:val="0"/>
              <w:spacing w:beforeLines="20" w:afterLines="20" w:line="240" w:lineRule="auto"/>
              <w:rPr>
                <w:sz w:val="21"/>
                <w:szCs w:val="21"/>
              </w:rPr>
            </w:pPr>
            <w:r>
              <w:rPr>
                <w:rFonts w:cs="Times New Roman" w:hAnsiTheme="minorEastAsia" w:eastAsiaTheme="minorEastAsia"/>
                <w:sz w:val="21"/>
                <w:szCs w:val="21"/>
              </w:rPr>
              <w:t>提高员工清洁生产意识</w:t>
            </w:r>
          </w:p>
        </w:tc>
        <w:tc>
          <w:tcPr>
            <w:tcW w:w="709"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rPr>
              <w:t>0</w:t>
            </w:r>
            <w:r>
              <w:rPr>
                <w:rFonts w:hint="eastAsia"/>
                <w:sz w:val="21"/>
                <w:szCs w:val="21"/>
                <w:lang w:val="en-US" w:eastAsia="zh-CN"/>
              </w:rPr>
              <w:t>.2</w:t>
            </w:r>
          </w:p>
        </w:tc>
        <w:tc>
          <w:tcPr>
            <w:tcW w:w="2268" w:type="dxa"/>
            <w:noWrap w:val="0"/>
            <w:vAlign w:val="center"/>
          </w:tcPr>
          <w:p>
            <w:pPr>
              <w:pStyle w:val="44"/>
              <w:snapToGrid w:val="0"/>
            </w:pPr>
            <w:r>
              <w:rPr>
                <w:rFonts w:ascii="宋体" w:hAnsi="宋体" w:eastAsia="宋体" w:cs="宋体"/>
                <w:spacing w:val="-10"/>
                <w:sz w:val="21"/>
                <w:szCs w:val="21"/>
              </w:rPr>
              <w:t>改</w:t>
            </w:r>
            <w:r>
              <w:rPr>
                <w:rFonts w:ascii="宋体" w:hAnsi="宋体" w:eastAsia="宋体" w:cs="宋体"/>
                <w:spacing w:val="-8"/>
                <w:sz w:val="21"/>
                <w:szCs w:val="21"/>
              </w:rPr>
              <w:t>善车间环境，</w:t>
            </w:r>
            <w:r>
              <w:rPr>
                <w:rFonts w:ascii="宋体" w:hAnsi="宋体" w:eastAsia="宋体" w:cs="宋体"/>
                <w:sz w:val="21"/>
                <w:szCs w:val="21"/>
              </w:rPr>
              <w:t xml:space="preserve"> </w:t>
            </w:r>
            <w:r>
              <w:rPr>
                <w:rFonts w:ascii="宋体" w:hAnsi="宋体" w:eastAsia="宋体" w:cs="宋体"/>
                <w:spacing w:val="-1"/>
                <w:sz w:val="21"/>
                <w:szCs w:val="21"/>
              </w:rPr>
              <w:t>减少污染物</w:t>
            </w:r>
            <w:r>
              <w:rPr>
                <w:rFonts w:ascii="宋体" w:hAnsi="宋体" w:eastAsia="宋体" w:cs="宋体"/>
                <w:sz w:val="21"/>
                <w:szCs w:val="21"/>
              </w:rPr>
              <w:t>排放</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rPr>
                <w:rFonts w:hint="eastAsia" w:eastAsiaTheme="minorEastAsia"/>
                <w:sz w:val="21"/>
                <w:szCs w:val="21"/>
                <w:lang w:val="en-US" w:eastAsia="zh-CN"/>
              </w:rPr>
            </w:pPr>
            <w:r>
              <w:rPr>
                <w:rFonts w:hint="eastAsia"/>
                <w:lang w:val="en-US" w:eastAsia="zh-CN"/>
              </w:rPr>
              <w:t>F2-1</w:t>
            </w:r>
          </w:p>
        </w:tc>
        <w:tc>
          <w:tcPr>
            <w:tcW w:w="2862" w:type="dxa"/>
            <w:noWrap w:val="0"/>
            <w:vAlign w:val="center"/>
          </w:tcPr>
          <w:p>
            <w:pPr>
              <w:pStyle w:val="44"/>
              <w:snapToGrid w:val="0"/>
              <w:rPr>
                <w:sz w:val="21"/>
                <w:szCs w:val="21"/>
              </w:rPr>
            </w:pPr>
            <w:r>
              <w:t>加强对入场原辅料的检验，不合格产品不能入场</w:t>
            </w:r>
          </w:p>
        </w:tc>
        <w:tc>
          <w:tcPr>
            <w:tcW w:w="709" w:type="dxa"/>
            <w:noWrap w:val="0"/>
            <w:vAlign w:val="center"/>
          </w:tcPr>
          <w:p>
            <w:pPr>
              <w:adjustRightInd w:val="0"/>
              <w:snapToGrid w:val="0"/>
              <w:ind w:firstLine="0" w:firstLineChars="0"/>
              <w:jc w:val="center"/>
              <w:rPr>
                <w:rFonts w:hint="eastAsia"/>
                <w:sz w:val="21"/>
                <w:szCs w:val="21"/>
              </w:rPr>
            </w:pPr>
            <w:r>
              <w:rPr>
                <w:rFonts w:hint="eastAsia"/>
                <w:sz w:val="21"/>
                <w:szCs w:val="21"/>
              </w:rPr>
              <w:t>0</w:t>
            </w:r>
          </w:p>
        </w:tc>
        <w:tc>
          <w:tcPr>
            <w:tcW w:w="2268" w:type="dxa"/>
            <w:noWrap w:val="0"/>
            <w:vAlign w:val="center"/>
          </w:tcPr>
          <w:p>
            <w:pPr>
              <w:pStyle w:val="44"/>
              <w:snapToGrid w:val="0"/>
            </w:pPr>
            <w:r>
              <w:t>确保原辅料质量，减少废物排放</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rPr>
                <w:sz w:val="21"/>
                <w:szCs w:val="21"/>
              </w:rPr>
            </w:pPr>
            <w:r>
              <w:rPr>
                <w:rFonts w:hint="eastAsia"/>
                <w:lang w:val="en-US" w:eastAsia="zh-CN"/>
              </w:rPr>
              <w:t>F2-3</w:t>
            </w:r>
          </w:p>
        </w:tc>
        <w:tc>
          <w:tcPr>
            <w:tcW w:w="2862" w:type="dxa"/>
            <w:noWrap w:val="0"/>
            <w:vAlign w:val="center"/>
          </w:tcPr>
          <w:p>
            <w:pPr>
              <w:pStyle w:val="44"/>
              <w:snapToGrid w:val="0"/>
              <w:rPr>
                <w:sz w:val="21"/>
                <w:szCs w:val="21"/>
              </w:rPr>
            </w:pPr>
            <w:r>
              <w:t>对废包装袋分类回收，尽可能循环利用</w:t>
            </w:r>
          </w:p>
        </w:tc>
        <w:tc>
          <w:tcPr>
            <w:tcW w:w="709" w:type="dxa"/>
            <w:noWrap w:val="0"/>
            <w:vAlign w:val="center"/>
          </w:tcPr>
          <w:p>
            <w:pPr>
              <w:adjustRightInd w:val="0"/>
              <w:snapToGrid w:val="0"/>
              <w:ind w:firstLine="0" w:firstLineChars="0"/>
              <w:jc w:val="center"/>
              <w:rPr>
                <w:sz w:val="21"/>
                <w:szCs w:val="21"/>
              </w:rPr>
            </w:pPr>
            <w:r>
              <w:rPr>
                <w:rFonts w:hint="eastAsia"/>
                <w:sz w:val="21"/>
                <w:szCs w:val="21"/>
              </w:rPr>
              <w:t>0</w:t>
            </w:r>
          </w:p>
        </w:tc>
        <w:tc>
          <w:tcPr>
            <w:tcW w:w="2268" w:type="dxa"/>
            <w:noWrap w:val="0"/>
            <w:vAlign w:val="center"/>
          </w:tcPr>
          <w:p>
            <w:pPr>
              <w:pStyle w:val="44"/>
              <w:snapToGrid w:val="0"/>
            </w:pPr>
            <w:r>
              <w:t>减少废包装袋的排放</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pStyle w:val="44"/>
              <w:snapToGrid w:val="0"/>
              <w:rPr>
                <w:sz w:val="21"/>
                <w:szCs w:val="21"/>
              </w:rPr>
            </w:pPr>
            <w:r>
              <w:rPr>
                <w:rFonts w:hint="eastAsia"/>
                <w:lang w:val="en-US" w:eastAsia="zh-CN"/>
              </w:rPr>
              <w:t>F2-5</w:t>
            </w:r>
          </w:p>
        </w:tc>
        <w:tc>
          <w:tcPr>
            <w:tcW w:w="2862" w:type="dxa"/>
            <w:noWrap w:val="0"/>
            <w:vAlign w:val="center"/>
          </w:tcPr>
          <w:p>
            <w:pPr>
              <w:pStyle w:val="44"/>
              <w:snapToGrid w:val="0"/>
              <w:rPr>
                <w:sz w:val="21"/>
                <w:szCs w:val="21"/>
              </w:rPr>
            </w:pPr>
            <w:r>
              <w:t>加强员工技术培训，提高员工操作技能</w:t>
            </w:r>
          </w:p>
        </w:tc>
        <w:tc>
          <w:tcPr>
            <w:tcW w:w="709"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1.0</w:t>
            </w:r>
          </w:p>
        </w:tc>
        <w:tc>
          <w:tcPr>
            <w:tcW w:w="2268" w:type="dxa"/>
            <w:noWrap w:val="0"/>
            <w:vAlign w:val="center"/>
          </w:tcPr>
          <w:p>
            <w:pPr>
              <w:pStyle w:val="44"/>
              <w:snapToGrid w:val="0"/>
            </w:pPr>
            <w:r>
              <w:t>减少污染物排放，节约原辅料；减少系统故障，提高生产效率</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noWrap w:val="0"/>
            <w:vAlign w:val="center"/>
          </w:tcPr>
          <w:p>
            <w:pPr>
              <w:adjustRightInd w:val="0"/>
              <w:snapToGrid w:val="0"/>
              <w:ind w:firstLine="0" w:firstLineChars="0"/>
              <w:jc w:val="center"/>
              <w:rPr>
                <w:rFonts w:hint="eastAsia"/>
                <w:sz w:val="21"/>
                <w:szCs w:val="21"/>
              </w:rPr>
            </w:pPr>
            <w:r>
              <w:rPr>
                <w:rFonts w:hint="eastAsia"/>
                <w:sz w:val="21"/>
                <w:szCs w:val="21"/>
              </w:rPr>
              <w:t>合计</w:t>
            </w:r>
          </w:p>
        </w:tc>
        <w:tc>
          <w:tcPr>
            <w:tcW w:w="696" w:type="dxa"/>
            <w:noWrap w:val="0"/>
            <w:vAlign w:val="center"/>
          </w:tcPr>
          <w:p>
            <w:pPr>
              <w:adjustRightInd w:val="0"/>
              <w:snapToGrid w:val="0"/>
              <w:ind w:firstLine="0" w:firstLineChars="0"/>
              <w:jc w:val="center"/>
              <w:rPr>
                <w:sz w:val="21"/>
                <w:szCs w:val="21"/>
              </w:rPr>
            </w:pPr>
            <w:r>
              <w:rPr>
                <w:rFonts w:hint="eastAsia"/>
                <w:sz w:val="21"/>
                <w:szCs w:val="21"/>
                <w:lang w:val="en-US" w:eastAsia="zh-CN"/>
              </w:rPr>
              <w:t>9</w:t>
            </w:r>
            <w:r>
              <w:rPr>
                <w:rFonts w:hint="eastAsia"/>
                <w:sz w:val="21"/>
                <w:szCs w:val="21"/>
              </w:rPr>
              <w:t>个</w:t>
            </w:r>
          </w:p>
        </w:tc>
        <w:tc>
          <w:tcPr>
            <w:tcW w:w="2862" w:type="dxa"/>
            <w:noWrap w:val="0"/>
            <w:vAlign w:val="center"/>
          </w:tcPr>
          <w:p>
            <w:pPr>
              <w:adjustRightInd w:val="0"/>
              <w:snapToGrid w:val="0"/>
              <w:ind w:firstLine="0" w:firstLineChars="0"/>
              <w:jc w:val="center"/>
              <w:rPr>
                <w:sz w:val="21"/>
                <w:szCs w:val="21"/>
              </w:rPr>
            </w:pPr>
          </w:p>
        </w:tc>
        <w:tc>
          <w:tcPr>
            <w:tcW w:w="709" w:type="dxa"/>
            <w:noWrap w:val="0"/>
            <w:vAlign w:val="center"/>
          </w:tcPr>
          <w:p>
            <w:pPr>
              <w:adjustRightInd w:val="0"/>
              <w:snapToGrid w:val="0"/>
              <w:ind w:firstLine="0" w:firstLineChars="0"/>
              <w:jc w:val="center"/>
              <w:rPr>
                <w:rFonts w:hint="eastAsia"/>
                <w:sz w:val="21"/>
                <w:szCs w:val="21"/>
              </w:rPr>
            </w:pPr>
          </w:p>
        </w:tc>
        <w:tc>
          <w:tcPr>
            <w:tcW w:w="2268" w:type="dxa"/>
            <w:noWrap w:val="0"/>
            <w:vAlign w:val="center"/>
          </w:tcPr>
          <w:p>
            <w:pPr>
              <w:adjustRightInd w:val="0"/>
              <w:snapToGrid w:val="0"/>
              <w:ind w:firstLine="0" w:firstLineChars="0"/>
              <w:jc w:val="center"/>
              <w:rPr>
                <w:rFonts w:hint="eastAsia"/>
                <w:kern w:val="18"/>
                <w:sz w:val="21"/>
                <w:szCs w:val="22"/>
              </w:rPr>
            </w:pPr>
          </w:p>
        </w:tc>
        <w:tc>
          <w:tcPr>
            <w:tcW w:w="1326" w:type="dxa"/>
            <w:noWrap w:val="0"/>
            <w:vAlign w:val="center"/>
          </w:tcPr>
          <w:p>
            <w:pPr>
              <w:adjustRightInd w:val="0"/>
              <w:snapToGrid w:val="0"/>
              <w:ind w:firstLine="0" w:firstLineChars="0"/>
              <w:jc w:val="center"/>
              <w:rPr>
                <w:rFonts w:hint="eastAsia"/>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restart"/>
            <w:noWrap w:val="0"/>
            <w:vAlign w:val="center"/>
          </w:tcPr>
          <w:p>
            <w:pPr>
              <w:adjustRightInd w:val="0"/>
              <w:snapToGrid w:val="0"/>
              <w:ind w:firstLine="0" w:firstLineChars="0"/>
              <w:jc w:val="center"/>
              <w:rPr>
                <w:rFonts w:hint="eastAsia"/>
                <w:sz w:val="21"/>
                <w:szCs w:val="21"/>
              </w:rPr>
            </w:pPr>
            <w:r>
              <w:rPr>
                <w:rFonts w:hint="eastAsia"/>
                <w:sz w:val="21"/>
                <w:szCs w:val="21"/>
              </w:rPr>
              <w:t>中高方案</w:t>
            </w:r>
          </w:p>
        </w:tc>
        <w:tc>
          <w:tcPr>
            <w:tcW w:w="696" w:type="dxa"/>
            <w:noWrap w:val="0"/>
            <w:vAlign w:val="center"/>
          </w:tcPr>
          <w:p>
            <w:pPr>
              <w:adjustRightInd w:val="0"/>
              <w:snapToGrid w:val="0"/>
              <w:ind w:firstLine="0" w:firstLineChars="0"/>
              <w:jc w:val="center"/>
              <w:rPr>
                <w:rFonts w:hint="eastAsia" w:eastAsiaTheme="minorEastAsia"/>
                <w:sz w:val="21"/>
                <w:szCs w:val="21"/>
                <w:lang w:eastAsia="zh-CN"/>
              </w:rPr>
            </w:pPr>
            <w:r>
              <w:rPr>
                <w:rFonts w:hint="eastAsia"/>
                <w:sz w:val="21"/>
                <w:szCs w:val="21"/>
                <w:lang w:eastAsia="zh-CN"/>
              </w:rPr>
              <w:t>F2-2</w:t>
            </w:r>
          </w:p>
        </w:tc>
        <w:tc>
          <w:tcPr>
            <w:tcW w:w="2862" w:type="dxa"/>
            <w:noWrap w:val="0"/>
            <w:vAlign w:val="center"/>
          </w:tcPr>
          <w:p>
            <w:pPr>
              <w:adjustRightInd w:val="0"/>
              <w:snapToGrid w:val="0"/>
              <w:ind w:firstLine="0" w:firstLineChars="0"/>
              <w:jc w:val="center"/>
              <w:rPr>
                <w:rFonts w:hint="eastAsia" w:ascii="Times New Roman" w:eastAsia="宋体"/>
                <w:lang w:eastAsia="zh-CN"/>
              </w:rPr>
            </w:pPr>
            <w:r>
              <w:rPr>
                <w:rFonts w:hint="eastAsia" w:ascii="Times New Roman" w:eastAsia="宋体"/>
                <w:lang w:eastAsia="zh-CN"/>
              </w:rPr>
              <w:t>更换牵引链条</w:t>
            </w:r>
          </w:p>
        </w:tc>
        <w:tc>
          <w:tcPr>
            <w:tcW w:w="709" w:type="dxa"/>
            <w:noWrap w:val="0"/>
            <w:vAlign w:val="center"/>
          </w:tcPr>
          <w:p>
            <w:pPr>
              <w:adjustRightInd w:val="0"/>
              <w:snapToGrid w:val="0"/>
              <w:ind w:firstLine="0" w:firstLineChars="0"/>
              <w:jc w:val="center"/>
              <w:rPr>
                <w:rFonts w:hint="default" w:ascii="Times New Roman" w:eastAsia="宋体"/>
                <w:lang w:val="en-US" w:eastAsia="zh-CN"/>
              </w:rPr>
            </w:pPr>
            <w:r>
              <w:rPr>
                <w:rFonts w:hint="eastAsia" w:ascii="Times New Roman" w:eastAsia="宋体"/>
                <w:lang w:val="en-US" w:eastAsia="zh-CN"/>
              </w:rPr>
              <w:t>12</w:t>
            </w:r>
          </w:p>
        </w:tc>
        <w:tc>
          <w:tcPr>
            <w:tcW w:w="2268" w:type="dxa"/>
            <w:noWrap w:val="0"/>
            <w:vAlign w:val="center"/>
          </w:tcPr>
          <w:p>
            <w:pPr>
              <w:adjustRightInd w:val="0"/>
              <w:snapToGrid w:val="0"/>
              <w:ind w:firstLine="0" w:firstLineChars="0"/>
              <w:jc w:val="center"/>
              <w:rPr>
                <w:rFonts w:hint="default" w:ascii="Times New Roman" w:eastAsia="宋体"/>
                <w:lang w:val="en-US" w:eastAsia="zh-CN"/>
              </w:rPr>
            </w:pPr>
            <w:r>
              <w:rPr>
                <w:rFonts w:hint="eastAsia" w:ascii="Times New Roman" w:eastAsia="宋体"/>
                <w:lang w:val="en-US" w:eastAsia="zh-CN"/>
              </w:rPr>
              <w:t>年节电22500kwh/a</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vMerge w:val="continue"/>
            <w:noWrap w:val="0"/>
            <w:vAlign w:val="center"/>
          </w:tcPr>
          <w:p>
            <w:pPr>
              <w:adjustRightInd w:val="0"/>
              <w:snapToGrid w:val="0"/>
              <w:ind w:firstLine="0" w:firstLineChars="0"/>
              <w:jc w:val="center"/>
              <w:rPr>
                <w:rFonts w:hint="eastAsia"/>
                <w:sz w:val="21"/>
                <w:szCs w:val="21"/>
              </w:rPr>
            </w:pPr>
          </w:p>
        </w:tc>
        <w:tc>
          <w:tcPr>
            <w:tcW w:w="696" w:type="dxa"/>
            <w:noWrap w:val="0"/>
            <w:vAlign w:val="center"/>
          </w:tcPr>
          <w:p>
            <w:pPr>
              <w:adjustRightInd w:val="0"/>
              <w:snapToGrid w:val="0"/>
              <w:ind w:firstLine="0" w:firstLineChars="0"/>
              <w:jc w:val="center"/>
              <w:rPr>
                <w:rFonts w:hint="default"/>
                <w:sz w:val="21"/>
                <w:szCs w:val="21"/>
                <w:lang w:val="en-US" w:eastAsia="zh-CN"/>
              </w:rPr>
            </w:pPr>
            <w:r>
              <w:rPr>
                <w:rFonts w:hint="eastAsia"/>
                <w:sz w:val="21"/>
                <w:szCs w:val="21"/>
                <w:lang w:eastAsia="zh-CN"/>
              </w:rPr>
              <w:t>F2-</w:t>
            </w:r>
            <w:r>
              <w:rPr>
                <w:rFonts w:hint="eastAsia"/>
                <w:sz w:val="21"/>
                <w:szCs w:val="21"/>
                <w:lang w:val="en-US" w:eastAsia="zh-CN"/>
              </w:rPr>
              <w:t>4</w:t>
            </w:r>
          </w:p>
        </w:tc>
        <w:tc>
          <w:tcPr>
            <w:tcW w:w="2862" w:type="dxa"/>
            <w:noWrap w:val="0"/>
            <w:vAlign w:val="center"/>
          </w:tcPr>
          <w:p>
            <w:pPr>
              <w:adjustRightInd w:val="0"/>
              <w:snapToGrid w:val="0"/>
              <w:ind w:firstLine="0" w:firstLineChars="0"/>
              <w:jc w:val="center"/>
              <w:rPr>
                <w:rFonts w:hint="eastAsia"/>
                <w:sz w:val="21"/>
                <w:szCs w:val="21"/>
                <w:lang w:eastAsia="zh-CN"/>
              </w:rPr>
            </w:pPr>
            <w:r>
              <w:rPr>
                <w:rFonts w:hint="eastAsia" w:ascii="Times New Roman" w:eastAsia="宋体"/>
                <w:lang w:eastAsia="zh-CN"/>
              </w:rPr>
              <w:t>自动混料系统</w:t>
            </w:r>
          </w:p>
        </w:tc>
        <w:tc>
          <w:tcPr>
            <w:tcW w:w="709" w:type="dxa"/>
            <w:noWrap w:val="0"/>
            <w:vAlign w:val="center"/>
          </w:tcPr>
          <w:p>
            <w:pPr>
              <w:adjustRightInd w:val="0"/>
              <w:snapToGrid w:val="0"/>
              <w:ind w:firstLine="0" w:firstLineChars="0"/>
              <w:jc w:val="center"/>
              <w:rPr>
                <w:rFonts w:hint="default"/>
                <w:sz w:val="21"/>
                <w:szCs w:val="21"/>
                <w:lang w:val="en-US" w:eastAsia="zh-CN"/>
              </w:rPr>
            </w:pPr>
            <w:r>
              <w:rPr>
                <w:rFonts w:hint="eastAsia"/>
                <w:sz w:val="21"/>
                <w:szCs w:val="21"/>
                <w:lang w:val="en-US" w:eastAsia="zh-CN"/>
              </w:rPr>
              <w:t>20</w:t>
            </w:r>
          </w:p>
        </w:tc>
        <w:tc>
          <w:tcPr>
            <w:tcW w:w="2268" w:type="dxa"/>
            <w:noWrap w:val="0"/>
            <w:vAlign w:val="center"/>
          </w:tcPr>
          <w:p>
            <w:pPr>
              <w:adjustRightInd w:val="0"/>
              <w:snapToGrid w:val="0"/>
              <w:ind w:firstLine="0" w:firstLineChars="0"/>
              <w:jc w:val="center"/>
              <w:rPr>
                <w:rFonts w:hint="eastAsia" w:ascii="Times New Roman" w:eastAsia="宋体"/>
                <w:lang w:eastAsia="zh-CN"/>
              </w:rPr>
            </w:pPr>
            <w:r>
              <w:rPr>
                <w:rFonts w:hint="eastAsia" w:ascii="宋体" w:hAnsi="宋体" w:eastAsia="宋体"/>
                <w:kern w:val="0"/>
                <w:sz w:val="21"/>
                <w:szCs w:val="21"/>
                <w:lang w:eastAsia="zh-CN"/>
              </w:rPr>
              <w:t>年节电</w:t>
            </w:r>
            <w:r>
              <w:rPr>
                <w:rFonts w:hint="eastAsia" w:ascii="宋体" w:eastAsia="宋体"/>
                <w:kern w:val="0"/>
                <w:sz w:val="21"/>
                <w:szCs w:val="21"/>
                <w:lang w:val="en-US" w:eastAsia="zh-CN"/>
              </w:rPr>
              <w:t>14.33</w:t>
            </w:r>
            <w:r>
              <w:rPr>
                <w:rFonts w:hint="eastAsia" w:ascii="宋体" w:eastAsia="宋体"/>
                <w:kern w:val="0"/>
                <w:sz w:val="21"/>
                <w:szCs w:val="21"/>
                <w:lang w:eastAsia="zh-CN"/>
              </w:rPr>
              <w:t>万</w:t>
            </w:r>
            <w:r>
              <w:rPr>
                <w:rFonts w:hint="eastAsia" w:ascii="宋体" w:eastAsia="宋体"/>
                <w:kern w:val="0"/>
                <w:sz w:val="22"/>
                <w:lang w:eastAsia="zh-CN"/>
              </w:rPr>
              <w:t xml:space="preserve"> kWh，</w:t>
            </w:r>
            <w:r>
              <w:rPr>
                <w:rFonts w:hint="eastAsia" w:ascii="宋体" w:hAnsi="宋体" w:eastAsia="宋体"/>
                <w:kern w:val="0"/>
                <w:sz w:val="21"/>
                <w:szCs w:val="21"/>
                <w:lang w:eastAsia="zh-CN"/>
              </w:rPr>
              <w:t>减少粉尘</w:t>
            </w:r>
            <w:r>
              <w:rPr>
                <w:rFonts w:hint="eastAsia" w:ascii="宋体" w:eastAsia="宋体"/>
                <w:kern w:val="0"/>
                <w:sz w:val="21"/>
                <w:szCs w:val="21"/>
                <w:lang w:val="en-US" w:eastAsia="zh-CN"/>
              </w:rPr>
              <w:t>90</w:t>
            </w:r>
            <w:r>
              <w:rPr>
                <w:rFonts w:hint="eastAsia" w:ascii="宋体" w:eastAsia="宋体"/>
                <w:kern w:val="0"/>
                <w:sz w:val="21"/>
                <w:szCs w:val="21"/>
                <w:lang w:eastAsia="zh-CN"/>
              </w:rPr>
              <w:t>00kg，降低劳动强度、节约岗位人员3人</w:t>
            </w:r>
          </w:p>
        </w:tc>
        <w:tc>
          <w:tcPr>
            <w:tcW w:w="1326" w:type="dxa"/>
            <w:noWrap w:val="0"/>
            <w:vAlign w:val="center"/>
          </w:tcPr>
          <w:p>
            <w:pPr>
              <w:adjustRightInd w:val="0"/>
              <w:snapToGrid w:val="0"/>
              <w:ind w:firstLine="0" w:firstLineChars="0"/>
              <w:jc w:val="center"/>
              <w:rPr>
                <w:sz w:val="21"/>
                <w:szCs w:val="21"/>
              </w:rP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12</w:t>
            </w:r>
            <w:r>
              <w:rPr>
                <w:sz w:val="21"/>
                <w:szCs w:val="21"/>
              </w:rPr>
              <w:t>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61" w:type="dxa"/>
            <w:noWrap w:val="0"/>
            <w:vAlign w:val="center"/>
          </w:tcPr>
          <w:p>
            <w:pPr>
              <w:adjustRightInd w:val="0"/>
              <w:snapToGrid w:val="0"/>
              <w:ind w:firstLine="0" w:firstLineChars="0"/>
              <w:jc w:val="center"/>
              <w:rPr>
                <w:rFonts w:hint="eastAsia"/>
                <w:sz w:val="21"/>
                <w:szCs w:val="21"/>
              </w:rPr>
            </w:pPr>
            <w:r>
              <w:rPr>
                <w:rFonts w:hint="eastAsia"/>
                <w:sz w:val="21"/>
                <w:szCs w:val="21"/>
              </w:rPr>
              <w:t>合计</w:t>
            </w:r>
          </w:p>
        </w:tc>
        <w:tc>
          <w:tcPr>
            <w:tcW w:w="696" w:type="dxa"/>
            <w:noWrap w:val="0"/>
            <w:vAlign w:val="center"/>
          </w:tcPr>
          <w:p>
            <w:pPr>
              <w:adjustRightInd w:val="0"/>
              <w:snapToGrid w:val="0"/>
              <w:ind w:firstLine="0" w:firstLineChars="0"/>
              <w:jc w:val="center"/>
              <w:rPr>
                <w:sz w:val="21"/>
                <w:szCs w:val="21"/>
              </w:rPr>
            </w:pPr>
            <w:r>
              <w:rPr>
                <w:rFonts w:hint="eastAsia"/>
                <w:sz w:val="21"/>
                <w:szCs w:val="21"/>
                <w:lang w:val="en-US" w:eastAsia="zh-CN"/>
              </w:rPr>
              <w:t>2</w:t>
            </w:r>
            <w:r>
              <w:rPr>
                <w:rFonts w:hint="eastAsia"/>
                <w:sz w:val="21"/>
                <w:szCs w:val="21"/>
              </w:rPr>
              <w:t>个</w:t>
            </w:r>
          </w:p>
        </w:tc>
        <w:tc>
          <w:tcPr>
            <w:tcW w:w="2862" w:type="dxa"/>
            <w:noWrap w:val="0"/>
            <w:vAlign w:val="center"/>
          </w:tcPr>
          <w:p>
            <w:pPr>
              <w:adjustRightInd w:val="0"/>
              <w:snapToGrid w:val="0"/>
              <w:ind w:firstLine="0" w:firstLineChars="0"/>
              <w:jc w:val="center"/>
              <w:rPr>
                <w:rFonts w:hint="eastAsia"/>
                <w:sz w:val="21"/>
                <w:szCs w:val="21"/>
                <w:highlight w:val="yellow"/>
              </w:rPr>
            </w:pPr>
          </w:p>
        </w:tc>
        <w:tc>
          <w:tcPr>
            <w:tcW w:w="709" w:type="dxa"/>
            <w:noWrap w:val="0"/>
            <w:vAlign w:val="center"/>
          </w:tcPr>
          <w:p>
            <w:pPr>
              <w:adjustRightInd w:val="0"/>
              <w:snapToGrid w:val="0"/>
              <w:ind w:firstLine="0" w:firstLineChars="0"/>
              <w:jc w:val="center"/>
              <w:rPr>
                <w:rFonts w:hint="eastAsia"/>
                <w:sz w:val="21"/>
                <w:szCs w:val="21"/>
                <w:highlight w:val="yellow"/>
              </w:rPr>
            </w:pPr>
          </w:p>
        </w:tc>
        <w:tc>
          <w:tcPr>
            <w:tcW w:w="2268" w:type="dxa"/>
            <w:noWrap w:val="0"/>
            <w:vAlign w:val="center"/>
          </w:tcPr>
          <w:p>
            <w:pPr>
              <w:adjustRightInd w:val="0"/>
              <w:snapToGrid w:val="0"/>
              <w:ind w:firstLine="0" w:firstLineChars="0"/>
              <w:jc w:val="center"/>
              <w:rPr>
                <w:rFonts w:hint="eastAsia"/>
                <w:sz w:val="21"/>
                <w:szCs w:val="21"/>
              </w:rPr>
            </w:pPr>
          </w:p>
        </w:tc>
        <w:tc>
          <w:tcPr>
            <w:tcW w:w="1326" w:type="dxa"/>
            <w:noWrap w:val="0"/>
            <w:vAlign w:val="center"/>
          </w:tcPr>
          <w:p>
            <w:pPr>
              <w:adjustRightInd w:val="0"/>
              <w:snapToGrid w:val="0"/>
              <w:ind w:firstLine="0" w:firstLineChars="0"/>
              <w:jc w:val="center"/>
              <w:rPr>
                <w:rFonts w:hint="eastAsia"/>
                <w:sz w:val="21"/>
                <w:szCs w:val="21"/>
              </w:rPr>
            </w:pPr>
          </w:p>
        </w:tc>
      </w:tr>
    </w:tbl>
    <w:p>
      <w:pPr>
        <w:pStyle w:val="3"/>
        <w:widowControl w:val="0"/>
        <w:adjustRightInd/>
        <w:snapToGrid/>
        <w:spacing w:beforeLines="50" w:after="0" w:line="360" w:lineRule="auto"/>
        <w:rPr>
          <w:rFonts w:ascii="Times New Roman" w:hAnsi="Times New Roman"/>
          <w:sz w:val="30"/>
          <w:szCs w:val="30"/>
        </w:rPr>
      </w:pPr>
      <w:bookmarkStart w:id="272" w:name="_Toc20524"/>
      <w:r>
        <w:rPr>
          <w:rFonts w:hint="eastAsia" w:ascii="Times New Roman" w:hAnsi="Times New Roman"/>
          <w:sz w:val="30"/>
          <w:szCs w:val="30"/>
        </w:rPr>
        <w:t>7.2已</w:t>
      </w:r>
      <w:r>
        <w:rPr>
          <w:rFonts w:ascii="Times New Roman" w:hAnsi="Times New Roman"/>
          <w:sz w:val="30"/>
          <w:szCs w:val="30"/>
        </w:rPr>
        <w:t>实施方案情况简述</w:t>
      </w:r>
      <w:bookmarkEnd w:id="268"/>
      <w:bookmarkEnd w:id="269"/>
      <w:bookmarkEnd w:id="270"/>
      <w:bookmarkEnd w:id="271"/>
      <w:bookmarkEnd w:id="272"/>
    </w:p>
    <w:p>
      <w:pPr>
        <w:pStyle w:val="4"/>
        <w:widowControl w:val="0"/>
        <w:spacing w:beforeLines="50" w:after="0" w:line="360" w:lineRule="auto"/>
        <w:rPr>
          <w:rFonts w:ascii="Times New Roman" w:hAnsi="Times New Roman" w:eastAsia="宋体" w:cs="Courier New"/>
          <w:sz w:val="28"/>
          <w:szCs w:val="30"/>
        </w:rPr>
      </w:pPr>
      <w:bookmarkStart w:id="273" w:name="_Toc499903512"/>
      <w:bookmarkStart w:id="274" w:name="_Toc525138426"/>
      <w:bookmarkStart w:id="275" w:name="_Toc525138282"/>
      <w:bookmarkStart w:id="276" w:name="_Toc5952"/>
      <w:r>
        <w:rPr>
          <w:rFonts w:hint="eastAsia" w:ascii="Times New Roman" w:hAnsi="Times New Roman" w:eastAsia="宋体" w:cs="Courier New"/>
          <w:sz w:val="28"/>
          <w:szCs w:val="30"/>
        </w:rPr>
        <w:t>7.2.1无低费方案实施情况汇总</w:t>
      </w:r>
      <w:bookmarkEnd w:id="273"/>
      <w:bookmarkEnd w:id="274"/>
      <w:bookmarkEnd w:id="275"/>
      <w:bookmarkEnd w:id="276"/>
    </w:p>
    <w:p>
      <w:pPr>
        <w:spacing w:line="360" w:lineRule="auto"/>
        <w:ind w:firstLine="482"/>
        <w:rPr>
          <w:rFonts w:ascii="Times New Roman" w:hAnsi="宋体" w:eastAsia="宋体"/>
          <w:sz w:val="24"/>
          <w:szCs w:val="24"/>
          <w:lang w:val="en-US" w:eastAsia="zh-CN"/>
        </w:rPr>
      </w:pPr>
      <w:r>
        <w:rPr>
          <w:rFonts w:ascii="Times New Roman" w:hAnsi="宋体" w:eastAsia="宋体"/>
          <w:sz w:val="24"/>
          <w:szCs w:val="24"/>
          <w:lang w:val="en-US" w:eastAsia="zh-CN"/>
        </w:rPr>
        <w:t>本次审核提出的</w:t>
      </w:r>
      <w:r>
        <w:rPr>
          <w:rFonts w:hint="eastAsia" w:ascii="Times New Roman" w:hAnsi="宋体" w:eastAsia="宋体"/>
          <w:sz w:val="24"/>
          <w:szCs w:val="24"/>
          <w:lang w:val="en-US" w:eastAsia="zh-CN"/>
        </w:rPr>
        <w:t>9</w:t>
      </w:r>
      <w:r>
        <w:rPr>
          <w:rFonts w:ascii="Times New Roman" w:hAnsi="宋体" w:eastAsia="宋体"/>
          <w:sz w:val="24"/>
          <w:szCs w:val="24"/>
          <w:lang w:val="en-US" w:eastAsia="zh-CN"/>
        </w:rPr>
        <w:t>个清洁生产无/低费方案已实施</w:t>
      </w:r>
      <w:r>
        <w:rPr>
          <w:rFonts w:hint="eastAsia" w:ascii="Times New Roman" w:hAnsi="宋体" w:eastAsia="宋体"/>
          <w:sz w:val="24"/>
          <w:szCs w:val="24"/>
          <w:lang w:val="en-US" w:eastAsia="zh-CN"/>
        </w:rPr>
        <w:t>9</w:t>
      </w:r>
      <w:r>
        <w:rPr>
          <w:rFonts w:ascii="Times New Roman" w:hAnsi="宋体" w:eastAsia="宋体"/>
          <w:sz w:val="24"/>
          <w:szCs w:val="24"/>
          <w:lang w:val="en-US" w:eastAsia="zh-CN"/>
        </w:rPr>
        <w:t>个，无低费方案实施率为</w:t>
      </w:r>
      <w:r>
        <w:rPr>
          <w:rFonts w:hint="eastAsia" w:ascii="Times New Roman" w:hAnsi="宋体" w:eastAsia="宋体"/>
          <w:sz w:val="24"/>
          <w:szCs w:val="24"/>
          <w:lang w:val="en-US" w:eastAsia="zh-CN"/>
        </w:rPr>
        <w:t>100</w:t>
      </w:r>
      <w:r>
        <w:rPr>
          <w:rFonts w:ascii="Times New Roman" w:hAnsi="宋体" w:eastAsia="宋体"/>
          <w:sz w:val="24"/>
          <w:szCs w:val="24"/>
          <w:lang w:val="en-US" w:eastAsia="zh-CN"/>
        </w:rPr>
        <w:t>%，总投资约为</w:t>
      </w:r>
      <w:r>
        <w:rPr>
          <w:rFonts w:hint="eastAsia" w:ascii="Times New Roman" w:hAnsi="宋体" w:eastAsia="宋体"/>
          <w:sz w:val="24"/>
          <w:szCs w:val="24"/>
          <w:lang w:val="en-US" w:eastAsia="zh-CN"/>
        </w:rPr>
        <w:t>1.4</w:t>
      </w:r>
      <w:r>
        <w:rPr>
          <w:rFonts w:ascii="Times New Roman" w:hAnsi="宋体" w:eastAsia="宋体"/>
          <w:sz w:val="24"/>
          <w:szCs w:val="24"/>
          <w:lang w:val="en-US" w:eastAsia="zh-CN"/>
        </w:rPr>
        <w:t>万元。这些方案的实施产生了良好的经济效益和环境效益，除去暂无法考核的方案实施效果，可统计的无/低费方案实施后每年可</w:t>
      </w:r>
      <w:r>
        <w:rPr>
          <w:rFonts w:ascii="Times New Roman" w:hAnsi="宋体" w:eastAsia="宋体"/>
          <w:sz w:val="24"/>
          <w:szCs w:val="24"/>
        </w:rPr>
        <w:t>减少废包装袋的排放</w:t>
      </w:r>
      <w:r>
        <w:rPr>
          <w:rFonts w:hint="eastAsia" w:ascii="Times New Roman" w:hAnsi="宋体" w:eastAsia="宋体"/>
          <w:sz w:val="24"/>
          <w:szCs w:val="24"/>
          <w:lang w:eastAsia="zh-CN"/>
        </w:rPr>
        <w:t>、</w:t>
      </w:r>
      <w:r>
        <w:rPr>
          <w:rFonts w:ascii="Times New Roman" w:hAnsi="宋体" w:eastAsia="宋体"/>
          <w:sz w:val="24"/>
          <w:szCs w:val="24"/>
        </w:rPr>
        <w:t>减少污染物排放，节约原辅料</w:t>
      </w:r>
      <w:r>
        <w:rPr>
          <w:rFonts w:hint="eastAsia" w:ascii="Times New Roman" w:hAnsi="宋体" w:eastAsia="宋体"/>
          <w:sz w:val="24"/>
          <w:szCs w:val="24"/>
          <w:lang w:val="en-US" w:eastAsia="zh-CN"/>
        </w:rPr>
        <w:t>节</w:t>
      </w:r>
      <w:r>
        <w:rPr>
          <w:rFonts w:ascii="Times New Roman" w:hAnsi="宋体" w:eastAsia="宋体"/>
          <w:sz w:val="24"/>
          <w:szCs w:val="24"/>
          <w:lang w:val="en-US" w:eastAsia="zh-CN"/>
        </w:rPr>
        <w:t>电</w:t>
      </w:r>
      <w:r>
        <w:rPr>
          <w:rFonts w:hint="eastAsia" w:ascii="Times New Roman" w:hAnsi="宋体" w:eastAsia="宋体"/>
          <w:sz w:val="24"/>
          <w:szCs w:val="24"/>
          <w:lang w:val="en-US" w:eastAsia="zh-CN"/>
        </w:rPr>
        <w:t>500</w:t>
      </w:r>
      <w:r>
        <w:rPr>
          <w:rFonts w:ascii="Times New Roman" w:hAnsi="宋体" w:eastAsia="宋体"/>
          <w:sz w:val="24"/>
          <w:szCs w:val="24"/>
          <w:lang w:val="en-US" w:eastAsia="zh-CN"/>
        </w:rPr>
        <w:t>kWh，每年合计直接经济效益达</w:t>
      </w:r>
      <w:r>
        <w:rPr>
          <w:rFonts w:hint="eastAsia" w:ascii="Times New Roman" w:hAnsi="宋体" w:eastAsia="宋体"/>
          <w:sz w:val="24"/>
          <w:szCs w:val="24"/>
          <w:lang w:val="en-US" w:eastAsia="zh-CN"/>
        </w:rPr>
        <w:t>0.29</w:t>
      </w:r>
      <w:r>
        <w:rPr>
          <w:rFonts w:ascii="Times New Roman" w:hAnsi="宋体" w:eastAsia="宋体"/>
          <w:sz w:val="24"/>
          <w:szCs w:val="24"/>
          <w:lang w:val="en-US" w:eastAsia="zh-CN"/>
        </w:rPr>
        <w:t>万元。无/低费方案成果汇总表见表</w:t>
      </w:r>
      <w:r>
        <w:rPr>
          <w:rFonts w:hint="eastAsia" w:ascii="Times New Roman" w:hAnsi="宋体" w:eastAsia="宋体"/>
          <w:sz w:val="24"/>
          <w:szCs w:val="24"/>
          <w:lang w:val="en-US" w:eastAsia="zh-CN"/>
        </w:rPr>
        <w:t>7</w:t>
      </w:r>
      <w:r>
        <w:rPr>
          <w:rFonts w:ascii="Times New Roman" w:hAnsi="宋体" w:eastAsia="宋体"/>
          <w:sz w:val="24"/>
          <w:szCs w:val="24"/>
          <w:lang w:val="en-US" w:eastAsia="zh-CN"/>
        </w:rPr>
        <w:t>-</w:t>
      </w:r>
      <w:r>
        <w:rPr>
          <w:rFonts w:hint="eastAsia" w:ascii="Times New Roman" w:hAnsi="宋体" w:eastAsia="宋体"/>
          <w:sz w:val="24"/>
          <w:szCs w:val="24"/>
          <w:lang w:val="en-US" w:eastAsia="zh-CN"/>
        </w:rPr>
        <w:t>2</w:t>
      </w:r>
      <w:r>
        <w:rPr>
          <w:rFonts w:ascii="Times New Roman" w:hAnsi="宋体" w:eastAsia="宋体"/>
          <w:sz w:val="24"/>
          <w:szCs w:val="24"/>
          <w:lang w:val="en-US" w:eastAsia="zh-CN"/>
        </w:rPr>
        <w:t>。</w:t>
      </w:r>
    </w:p>
    <w:p>
      <w:pPr>
        <w:pStyle w:val="42"/>
        <w:adjustRightInd w:val="0"/>
        <w:snapToGrid w:val="0"/>
        <w:spacing w:before="120"/>
        <w:ind w:firstLine="482" w:firstLineChars="200"/>
        <w:rPr>
          <w:rFonts w:ascii="宋体" w:eastAsia="宋体"/>
          <w:b/>
          <w:szCs w:val="24"/>
        </w:rPr>
      </w:pPr>
      <w:r>
        <w:rPr>
          <w:rFonts w:ascii="宋体" w:eastAsia="宋体"/>
          <w:b/>
          <w:szCs w:val="24"/>
        </w:rPr>
        <w:t>表</w:t>
      </w:r>
      <w:r>
        <w:rPr>
          <w:rFonts w:hint="eastAsia" w:ascii="宋体" w:eastAsia="宋体"/>
          <w:b/>
          <w:szCs w:val="24"/>
        </w:rPr>
        <w:t>7</w:t>
      </w:r>
      <w:r>
        <w:rPr>
          <w:rFonts w:ascii="宋体" w:eastAsia="宋体"/>
          <w:b/>
          <w:szCs w:val="24"/>
        </w:rPr>
        <w:t>-</w:t>
      </w:r>
      <w:r>
        <w:rPr>
          <w:rFonts w:hint="eastAsia" w:ascii="宋体" w:eastAsia="宋体"/>
          <w:b/>
          <w:szCs w:val="24"/>
        </w:rPr>
        <w:t>2</w:t>
      </w:r>
      <w:r>
        <w:rPr>
          <w:rFonts w:ascii="宋体" w:eastAsia="宋体"/>
          <w:b/>
          <w:szCs w:val="24"/>
        </w:rPr>
        <w:t xml:space="preserve"> 无/低费方案实施成果一览表</w:t>
      </w:r>
    </w:p>
    <w:tbl>
      <w:tblPr>
        <w:tblStyle w:val="27"/>
        <w:tblW w:w="503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45"/>
        <w:gridCol w:w="2313"/>
        <w:gridCol w:w="827"/>
        <w:gridCol w:w="1142"/>
        <w:gridCol w:w="1809"/>
        <w:gridCol w:w="18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vMerge w:val="restart"/>
            <w:noWrap w:val="0"/>
            <w:vAlign w:val="center"/>
          </w:tcPr>
          <w:p>
            <w:pPr>
              <w:widowControl/>
              <w:adjustRightInd w:val="0"/>
              <w:snapToGrid w:val="0"/>
              <w:ind w:firstLine="0" w:firstLineChars="0"/>
              <w:jc w:val="center"/>
              <w:rPr>
                <w:kern w:val="0"/>
                <w:sz w:val="21"/>
                <w:szCs w:val="21"/>
              </w:rPr>
            </w:pPr>
            <w:r>
              <w:rPr>
                <w:kern w:val="0"/>
                <w:sz w:val="21"/>
                <w:szCs w:val="21"/>
              </w:rPr>
              <w:t>序号</w:t>
            </w:r>
          </w:p>
        </w:tc>
        <w:tc>
          <w:tcPr>
            <w:tcW w:w="2305" w:type="dxa"/>
            <w:vMerge w:val="restart"/>
            <w:noWrap w:val="0"/>
            <w:vAlign w:val="center"/>
          </w:tcPr>
          <w:p>
            <w:pPr>
              <w:widowControl/>
              <w:adjustRightInd w:val="0"/>
              <w:snapToGrid w:val="0"/>
              <w:ind w:firstLine="174" w:firstLineChars="83"/>
              <w:jc w:val="center"/>
              <w:rPr>
                <w:kern w:val="0"/>
                <w:sz w:val="21"/>
                <w:szCs w:val="21"/>
              </w:rPr>
            </w:pPr>
            <w:r>
              <w:rPr>
                <w:kern w:val="0"/>
                <w:sz w:val="21"/>
                <w:szCs w:val="21"/>
              </w:rPr>
              <w:t>审核建议</w:t>
            </w:r>
          </w:p>
        </w:tc>
        <w:tc>
          <w:tcPr>
            <w:tcW w:w="824" w:type="dxa"/>
            <w:vMerge w:val="restart"/>
            <w:noWrap w:val="0"/>
            <w:vAlign w:val="center"/>
          </w:tcPr>
          <w:p>
            <w:pPr>
              <w:adjustRightInd w:val="0"/>
              <w:snapToGrid w:val="0"/>
              <w:ind w:firstLine="0" w:firstLineChars="0"/>
              <w:jc w:val="center"/>
              <w:rPr>
                <w:kern w:val="0"/>
                <w:sz w:val="21"/>
                <w:szCs w:val="21"/>
              </w:rPr>
            </w:pPr>
            <w:r>
              <w:rPr>
                <w:kern w:val="0"/>
                <w:sz w:val="21"/>
                <w:szCs w:val="21"/>
              </w:rPr>
              <w:t>投资（万元）</w:t>
            </w:r>
          </w:p>
        </w:tc>
        <w:tc>
          <w:tcPr>
            <w:tcW w:w="1138" w:type="dxa"/>
            <w:vMerge w:val="restart"/>
            <w:noWrap w:val="0"/>
            <w:vAlign w:val="center"/>
          </w:tcPr>
          <w:p>
            <w:pPr>
              <w:widowControl/>
              <w:adjustRightInd w:val="0"/>
              <w:snapToGrid w:val="0"/>
              <w:ind w:firstLine="0" w:firstLineChars="0"/>
              <w:jc w:val="center"/>
              <w:rPr>
                <w:kern w:val="0"/>
                <w:sz w:val="21"/>
                <w:szCs w:val="21"/>
              </w:rPr>
            </w:pPr>
            <w:r>
              <w:rPr>
                <w:kern w:val="0"/>
                <w:sz w:val="21"/>
                <w:szCs w:val="21"/>
              </w:rPr>
              <w:t>实施时间</w:t>
            </w:r>
          </w:p>
        </w:tc>
        <w:tc>
          <w:tcPr>
            <w:tcW w:w="3656" w:type="dxa"/>
            <w:gridSpan w:val="2"/>
            <w:noWrap w:val="0"/>
            <w:vAlign w:val="center"/>
          </w:tcPr>
          <w:p>
            <w:pPr>
              <w:widowControl/>
              <w:adjustRightInd w:val="0"/>
              <w:snapToGrid w:val="0"/>
              <w:ind w:firstLine="174" w:firstLineChars="83"/>
              <w:jc w:val="center"/>
              <w:rPr>
                <w:kern w:val="0"/>
                <w:sz w:val="21"/>
                <w:szCs w:val="21"/>
              </w:rPr>
            </w:pPr>
            <w:r>
              <w:rPr>
                <w:kern w:val="0"/>
                <w:sz w:val="21"/>
                <w:szCs w:val="21"/>
              </w:rPr>
              <w:t>实现效果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vMerge w:val="continue"/>
            <w:noWrap w:val="0"/>
            <w:vAlign w:val="center"/>
          </w:tcPr>
          <w:p>
            <w:pPr>
              <w:widowControl/>
              <w:adjustRightInd w:val="0"/>
              <w:snapToGrid w:val="0"/>
              <w:ind w:firstLine="420"/>
              <w:jc w:val="center"/>
              <w:rPr>
                <w:kern w:val="0"/>
                <w:sz w:val="21"/>
                <w:szCs w:val="21"/>
              </w:rPr>
            </w:pPr>
          </w:p>
        </w:tc>
        <w:tc>
          <w:tcPr>
            <w:tcW w:w="2305" w:type="dxa"/>
            <w:vMerge w:val="continue"/>
            <w:noWrap w:val="0"/>
            <w:vAlign w:val="center"/>
          </w:tcPr>
          <w:p>
            <w:pPr>
              <w:widowControl/>
              <w:adjustRightInd w:val="0"/>
              <w:snapToGrid w:val="0"/>
              <w:ind w:firstLine="420"/>
              <w:jc w:val="center"/>
              <w:rPr>
                <w:kern w:val="0"/>
                <w:sz w:val="21"/>
                <w:szCs w:val="21"/>
              </w:rPr>
            </w:pPr>
          </w:p>
        </w:tc>
        <w:tc>
          <w:tcPr>
            <w:tcW w:w="824" w:type="dxa"/>
            <w:vMerge w:val="continue"/>
            <w:noWrap w:val="0"/>
            <w:vAlign w:val="center"/>
          </w:tcPr>
          <w:p>
            <w:pPr>
              <w:adjustRightInd w:val="0"/>
              <w:snapToGrid w:val="0"/>
              <w:ind w:firstLine="420"/>
              <w:jc w:val="center"/>
              <w:rPr>
                <w:kern w:val="0"/>
                <w:sz w:val="21"/>
                <w:szCs w:val="21"/>
              </w:rPr>
            </w:pPr>
          </w:p>
        </w:tc>
        <w:tc>
          <w:tcPr>
            <w:tcW w:w="1138" w:type="dxa"/>
            <w:vMerge w:val="continue"/>
            <w:noWrap w:val="0"/>
            <w:vAlign w:val="center"/>
          </w:tcPr>
          <w:p>
            <w:pPr>
              <w:widowControl/>
              <w:adjustRightInd w:val="0"/>
              <w:snapToGrid w:val="0"/>
              <w:ind w:firstLine="420"/>
              <w:jc w:val="center"/>
              <w:rPr>
                <w:kern w:val="0"/>
                <w:sz w:val="21"/>
                <w:szCs w:val="21"/>
              </w:rPr>
            </w:pPr>
          </w:p>
        </w:tc>
        <w:tc>
          <w:tcPr>
            <w:tcW w:w="1826" w:type="dxa"/>
            <w:noWrap w:val="0"/>
            <w:vAlign w:val="center"/>
          </w:tcPr>
          <w:p>
            <w:pPr>
              <w:widowControl/>
              <w:adjustRightInd w:val="0"/>
              <w:snapToGrid w:val="0"/>
              <w:ind w:firstLine="0" w:firstLineChars="0"/>
              <w:jc w:val="center"/>
              <w:rPr>
                <w:kern w:val="0"/>
                <w:sz w:val="21"/>
                <w:szCs w:val="21"/>
              </w:rPr>
            </w:pPr>
            <w:r>
              <w:rPr>
                <w:kern w:val="0"/>
                <w:sz w:val="21"/>
                <w:szCs w:val="21"/>
              </w:rPr>
              <w:t>环境效益</w:t>
            </w:r>
          </w:p>
        </w:tc>
        <w:tc>
          <w:tcPr>
            <w:tcW w:w="1830" w:type="dxa"/>
            <w:noWrap w:val="0"/>
            <w:vAlign w:val="center"/>
          </w:tcPr>
          <w:p>
            <w:pPr>
              <w:widowControl/>
              <w:adjustRightInd w:val="0"/>
              <w:snapToGrid w:val="0"/>
              <w:ind w:firstLine="0" w:firstLineChars="0"/>
              <w:jc w:val="center"/>
              <w:rPr>
                <w:kern w:val="0"/>
                <w:sz w:val="21"/>
                <w:szCs w:val="21"/>
              </w:rPr>
            </w:pPr>
            <w:r>
              <w:rPr>
                <w:kern w:val="0"/>
                <w:sz w:val="21"/>
                <w:szCs w:val="21"/>
              </w:rPr>
              <w:t>经济效益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noWrap w:val="0"/>
            <w:vAlign w:val="center"/>
          </w:tcPr>
          <w:p>
            <w:pPr>
              <w:pStyle w:val="44"/>
              <w:snapToGrid w:val="0"/>
              <w:spacing w:beforeLines="20" w:afterLines="20" w:line="240" w:lineRule="auto"/>
            </w:pPr>
            <w:r>
              <w:rPr>
                <w:rFonts w:cs="Times New Roman" w:eastAsiaTheme="minorEastAsia"/>
                <w:sz w:val="21"/>
                <w:szCs w:val="21"/>
              </w:rPr>
              <w:t>F1-1</w:t>
            </w:r>
          </w:p>
        </w:tc>
        <w:tc>
          <w:tcPr>
            <w:tcW w:w="2305" w:type="dxa"/>
            <w:noWrap w:val="0"/>
            <w:vAlign w:val="center"/>
          </w:tcPr>
          <w:p>
            <w:pPr>
              <w:spacing w:beforeLines="20" w:afterLines="20"/>
              <w:jc w:val="center"/>
            </w:pPr>
            <w:r>
              <w:rPr>
                <w:rFonts w:ascii="Times New Roman" w:cs="Times New Roman" w:hAnsiTheme="minorEastAsia" w:eastAsiaTheme="minorEastAsia"/>
                <w:sz w:val="21"/>
                <w:szCs w:val="21"/>
              </w:rPr>
              <w:t>劳保用品配备</w:t>
            </w:r>
          </w:p>
        </w:tc>
        <w:tc>
          <w:tcPr>
            <w:tcW w:w="824" w:type="dxa"/>
            <w:noWrap w:val="0"/>
            <w:vAlign w:val="center"/>
          </w:tcPr>
          <w:p>
            <w:pPr>
              <w:adjustRightInd w:val="0"/>
              <w:snapToGrid w:val="0"/>
              <w:ind w:firstLine="0" w:firstLineChars="0"/>
              <w:jc w:val="center"/>
            </w:pPr>
            <w:r>
              <w:rPr>
                <w:rFonts w:hint="eastAsia"/>
                <w:sz w:val="21"/>
                <w:szCs w:val="21"/>
                <w:lang w:val="en-US" w:eastAsia="zh-CN"/>
              </w:rPr>
              <w:t>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c>
          <w:tcPr>
            <w:tcW w:w="1826" w:type="dxa"/>
            <w:noWrap w:val="0"/>
            <w:vAlign w:val="center"/>
          </w:tcPr>
          <w:p>
            <w:pPr>
              <w:pStyle w:val="44"/>
              <w:snapToGrid w:val="0"/>
            </w:pPr>
            <w:r>
              <w:rPr>
                <w:rFonts w:ascii="宋体" w:hAnsi="宋体" w:eastAsia="宋体" w:cs="宋体"/>
                <w:spacing w:val="-9"/>
                <w:sz w:val="21"/>
                <w:szCs w:val="21"/>
              </w:rPr>
              <w:t>加</w:t>
            </w:r>
            <w:r>
              <w:rPr>
                <w:rFonts w:ascii="宋体" w:hAnsi="宋体" w:eastAsia="宋体" w:cs="宋体"/>
                <w:spacing w:val="-7"/>
                <w:sz w:val="21"/>
                <w:szCs w:val="21"/>
              </w:rPr>
              <w:t>强个体防护，</w:t>
            </w:r>
            <w:r>
              <w:rPr>
                <w:rFonts w:ascii="宋体" w:hAnsi="宋体" w:eastAsia="宋体" w:cs="宋体"/>
                <w:sz w:val="21"/>
                <w:szCs w:val="21"/>
              </w:rPr>
              <w:t xml:space="preserve"> </w:t>
            </w:r>
            <w:r>
              <w:rPr>
                <w:rFonts w:ascii="宋体" w:hAnsi="宋体" w:eastAsia="宋体" w:cs="宋体"/>
                <w:spacing w:val="-1"/>
                <w:sz w:val="21"/>
                <w:szCs w:val="21"/>
              </w:rPr>
              <w:t>减少生产对</w:t>
            </w:r>
            <w:r>
              <w:rPr>
                <w:rFonts w:ascii="宋体" w:hAnsi="宋体" w:eastAsia="宋体" w:cs="宋体"/>
                <w:sz w:val="21"/>
                <w:szCs w:val="21"/>
              </w:rPr>
              <w:t>员工</w:t>
            </w:r>
            <w:r>
              <w:rPr>
                <w:rFonts w:ascii="宋体" w:hAnsi="宋体" w:eastAsia="宋体" w:cs="宋体"/>
                <w:spacing w:val="-5"/>
                <w:sz w:val="21"/>
                <w:szCs w:val="21"/>
              </w:rPr>
              <w:t>的危害</w:t>
            </w:r>
          </w:p>
        </w:tc>
        <w:tc>
          <w:tcPr>
            <w:tcW w:w="1830"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综合效益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noWrap w:val="0"/>
            <w:vAlign w:val="center"/>
          </w:tcPr>
          <w:p>
            <w:pPr>
              <w:pStyle w:val="44"/>
              <w:snapToGrid w:val="0"/>
              <w:spacing w:beforeLines="20" w:afterLines="20" w:line="240" w:lineRule="auto"/>
            </w:pPr>
            <w:r>
              <w:rPr>
                <w:rFonts w:cs="Times New Roman" w:eastAsiaTheme="minorEastAsia"/>
                <w:sz w:val="21"/>
                <w:szCs w:val="21"/>
              </w:rPr>
              <w:t>F1-2</w:t>
            </w:r>
          </w:p>
        </w:tc>
        <w:tc>
          <w:tcPr>
            <w:tcW w:w="2305" w:type="dxa"/>
            <w:noWrap w:val="0"/>
            <w:vAlign w:val="center"/>
          </w:tcPr>
          <w:p>
            <w:pPr>
              <w:pStyle w:val="44"/>
              <w:snapToGrid w:val="0"/>
              <w:spacing w:beforeLines="50" w:after="20" w:line="240" w:lineRule="auto"/>
            </w:pPr>
            <w:r>
              <w:rPr>
                <w:rFonts w:cs="Times New Roman" w:hAnsiTheme="minorEastAsia" w:eastAsiaTheme="minorEastAsia"/>
                <w:snapToGrid w:val="0"/>
                <w:kern w:val="24"/>
                <w:sz w:val="21"/>
                <w:szCs w:val="21"/>
              </w:rPr>
              <w:t>规范仓库管理</w:t>
            </w:r>
          </w:p>
        </w:tc>
        <w:tc>
          <w:tcPr>
            <w:tcW w:w="824" w:type="dxa"/>
            <w:noWrap w:val="0"/>
            <w:vAlign w:val="center"/>
          </w:tcPr>
          <w:p>
            <w:pPr>
              <w:adjustRightInd w:val="0"/>
              <w:snapToGrid w:val="0"/>
              <w:ind w:firstLine="0" w:firstLineChars="0"/>
              <w:jc w:val="center"/>
            </w:pPr>
            <w:r>
              <w:rPr>
                <w:rFonts w:hint="eastAsia"/>
                <w:sz w:val="21"/>
                <w:szCs w:val="21"/>
                <w:lang w:val="en-US" w:eastAsia="zh-CN"/>
              </w:rPr>
              <w:t>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c>
          <w:tcPr>
            <w:tcW w:w="1826" w:type="dxa"/>
            <w:noWrap w:val="0"/>
            <w:vAlign w:val="center"/>
          </w:tcPr>
          <w:p>
            <w:pPr>
              <w:pStyle w:val="44"/>
              <w:snapToGrid w:val="0"/>
            </w:pPr>
            <w:r>
              <w:rPr>
                <w:rFonts w:ascii="宋体" w:hAnsi="宋体" w:eastAsia="宋体" w:cs="宋体"/>
                <w:spacing w:val="-10"/>
                <w:sz w:val="21"/>
                <w:szCs w:val="21"/>
              </w:rPr>
              <w:t>改</w:t>
            </w:r>
            <w:r>
              <w:rPr>
                <w:rFonts w:ascii="宋体" w:hAnsi="宋体" w:eastAsia="宋体" w:cs="宋体"/>
                <w:spacing w:val="-8"/>
                <w:sz w:val="21"/>
                <w:szCs w:val="21"/>
              </w:rPr>
              <w:t>善车间环境，</w:t>
            </w:r>
            <w:r>
              <w:rPr>
                <w:rFonts w:ascii="宋体" w:hAnsi="宋体" w:eastAsia="宋体" w:cs="宋体"/>
                <w:sz w:val="21"/>
                <w:szCs w:val="21"/>
              </w:rPr>
              <w:t xml:space="preserve"> </w:t>
            </w:r>
            <w:r>
              <w:rPr>
                <w:rFonts w:ascii="宋体" w:hAnsi="宋体" w:eastAsia="宋体" w:cs="宋体"/>
                <w:spacing w:val="-1"/>
                <w:sz w:val="21"/>
                <w:szCs w:val="21"/>
              </w:rPr>
              <w:t>减少废弃物</w:t>
            </w:r>
            <w:r>
              <w:rPr>
                <w:rFonts w:ascii="宋体" w:hAnsi="宋体" w:eastAsia="宋体" w:cs="宋体"/>
                <w:sz w:val="21"/>
                <w:szCs w:val="21"/>
              </w:rPr>
              <w:t>产生</w:t>
            </w:r>
            <w:r>
              <w:rPr>
                <w:rFonts w:ascii="宋体" w:hAnsi="宋体" w:eastAsia="宋体" w:cs="宋体"/>
                <w:spacing w:val="-2"/>
                <w:sz w:val="21"/>
                <w:szCs w:val="21"/>
              </w:rPr>
              <w:t>与排放</w:t>
            </w:r>
          </w:p>
        </w:tc>
        <w:tc>
          <w:tcPr>
            <w:tcW w:w="1830" w:type="dxa"/>
            <w:noWrap w:val="0"/>
            <w:vAlign w:val="center"/>
          </w:tcPr>
          <w:p>
            <w:pPr>
              <w:adjustRightInd w:val="0"/>
              <w:snapToGrid w:val="0"/>
              <w:ind w:firstLine="0" w:firstLineChars="0"/>
              <w:jc w:val="center"/>
              <w:rPr>
                <w:rFonts w:hint="default" w:eastAsiaTheme="minorEastAsia"/>
                <w:kern w:val="0"/>
                <w:sz w:val="21"/>
                <w:szCs w:val="21"/>
                <w:lang w:val="en-US" w:eastAsia="zh-CN"/>
              </w:rPr>
            </w:pPr>
            <w:r>
              <w:rPr>
                <w:rFonts w:hint="eastAsia"/>
                <w:kern w:val="0"/>
                <w:sz w:val="21"/>
                <w:szCs w:val="21"/>
                <w:lang w:val="en-US" w:eastAsia="zh-CN"/>
              </w:rPr>
              <w:t>综合效益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noWrap w:val="0"/>
            <w:vAlign w:val="center"/>
          </w:tcPr>
          <w:p>
            <w:pPr>
              <w:pStyle w:val="44"/>
              <w:snapToGrid w:val="0"/>
              <w:spacing w:beforeLines="20" w:afterLines="20" w:line="240" w:lineRule="auto"/>
            </w:pPr>
            <w:r>
              <w:rPr>
                <w:rFonts w:cs="Times New Roman" w:eastAsiaTheme="minorEastAsia"/>
                <w:sz w:val="21"/>
                <w:szCs w:val="21"/>
              </w:rPr>
              <w:t>F1-3</w:t>
            </w:r>
          </w:p>
        </w:tc>
        <w:tc>
          <w:tcPr>
            <w:tcW w:w="2305" w:type="dxa"/>
            <w:noWrap w:val="0"/>
            <w:vAlign w:val="center"/>
          </w:tcPr>
          <w:p>
            <w:pPr>
              <w:pStyle w:val="44"/>
              <w:snapToGrid w:val="0"/>
              <w:spacing w:beforeLines="20" w:afterLines="20" w:line="240" w:lineRule="auto"/>
            </w:pPr>
            <w:r>
              <w:rPr>
                <w:rFonts w:cs="Times New Roman" w:hAnsiTheme="minorEastAsia" w:eastAsiaTheme="minorEastAsia"/>
                <w:sz w:val="21"/>
                <w:szCs w:val="21"/>
              </w:rPr>
              <w:t>优化车间布局</w:t>
            </w:r>
          </w:p>
        </w:tc>
        <w:tc>
          <w:tcPr>
            <w:tcW w:w="824" w:type="dxa"/>
            <w:noWrap w:val="0"/>
            <w:vAlign w:val="center"/>
          </w:tcPr>
          <w:p>
            <w:pPr>
              <w:adjustRightInd w:val="0"/>
              <w:snapToGrid w:val="0"/>
              <w:ind w:firstLine="0" w:firstLineChars="0"/>
              <w:jc w:val="center"/>
            </w:pPr>
            <w:r>
              <w:rPr>
                <w:sz w:val="21"/>
                <w:szCs w:val="21"/>
              </w:rPr>
              <w:t>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1</w:t>
            </w:r>
            <w:r>
              <w:rPr>
                <w:sz w:val="21"/>
                <w:szCs w:val="21"/>
              </w:rPr>
              <w:t>月</w:t>
            </w:r>
          </w:p>
        </w:tc>
        <w:tc>
          <w:tcPr>
            <w:tcW w:w="1826" w:type="dxa"/>
            <w:noWrap w:val="0"/>
            <w:vAlign w:val="center"/>
          </w:tcPr>
          <w:p>
            <w:pPr>
              <w:pStyle w:val="44"/>
              <w:snapToGrid w:val="0"/>
            </w:pPr>
            <w:r>
              <w:rPr>
                <w:rFonts w:ascii="宋体" w:hAnsi="宋体" w:eastAsia="宋体" w:cs="宋体"/>
                <w:spacing w:val="-4"/>
                <w:sz w:val="21"/>
                <w:szCs w:val="21"/>
              </w:rPr>
              <w:t>改</w:t>
            </w:r>
            <w:r>
              <w:rPr>
                <w:rFonts w:ascii="宋体" w:hAnsi="宋体" w:eastAsia="宋体" w:cs="宋体"/>
                <w:spacing w:val="-2"/>
                <w:sz w:val="21"/>
                <w:szCs w:val="21"/>
              </w:rPr>
              <w:t>善厂房环境</w:t>
            </w:r>
          </w:p>
        </w:tc>
        <w:tc>
          <w:tcPr>
            <w:tcW w:w="1830" w:type="dxa"/>
            <w:noWrap w:val="0"/>
            <w:vAlign w:val="center"/>
          </w:tcPr>
          <w:p>
            <w:pPr>
              <w:adjustRightInd w:val="0"/>
              <w:snapToGrid w:val="0"/>
              <w:ind w:firstLine="0" w:firstLineChars="0"/>
              <w:jc w:val="center"/>
              <w:rPr>
                <w:rFonts w:hint="default" w:eastAsiaTheme="minorEastAsia"/>
                <w:sz w:val="21"/>
                <w:szCs w:val="21"/>
                <w:lang w:val="en-US" w:eastAsia="zh-CN"/>
              </w:rPr>
            </w:pPr>
            <w:r>
              <w:rPr>
                <w:rFonts w:hint="eastAsia"/>
                <w:sz w:val="21"/>
                <w:szCs w:val="21"/>
                <w:lang w:val="en-US" w:eastAsia="zh-CN"/>
              </w:rPr>
              <w:t>综合效益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noWrap w:val="0"/>
            <w:vAlign w:val="center"/>
          </w:tcPr>
          <w:p>
            <w:pPr>
              <w:pStyle w:val="44"/>
              <w:snapToGrid w:val="0"/>
              <w:spacing w:beforeLines="20" w:afterLines="20" w:line="240" w:lineRule="auto"/>
            </w:pPr>
            <w:r>
              <w:rPr>
                <w:rFonts w:cs="Times New Roman" w:eastAsiaTheme="minorEastAsia"/>
                <w:sz w:val="21"/>
                <w:szCs w:val="21"/>
              </w:rPr>
              <w:t>F1-4</w:t>
            </w:r>
          </w:p>
        </w:tc>
        <w:tc>
          <w:tcPr>
            <w:tcW w:w="2305" w:type="dxa"/>
            <w:noWrap w:val="0"/>
            <w:vAlign w:val="center"/>
          </w:tcPr>
          <w:p>
            <w:pPr>
              <w:pStyle w:val="44"/>
              <w:spacing w:beforeLines="20" w:line="240" w:lineRule="auto"/>
            </w:pPr>
            <w:r>
              <w:rPr>
                <w:rFonts w:cs="Times New Roman" w:hAnsiTheme="minorEastAsia" w:eastAsiaTheme="minorEastAsia"/>
                <w:sz w:val="21"/>
                <w:szCs w:val="21"/>
              </w:rPr>
              <w:t>加强空压机等设备的维护保养</w:t>
            </w:r>
          </w:p>
        </w:tc>
        <w:tc>
          <w:tcPr>
            <w:tcW w:w="824" w:type="dxa"/>
            <w:noWrap w:val="0"/>
            <w:vAlign w:val="center"/>
          </w:tcPr>
          <w:p>
            <w:pPr>
              <w:adjustRightInd w:val="0"/>
              <w:snapToGrid w:val="0"/>
              <w:ind w:firstLine="0" w:firstLineChars="0"/>
              <w:jc w:val="center"/>
            </w:pPr>
            <w:r>
              <w:rPr>
                <w:sz w:val="21"/>
                <w:szCs w:val="21"/>
              </w:rPr>
              <w:t>0</w:t>
            </w:r>
            <w:r>
              <w:rPr>
                <w:rFonts w:hint="eastAsia"/>
                <w:sz w:val="21"/>
                <w:szCs w:val="21"/>
                <w:lang w:val="en-US" w:eastAsia="zh-CN"/>
              </w:rPr>
              <w:t>.2</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c>
          <w:tcPr>
            <w:tcW w:w="1826" w:type="dxa"/>
            <w:noWrap w:val="0"/>
            <w:vAlign w:val="center"/>
          </w:tcPr>
          <w:p>
            <w:pPr>
              <w:pStyle w:val="44"/>
              <w:snapToGrid w:val="0"/>
            </w:pPr>
            <w:r>
              <w:t>节约电能</w:t>
            </w:r>
          </w:p>
        </w:tc>
        <w:tc>
          <w:tcPr>
            <w:tcW w:w="1830" w:type="dxa"/>
            <w:noWrap w:val="0"/>
            <w:vAlign w:val="center"/>
          </w:tcPr>
          <w:p>
            <w:pPr>
              <w:adjustRightInd w:val="0"/>
              <w:snapToGrid w:val="0"/>
              <w:ind w:firstLine="0" w:firstLineChars="0"/>
              <w:jc w:val="center"/>
              <w:rPr>
                <w:kern w:val="0"/>
                <w:sz w:val="21"/>
                <w:szCs w:val="21"/>
              </w:rPr>
            </w:pPr>
            <w:r>
              <w:rPr>
                <w:sz w:val="21"/>
                <w:szCs w:val="21"/>
              </w:rPr>
              <w:t>节电约</w:t>
            </w:r>
            <w:r>
              <w:rPr>
                <w:rFonts w:hint="eastAsia"/>
                <w:sz w:val="21"/>
                <w:szCs w:val="21"/>
              </w:rPr>
              <w:t>5</w:t>
            </w:r>
            <w:r>
              <w:rPr>
                <w:sz w:val="21"/>
                <w:szCs w:val="21"/>
              </w:rPr>
              <w:t>00kWh/a，即节省电费0.</w:t>
            </w:r>
            <w:r>
              <w:rPr>
                <w:rFonts w:hint="eastAsia"/>
                <w:sz w:val="21"/>
                <w:szCs w:val="21"/>
              </w:rPr>
              <w:t>05</w:t>
            </w:r>
            <w:r>
              <w:rPr>
                <w:sz w:val="21"/>
                <w:szCs w:val="21"/>
              </w:rPr>
              <w:t>万元/a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443" w:type="dxa"/>
            <w:noWrap w:val="0"/>
            <w:vAlign w:val="center"/>
          </w:tcPr>
          <w:p>
            <w:pPr>
              <w:pStyle w:val="44"/>
              <w:snapToGrid w:val="0"/>
              <w:spacing w:beforeLines="20" w:afterLines="20" w:line="240" w:lineRule="auto"/>
            </w:pPr>
            <w:r>
              <w:rPr>
                <w:rFonts w:cs="Times New Roman" w:eastAsiaTheme="minorEastAsia"/>
                <w:sz w:val="21"/>
                <w:szCs w:val="21"/>
              </w:rPr>
              <w:t>F1-5</w:t>
            </w:r>
          </w:p>
        </w:tc>
        <w:tc>
          <w:tcPr>
            <w:tcW w:w="2305" w:type="dxa"/>
            <w:noWrap w:val="0"/>
            <w:vAlign w:val="center"/>
          </w:tcPr>
          <w:p>
            <w:pPr>
              <w:pStyle w:val="44"/>
              <w:spacing w:beforeLines="20" w:line="240" w:lineRule="auto"/>
            </w:pPr>
            <w:r>
              <w:rPr>
                <w:rFonts w:hint="eastAsia" w:cs="Times New Roman" w:hAnsiTheme="minorEastAsia" w:eastAsiaTheme="minorEastAsia"/>
                <w:sz w:val="21"/>
                <w:szCs w:val="21"/>
              </w:rPr>
              <w:t>编织袋利用</w:t>
            </w:r>
          </w:p>
        </w:tc>
        <w:tc>
          <w:tcPr>
            <w:tcW w:w="824" w:type="dxa"/>
            <w:noWrap w:val="0"/>
            <w:vAlign w:val="center"/>
          </w:tcPr>
          <w:p>
            <w:pPr>
              <w:adjustRightInd w:val="0"/>
              <w:snapToGrid w:val="0"/>
              <w:ind w:firstLine="0" w:firstLineChars="0"/>
              <w:jc w:val="center"/>
            </w:pPr>
            <w:r>
              <w:rPr>
                <w:rFonts w:hint="eastAsia"/>
                <w:sz w:val="21"/>
                <w:szCs w:val="21"/>
              </w:rPr>
              <w:t>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c>
          <w:tcPr>
            <w:tcW w:w="1826" w:type="dxa"/>
            <w:noWrap w:val="0"/>
            <w:vAlign w:val="center"/>
          </w:tcPr>
          <w:p>
            <w:pPr>
              <w:pStyle w:val="44"/>
              <w:snapToGrid w:val="0"/>
            </w:pPr>
            <w:r>
              <w:rPr>
                <w:spacing w:val="-4"/>
                <w:sz w:val="21"/>
                <w:szCs w:val="21"/>
                <w:lang w:eastAsia="zh-CN"/>
              </w:rPr>
              <w:t>改善车间环境，减少</w:t>
            </w:r>
            <w:r>
              <w:rPr>
                <w:spacing w:val="-3"/>
                <w:sz w:val="21"/>
                <w:szCs w:val="21"/>
                <w:lang w:eastAsia="zh-CN"/>
              </w:rPr>
              <w:t>污染物排放</w:t>
            </w:r>
          </w:p>
        </w:tc>
        <w:tc>
          <w:tcPr>
            <w:tcW w:w="1830" w:type="dxa"/>
            <w:noWrap w:val="0"/>
            <w:vAlign w:val="center"/>
          </w:tcPr>
          <w:p>
            <w:pPr>
              <w:pStyle w:val="73"/>
              <w:widowControl w:val="0"/>
              <w:autoSpaceDE w:val="0"/>
              <w:autoSpaceDN w:val="0"/>
              <w:jc w:val="center"/>
              <w:rPr>
                <w:rFonts w:hint="default" w:eastAsiaTheme="minorEastAsia"/>
                <w:kern w:val="0"/>
                <w:sz w:val="21"/>
                <w:szCs w:val="21"/>
                <w:lang w:val="en-US" w:eastAsia="zh-CN"/>
              </w:rPr>
            </w:pPr>
            <w:r>
              <w:rPr>
                <w:rFonts w:hint="eastAsia" w:ascii="宋体" w:hAnsi="宋体"/>
                <w:kern w:val="0"/>
                <w:sz w:val="21"/>
                <w:lang w:eastAsia="en-US"/>
              </w:rPr>
              <w:t>年节约费用0.04万元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noWrap w:val="0"/>
            <w:vAlign w:val="center"/>
          </w:tcPr>
          <w:p>
            <w:pPr>
              <w:pStyle w:val="44"/>
              <w:snapToGrid w:val="0"/>
              <w:spacing w:beforeLines="20" w:afterLines="20" w:line="240" w:lineRule="auto"/>
            </w:pPr>
            <w:r>
              <w:rPr>
                <w:rFonts w:cs="Times New Roman" w:eastAsiaTheme="minorEastAsia"/>
                <w:sz w:val="21"/>
                <w:szCs w:val="21"/>
              </w:rPr>
              <w:t>F1-6</w:t>
            </w:r>
          </w:p>
        </w:tc>
        <w:tc>
          <w:tcPr>
            <w:tcW w:w="2305" w:type="dxa"/>
            <w:noWrap w:val="0"/>
            <w:vAlign w:val="center"/>
          </w:tcPr>
          <w:p>
            <w:pPr>
              <w:pStyle w:val="44"/>
              <w:snapToGrid w:val="0"/>
              <w:spacing w:beforeLines="20" w:afterLines="20" w:line="240" w:lineRule="auto"/>
            </w:pPr>
            <w:r>
              <w:rPr>
                <w:rFonts w:cs="Times New Roman" w:hAnsiTheme="minorEastAsia" w:eastAsiaTheme="minorEastAsia"/>
                <w:sz w:val="21"/>
                <w:szCs w:val="21"/>
              </w:rPr>
              <w:t>提高员工清洁生产意识</w:t>
            </w:r>
          </w:p>
        </w:tc>
        <w:tc>
          <w:tcPr>
            <w:tcW w:w="824" w:type="dxa"/>
            <w:noWrap w:val="0"/>
            <w:vAlign w:val="center"/>
          </w:tcPr>
          <w:p>
            <w:pPr>
              <w:adjustRightInd w:val="0"/>
              <w:snapToGrid w:val="0"/>
              <w:ind w:firstLine="0" w:firstLineChars="0"/>
              <w:jc w:val="center"/>
            </w:pPr>
            <w:r>
              <w:rPr>
                <w:rFonts w:hint="eastAsia"/>
                <w:sz w:val="21"/>
                <w:szCs w:val="21"/>
              </w:rPr>
              <w:t>0</w:t>
            </w:r>
            <w:r>
              <w:rPr>
                <w:rFonts w:hint="eastAsia"/>
                <w:sz w:val="21"/>
                <w:szCs w:val="21"/>
                <w:lang w:val="en-US" w:eastAsia="zh-CN"/>
              </w:rPr>
              <w:t>.2</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c>
          <w:tcPr>
            <w:tcW w:w="1826" w:type="dxa"/>
            <w:noWrap w:val="0"/>
            <w:vAlign w:val="center"/>
          </w:tcPr>
          <w:p>
            <w:pPr>
              <w:pStyle w:val="44"/>
              <w:snapToGrid w:val="0"/>
            </w:pPr>
            <w:r>
              <w:rPr>
                <w:rFonts w:ascii="宋体" w:hAnsi="宋体" w:eastAsia="宋体" w:cs="宋体"/>
                <w:spacing w:val="-10"/>
                <w:sz w:val="21"/>
                <w:szCs w:val="21"/>
              </w:rPr>
              <w:t>改</w:t>
            </w:r>
            <w:r>
              <w:rPr>
                <w:rFonts w:ascii="宋体" w:hAnsi="宋体" w:eastAsia="宋体" w:cs="宋体"/>
                <w:spacing w:val="-8"/>
                <w:sz w:val="21"/>
                <w:szCs w:val="21"/>
              </w:rPr>
              <w:t>善车间环境，</w:t>
            </w:r>
            <w:r>
              <w:rPr>
                <w:rFonts w:ascii="宋体" w:hAnsi="宋体" w:eastAsia="宋体" w:cs="宋体"/>
                <w:sz w:val="21"/>
                <w:szCs w:val="21"/>
              </w:rPr>
              <w:t xml:space="preserve"> </w:t>
            </w:r>
            <w:r>
              <w:rPr>
                <w:rFonts w:ascii="宋体" w:hAnsi="宋体" w:eastAsia="宋体" w:cs="宋体"/>
                <w:spacing w:val="-1"/>
                <w:sz w:val="21"/>
                <w:szCs w:val="21"/>
              </w:rPr>
              <w:t>减少污染物</w:t>
            </w:r>
            <w:r>
              <w:rPr>
                <w:rFonts w:ascii="宋体" w:hAnsi="宋体" w:eastAsia="宋体" w:cs="宋体"/>
                <w:sz w:val="21"/>
                <w:szCs w:val="21"/>
              </w:rPr>
              <w:t>排放</w:t>
            </w:r>
          </w:p>
        </w:tc>
        <w:tc>
          <w:tcPr>
            <w:tcW w:w="1830" w:type="dxa"/>
            <w:noWrap w:val="0"/>
            <w:vAlign w:val="center"/>
          </w:tcPr>
          <w:p>
            <w:pPr>
              <w:adjustRightInd w:val="0"/>
              <w:snapToGrid w:val="0"/>
              <w:ind w:firstLine="0" w:firstLineChars="0"/>
              <w:jc w:val="center"/>
              <w:rPr>
                <w:sz w:val="21"/>
                <w:szCs w:val="21"/>
              </w:rPr>
            </w:pPr>
            <w:r>
              <w:rPr>
                <w:rFonts w:hint="eastAsia"/>
                <w:sz w:val="21"/>
                <w:szCs w:val="21"/>
                <w:lang w:val="en-US" w:eastAsia="zh-CN"/>
              </w:rPr>
              <w:t>综合效益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443" w:type="dxa"/>
            <w:noWrap w:val="0"/>
            <w:vAlign w:val="center"/>
          </w:tcPr>
          <w:p>
            <w:pPr>
              <w:pStyle w:val="44"/>
              <w:snapToGrid w:val="0"/>
              <w:rPr>
                <w:rFonts w:hint="eastAsia" w:eastAsiaTheme="minorEastAsia"/>
                <w:lang w:val="en-US" w:eastAsia="zh-CN"/>
              </w:rPr>
            </w:pPr>
            <w:r>
              <w:rPr>
                <w:rFonts w:hint="eastAsia"/>
                <w:lang w:val="en-US" w:eastAsia="zh-CN"/>
              </w:rPr>
              <w:t>F2-1</w:t>
            </w:r>
          </w:p>
        </w:tc>
        <w:tc>
          <w:tcPr>
            <w:tcW w:w="2305" w:type="dxa"/>
            <w:noWrap w:val="0"/>
            <w:vAlign w:val="center"/>
          </w:tcPr>
          <w:p>
            <w:pPr>
              <w:pStyle w:val="44"/>
              <w:snapToGrid w:val="0"/>
              <w:rPr>
                <w:kern w:val="0"/>
              </w:rPr>
            </w:pPr>
            <w:r>
              <w:t>加强对入场原辅料的检验，不合格产品不能入场</w:t>
            </w:r>
          </w:p>
        </w:tc>
        <w:tc>
          <w:tcPr>
            <w:tcW w:w="824" w:type="dxa"/>
            <w:noWrap w:val="0"/>
            <w:vAlign w:val="center"/>
          </w:tcPr>
          <w:p>
            <w:pPr>
              <w:adjustRightInd w:val="0"/>
              <w:snapToGrid w:val="0"/>
              <w:ind w:firstLine="0" w:firstLineChars="0"/>
              <w:jc w:val="center"/>
              <w:rPr>
                <w:rFonts w:hint="eastAsia"/>
              </w:rPr>
            </w:pPr>
            <w:r>
              <w:rPr>
                <w:rFonts w:hint="eastAsia"/>
                <w:sz w:val="21"/>
                <w:szCs w:val="21"/>
              </w:rPr>
              <w:t>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c>
          <w:tcPr>
            <w:tcW w:w="1826" w:type="dxa"/>
            <w:noWrap w:val="0"/>
            <w:vAlign w:val="center"/>
          </w:tcPr>
          <w:p>
            <w:pPr>
              <w:pStyle w:val="44"/>
              <w:snapToGrid w:val="0"/>
            </w:pPr>
            <w:r>
              <w:t>确保原辅料质量，减少废物排放</w:t>
            </w:r>
          </w:p>
        </w:tc>
        <w:tc>
          <w:tcPr>
            <w:tcW w:w="1830" w:type="dxa"/>
            <w:noWrap w:val="0"/>
            <w:vAlign w:val="center"/>
          </w:tcPr>
          <w:p>
            <w:pPr>
              <w:adjustRightInd w:val="0"/>
              <w:snapToGrid w:val="0"/>
              <w:ind w:firstLine="0" w:firstLineChars="0"/>
              <w:jc w:val="center"/>
              <w:rPr>
                <w:sz w:val="21"/>
                <w:szCs w:val="21"/>
              </w:rPr>
            </w:pPr>
            <w:r>
              <w:rPr>
                <w:rFonts w:hint="eastAsia"/>
                <w:sz w:val="21"/>
                <w:szCs w:val="21"/>
                <w:lang w:val="en-US" w:eastAsia="zh-CN"/>
              </w:rPr>
              <w:t>综合效益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443" w:type="dxa"/>
            <w:noWrap w:val="0"/>
            <w:vAlign w:val="center"/>
          </w:tcPr>
          <w:p>
            <w:pPr>
              <w:pStyle w:val="44"/>
              <w:snapToGrid w:val="0"/>
            </w:pPr>
            <w:r>
              <w:rPr>
                <w:rFonts w:hint="eastAsia"/>
                <w:lang w:val="en-US" w:eastAsia="zh-CN"/>
              </w:rPr>
              <w:t>F2-3</w:t>
            </w:r>
          </w:p>
        </w:tc>
        <w:tc>
          <w:tcPr>
            <w:tcW w:w="2305" w:type="dxa"/>
            <w:noWrap w:val="0"/>
            <w:vAlign w:val="center"/>
          </w:tcPr>
          <w:p>
            <w:pPr>
              <w:pStyle w:val="44"/>
              <w:snapToGrid w:val="0"/>
            </w:pPr>
            <w:r>
              <w:t>对废包装袋分类回收，尽可能循环利用</w:t>
            </w:r>
          </w:p>
        </w:tc>
        <w:tc>
          <w:tcPr>
            <w:tcW w:w="824" w:type="dxa"/>
            <w:noWrap w:val="0"/>
            <w:vAlign w:val="center"/>
          </w:tcPr>
          <w:p>
            <w:pPr>
              <w:adjustRightInd w:val="0"/>
              <w:snapToGrid w:val="0"/>
              <w:ind w:firstLine="0" w:firstLineChars="0"/>
              <w:jc w:val="center"/>
            </w:pPr>
            <w:r>
              <w:rPr>
                <w:rFonts w:hint="eastAsia"/>
                <w:sz w:val="21"/>
                <w:szCs w:val="21"/>
              </w:rPr>
              <w:t>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c>
          <w:tcPr>
            <w:tcW w:w="1826" w:type="dxa"/>
            <w:noWrap w:val="0"/>
            <w:vAlign w:val="center"/>
          </w:tcPr>
          <w:p>
            <w:pPr>
              <w:pStyle w:val="44"/>
              <w:snapToGrid w:val="0"/>
            </w:pPr>
            <w:r>
              <w:t>减少废包装袋的排放</w:t>
            </w:r>
          </w:p>
        </w:tc>
        <w:tc>
          <w:tcPr>
            <w:tcW w:w="1830" w:type="dxa"/>
            <w:noWrap w:val="0"/>
            <w:vAlign w:val="center"/>
          </w:tcPr>
          <w:p>
            <w:pPr>
              <w:pStyle w:val="44"/>
              <w:snapToGrid w:val="0"/>
              <w:rPr>
                <w:rFonts w:hint="default" w:eastAsiaTheme="minorEastAsia"/>
                <w:lang w:val="en-US" w:eastAsia="zh-CN"/>
              </w:rPr>
            </w:pPr>
            <w:r>
              <w:rPr>
                <w:rFonts w:hint="eastAsia"/>
                <w:lang w:val="en-US" w:eastAsia="zh-CN"/>
              </w:rPr>
              <w:t>年节约0.2万元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3" w:type="dxa"/>
            <w:noWrap w:val="0"/>
            <w:vAlign w:val="center"/>
          </w:tcPr>
          <w:p>
            <w:pPr>
              <w:pStyle w:val="44"/>
              <w:snapToGrid w:val="0"/>
            </w:pPr>
            <w:r>
              <w:rPr>
                <w:rFonts w:hint="eastAsia"/>
                <w:lang w:val="en-US" w:eastAsia="zh-CN"/>
              </w:rPr>
              <w:t>F2-5</w:t>
            </w:r>
          </w:p>
        </w:tc>
        <w:tc>
          <w:tcPr>
            <w:tcW w:w="2305" w:type="dxa"/>
            <w:noWrap w:val="0"/>
            <w:vAlign w:val="center"/>
          </w:tcPr>
          <w:p>
            <w:pPr>
              <w:pStyle w:val="44"/>
              <w:snapToGrid w:val="0"/>
              <w:rPr>
                <w:kern w:val="0"/>
              </w:rPr>
            </w:pPr>
            <w:r>
              <w:t>加强员工技术培训，提高员工操作技能</w:t>
            </w:r>
          </w:p>
        </w:tc>
        <w:tc>
          <w:tcPr>
            <w:tcW w:w="824" w:type="dxa"/>
            <w:noWrap w:val="0"/>
            <w:vAlign w:val="center"/>
          </w:tcPr>
          <w:p>
            <w:pPr>
              <w:adjustRightInd w:val="0"/>
              <w:snapToGrid w:val="0"/>
              <w:ind w:firstLine="0" w:firstLineChars="0"/>
              <w:jc w:val="center"/>
            </w:pPr>
            <w:r>
              <w:rPr>
                <w:rFonts w:hint="eastAsia"/>
                <w:sz w:val="21"/>
                <w:szCs w:val="21"/>
                <w:lang w:val="en-US" w:eastAsia="zh-CN"/>
              </w:rPr>
              <w:t>1.0</w:t>
            </w:r>
          </w:p>
        </w:tc>
        <w:tc>
          <w:tcPr>
            <w:tcW w:w="1138" w:type="dxa"/>
            <w:noWrap w:val="0"/>
            <w:vAlign w:val="center"/>
          </w:tcPr>
          <w:p>
            <w:pPr>
              <w:adjustRightInd w:val="0"/>
              <w:snapToGrid w:val="0"/>
              <w:ind w:firstLine="0" w:firstLineChars="0"/>
              <w:jc w:val="center"/>
            </w:pPr>
            <w:r>
              <w:rPr>
                <w:sz w:val="21"/>
                <w:szCs w:val="21"/>
              </w:rPr>
              <w:t>20</w:t>
            </w:r>
            <w:r>
              <w:rPr>
                <w:rFonts w:hint="eastAsia"/>
                <w:sz w:val="21"/>
                <w:szCs w:val="21"/>
                <w:lang w:val="en-US" w:eastAsia="zh-CN"/>
              </w:rPr>
              <w:t>24</w:t>
            </w:r>
            <w:r>
              <w:rPr>
                <w:sz w:val="21"/>
                <w:szCs w:val="21"/>
              </w:rPr>
              <w:t>年</w:t>
            </w:r>
            <w:r>
              <w:rPr>
                <w:rFonts w:hint="eastAsia"/>
                <w:sz w:val="21"/>
                <w:szCs w:val="21"/>
                <w:lang w:val="en-US" w:eastAsia="zh-CN"/>
              </w:rPr>
              <w:t>2</w:t>
            </w:r>
            <w:r>
              <w:rPr>
                <w:sz w:val="21"/>
                <w:szCs w:val="21"/>
              </w:rPr>
              <w:t>月</w:t>
            </w:r>
          </w:p>
        </w:tc>
        <w:tc>
          <w:tcPr>
            <w:tcW w:w="1826" w:type="dxa"/>
            <w:noWrap w:val="0"/>
            <w:vAlign w:val="center"/>
          </w:tcPr>
          <w:p>
            <w:pPr>
              <w:pStyle w:val="44"/>
              <w:snapToGrid w:val="0"/>
            </w:pPr>
            <w:r>
              <w:t>减少污染物排放，节约原辅料；减少系统故障，提高生产效率</w:t>
            </w:r>
          </w:p>
        </w:tc>
        <w:tc>
          <w:tcPr>
            <w:tcW w:w="1830" w:type="dxa"/>
            <w:noWrap w:val="0"/>
            <w:vAlign w:val="center"/>
          </w:tcPr>
          <w:p>
            <w:pPr>
              <w:pStyle w:val="44"/>
              <w:snapToGrid w:val="0"/>
            </w:pPr>
            <w:r>
              <w:rPr>
                <w:rFonts w:hint="eastAsia"/>
                <w:sz w:val="21"/>
                <w:szCs w:val="21"/>
                <w:lang w:val="en-US" w:eastAsia="zh-CN"/>
              </w:rPr>
              <w:t>综合效益</w:t>
            </w:r>
          </w:p>
        </w:tc>
      </w:tr>
    </w:tbl>
    <w:p>
      <w:pPr>
        <w:adjustRightInd w:val="0"/>
        <w:snapToGrid w:val="0"/>
        <w:ind w:firstLine="420"/>
        <w:rPr>
          <w:rFonts w:ascii="宋体" w:hAnsi="宋体" w:eastAsia="宋体"/>
          <w:sz w:val="24"/>
          <w:szCs w:val="24"/>
          <w:lang w:val="en-US" w:eastAsia="zh-CN"/>
        </w:rPr>
      </w:pPr>
      <w:r>
        <w:rPr>
          <w:rFonts w:hint="eastAsia"/>
          <w:sz w:val="21"/>
          <w:szCs w:val="21"/>
        </w:rPr>
        <w:t>注：电价按照1.</w:t>
      </w:r>
      <w:r>
        <w:rPr>
          <w:rFonts w:hint="eastAsia"/>
          <w:sz w:val="21"/>
          <w:szCs w:val="21"/>
          <w:lang w:val="en-US" w:eastAsia="zh-CN"/>
        </w:rPr>
        <w:t>1</w:t>
      </w:r>
      <w:r>
        <w:rPr>
          <w:rFonts w:hint="eastAsia"/>
          <w:sz w:val="21"/>
          <w:szCs w:val="21"/>
        </w:rPr>
        <w:t>元/kWh，水价按照3.3元/m</w:t>
      </w:r>
      <w:r>
        <w:rPr>
          <w:rFonts w:hint="eastAsia"/>
          <w:sz w:val="21"/>
          <w:szCs w:val="21"/>
          <w:vertAlign w:val="superscript"/>
        </w:rPr>
        <w:t>3</w:t>
      </w:r>
      <w:r>
        <w:rPr>
          <w:rFonts w:hint="eastAsia"/>
          <w:sz w:val="21"/>
          <w:szCs w:val="21"/>
        </w:rPr>
        <w:t>核算。</w:t>
      </w:r>
    </w:p>
    <w:p>
      <w:pPr>
        <w:pStyle w:val="4"/>
        <w:widowControl w:val="0"/>
        <w:spacing w:beforeLines="50" w:after="0" w:line="360" w:lineRule="auto"/>
        <w:rPr>
          <w:rFonts w:ascii="Times New Roman" w:hAnsi="Times New Roman" w:eastAsia="宋体" w:cs="Courier New"/>
          <w:color w:val="000000" w:themeColor="text1"/>
          <w:sz w:val="28"/>
          <w:szCs w:val="30"/>
        </w:rPr>
      </w:pPr>
      <w:bookmarkStart w:id="277" w:name="_Toc525138283"/>
      <w:bookmarkStart w:id="278" w:name="_Toc10202"/>
      <w:bookmarkStart w:id="279" w:name="_Toc525138427"/>
      <w:bookmarkStart w:id="280" w:name="_Toc499903513"/>
      <w:r>
        <w:rPr>
          <w:rFonts w:hint="eastAsia" w:ascii="Times New Roman" w:hAnsi="Times New Roman" w:eastAsia="宋体" w:cs="Courier New"/>
          <w:color w:val="000000" w:themeColor="text1"/>
          <w:sz w:val="28"/>
          <w:szCs w:val="30"/>
        </w:rPr>
        <w:t>7.2.2中高费方案实施情况汇总</w:t>
      </w:r>
      <w:bookmarkEnd w:id="277"/>
      <w:bookmarkEnd w:id="278"/>
      <w:bookmarkEnd w:id="279"/>
      <w:bookmarkEnd w:id="280"/>
    </w:p>
    <w:p>
      <w:pPr>
        <w:spacing w:line="360" w:lineRule="auto"/>
        <w:ind w:firstLine="482"/>
        <w:rPr>
          <w:rFonts w:ascii="Times New Roman" w:hAnsi="宋体" w:eastAsia="宋体"/>
          <w:sz w:val="24"/>
          <w:szCs w:val="24"/>
        </w:rPr>
      </w:pPr>
      <w:r>
        <w:rPr>
          <w:rFonts w:ascii="Times New Roman" w:hAnsi="宋体" w:eastAsia="宋体"/>
          <w:sz w:val="24"/>
          <w:szCs w:val="24"/>
        </w:rPr>
        <w:t>已实施中/高费方案为：方案“</w:t>
      </w:r>
      <w:r>
        <w:rPr>
          <w:rFonts w:hint="eastAsia" w:ascii="Times New Roman" w:hAnsi="宋体" w:eastAsia="宋体"/>
          <w:sz w:val="24"/>
          <w:szCs w:val="24"/>
          <w:lang w:eastAsia="zh-CN"/>
        </w:rPr>
        <w:t>F2-2</w:t>
      </w:r>
      <w:r>
        <w:rPr>
          <w:rFonts w:ascii="Times New Roman" w:hAnsi="宋体" w:eastAsia="宋体"/>
          <w:sz w:val="24"/>
          <w:szCs w:val="24"/>
        </w:rPr>
        <w:t>：</w:t>
      </w:r>
      <w:r>
        <w:rPr>
          <w:rFonts w:hint="eastAsia" w:ascii="Times New Roman" w:hAnsi="宋体" w:eastAsia="宋体"/>
          <w:sz w:val="24"/>
          <w:szCs w:val="24"/>
          <w:lang w:val="en-US" w:eastAsia="zh-CN"/>
        </w:rPr>
        <w:t>更换牵引链条</w:t>
      </w:r>
      <w:r>
        <w:rPr>
          <w:rFonts w:ascii="Times New Roman" w:hAnsi="宋体" w:eastAsia="宋体"/>
          <w:sz w:val="24"/>
          <w:szCs w:val="24"/>
        </w:rPr>
        <w:t>”</w:t>
      </w:r>
      <w:r>
        <w:rPr>
          <w:rFonts w:hint="eastAsia" w:ascii="Times New Roman" w:hAnsi="宋体" w:eastAsia="宋体"/>
          <w:sz w:val="24"/>
          <w:szCs w:val="24"/>
          <w:lang w:val="en-US" w:eastAsia="zh-CN"/>
        </w:rPr>
        <w:t>方案实施后主要是大幅降低环线牵引链条故障，提升生产效率，降低能源消耗量，节省金额26.475万元</w:t>
      </w:r>
      <w:r>
        <w:rPr>
          <w:rFonts w:hint="eastAsia" w:ascii="Times New Roman" w:hAnsi="宋体" w:eastAsia="宋体"/>
          <w:sz w:val="24"/>
          <w:szCs w:val="24"/>
        </w:rPr>
        <w:t>。</w:t>
      </w:r>
    </w:p>
    <w:p>
      <w:pPr>
        <w:pStyle w:val="42"/>
        <w:adjustRightInd w:val="0"/>
        <w:snapToGrid w:val="0"/>
        <w:spacing w:before="120"/>
        <w:ind w:firstLine="482" w:firstLineChars="200"/>
        <w:rPr>
          <w:rFonts w:ascii="宋体" w:eastAsia="宋体"/>
          <w:b/>
          <w:szCs w:val="24"/>
          <w:lang w:val="en-US" w:eastAsia="zh-CN"/>
        </w:rPr>
      </w:pPr>
      <w:r>
        <w:rPr>
          <w:rFonts w:ascii="宋体" w:eastAsia="宋体"/>
          <w:b/>
          <w:szCs w:val="24"/>
          <w:lang w:val="en-US" w:eastAsia="zh-CN"/>
        </w:rPr>
        <w:t>表</w:t>
      </w:r>
      <w:r>
        <w:rPr>
          <w:rFonts w:hint="eastAsia" w:ascii="宋体" w:eastAsia="宋体"/>
          <w:b/>
          <w:szCs w:val="24"/>
          <w:lang w:val="en-US" w:eastAsia="zh-CN"/>
        </w:rPr>
        <w:t>7</w:t>
      </w:r>
      <w:r>
        <w:rPr>
          <w:rFonts w:ascii="宋体" w:eastAsia="宋体"/>
          <w:b/>
          <w:szCs w:val="24"/>
          <w:lang w:val="en-US" w:eastAsia="zh-CN"/>
        </w:rPr>
        <w:t>-</w:t>
      </w:r>
      <w:r>
        <w:rPr>
          <w:rFonts w:hint="eastAsia" w:ascii="宋体" w:eastAsia="宋体"/>
          <w:b/>
          <w:szCs w:val="24"/>
          <w:lang w:val="en-US" w:eastAsia="zh-CN"/>
        </w:rPr>
        <w:t>3</w:t>
      </w:r>
      <w:r>
        <w:rPr>
          <w:rFonts w:ascii="宋体" w:eastAsia="宋体"/>
          <w:b/>
          <w:szCs w:val="24"/>
          <w:lang w:val="en-US" w:eastAsia="zh-CN"/>
        </w:rPr>
        <w:t xml:space="preserve"> 已实施中/高费方案汇总表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41"/>
        <w:gridCol w:w="2297"/>
        <w:gridCol w:w="821"/>
        <w:gridCol w:w="1134"/>
        <w:gridCol w:w="1843"/>
        <w:gridCol w:w="18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1" w:type="dxa"/>
            <w:vMerge w:val="restart"/>
            <w:noWrap w:val="0"/>
            <w:vAlign w:val="center"/>
          </w:tcPr>
          <w:p>
            <w:pPr>
              <w:widowControl/>
              <w:adjustRightInd w:val="0"/>
              <w:snapToGrid w:val="0"/>
              <w:ind w:firstLine="0" w:firstLineChars="0"/>
              <w:jc w:val="center"/>
              <w:rPr>
                <w:kern w:val="0"/>
                <w:sz w:val="21"/>
                <w:szCs w:val="21"/>
              </w:rPr>
            </w:pPr>
            <w:r>
              <w:rPr>
                <w:kern w:val="0"/>
                <w:sz w:val="21"/>
                <w:szCs w:val="21"/>
              </w:rPr>
              <w:t>序号</w:t>
            </w:r>
          </w:p>
        </w:tc>
        <w:tc>
          <w:tcPr>
            <w:tcW w:w="2297" w:type="dxa"/>
            <w:vMerge w:val="restart"/>
            <w:noWrap w:val="0"/>
            <w:vAlign w:val="center"/>
          </w:tcPr>
          <w:p>
            <w:pPr>
              <w:widowControl/>
              <w:adjustRightInd w:val="0"/>
              <w:snapToGrid w:val="0"/>
              <w:ind w:firstLine="174" w:firstLineChars="83"/>
              <w:jc w:val="center"/>
              <w:rPr>
                <w:kern w:val="0"/>
                <w:sz w:val="21"/>
                <w:szCs w:val="21"/>
              </w:rPr>
            </w:pPr>
            <w:r>
              <w:rPr>
                <w:kern w:val="0"/>
                <w:sz w:val="21"/>
                <w:szCs w:val="21"/>
              </w:rPr>
              <w:t>审核建议</w:t>
            </w:r>
          </w:p>
        </w:tc>
        <w:tc>
          <w:tcPr>
            <w:tcW w:w="821" w:type="dxa"/>
            <w:vMerge w:val="restart"/>
            <w:noWrap w:val="0"/>
            <w:vAlign w:val="center"/>
          </w:tcPr>
          <w:p>
            <w:pPr>
              <w:adjustRightInd w:val="0"/>
              <w:snapToGrid w:val="0"/>
              <w:ind w:firstLine="0" w:firstLineChars="0"/>
              <w:jc w:val="center"/>
              <w:rPr>
                <w:kern w:val="0"/>
                <w:sz w:val="21"/>
                <w:szCs w:val="21"/>
              </w:rPr>
            </w:pPr>
            <w:r>
              <w:rPr>
                <w:kern w:val="0"/>
                <w:sz w:val="21"/>
                <w:szCs w:val="21"/>
              </w:rPr>
              <w:t>投资（万元）</w:t>
            </w:r>
          </w:p>
        </w:tc>
        <w:tc>
          <w:tcPr>
            <w:tcW w:w="1134" w:type="dxa"/>
            <w:vMerge w:val="restart"/>
            <w:noWrap w:val="0"/>
            <w:vAlign w:val="center"/>
          </w:tcPr>
          <w:p>
            <w:pPr>
              <w:widowControl/>
              <w:adjustRightInd w:val="0"/>
              <w:snapToGrid w:val="0"/>
              <w:ind w:firstLine="0" w:firstLineChars="0"/>
              <w:jc w:val="center"/>
              <w:rPr>
                <w:kern w:val="0"/>
                <w:sz w:val="21"/>
                <w:szCs w:val="21"/>
              </w:rPr>
            </w:pPr>
            <w:r>
              <w:rPr>
                <w:kern w:val="0"/>
                <w:sz w:val="21"/>
                <w:szCs w:val="21"/>
              </w:rPr>
              <w:t>实施时间</w:t>
            </w:r>
          </w:p>
        </w:tc>
        <w:tc>
          <w:tcPr>
            <w:tcW w:w="3643" w:type="dxa"/>
            <w:gridSpan w:val="2"/>
            <w:noWrap w:val="0"/>
            <w:vAlign w:val="center"/>
          </w:tcPr>
          <w:p>
            <w:pPr>
              <w:widowControl/>
              <w:adjustRightInd w:val="0"/>
              <w:snapToGrid w:val="0"/>
              <w:ind w:firstLine="174" w:firstLineChars="83"/>
              <w:jc w:val="center"/>
              <w:rPr>
                <w:kern w:val="0"/>
                <w:sz w:val="21"/>
                <w:szCs w:val="21"/>
              </w:rPr>
            </w:pPr>
            <w:r>
              <w:rPr>
                <w:kern w:val="0"/>
                <w:sz w:val="21"/>
                <w:szCs w:val="21"/>
              </w:rPr>
              <w:t>实现效果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1" w:type="dxa"/>
            <w:vMerge w:val="continue"/>
            <w:noWrap w:val="0"/>
            <w:vAlign w:val="center"/>
          </w:tcPr>
          <w:p>
            <w:pPr>
              <w:widowControl/>
              <w:adjustRightInd w:val="0"/>
              <w:snapToGrid w:val="0"/>
              <w:ind w:firstLine="420"/>
              <w:jc w:val="center"/>
              <w:rPr>
                <w:kern w:val="0"/>
                <w:sz w:val="21"/>
                <w:szCs w:val="21"/>
              </w:rPr>
            </w:pPr>
          </w:p>
        </w:tc>
        <w:tc>
          <w:tcPr>
            <w:tcW w:w="2297" w:type="dxa"/>
            <w:vMerge w:val="continue"/>
            <w:noWrap w:val="0"/>
            <w:vAlign w:val="center"/>
          </w:tcPr>
          <w:p>
            <w:pPr>
              <w:widowControl/>
              <w:adjustRightInd w:val="0"/>
              <w:snapToGrid w:val="0"/>
              <w:ind w:firstLine="420"/>
              <w:jc w:val="center"/>
              <w:rPr>
                <w:kern w:val="0"/>
                <w:sz w:val="21"/>
                <w:szCs w:val="21"/>
              </w:rPr>
            </w:pPr>
          </w:p>
        </w:tc>
        <w:tc>
          <w:tcPr>
            <w:tcW w:w="821" w:type="dxa"/>
            <w:vMerge w:val="continue"/>
            <w:noWrap w:val="0"/>
            <w:vAlign w:val="center"/>
          </w:tcPr>
          <w:p>
            <w:pPr>
              <w:adjustRightInd w:val="0"/>
              <w:snapToGrid w:val="0"/>
              <w:ind w:firstLine="420"/>
              <w:jc w:val="center"/>
              <w:rPr>
                <w:kern w:val="0"/>
                <w:sz w:val="21"/>
                <w:szCs w:val="21"/>
              </w:rPr>
            </w:pPr>
          </w:p>
        </w:tc>
        <w:tc>
          <w:tcPr>
            <w:tcW w:w="1134" w:type="dxa"/>
            <w:vMerge w:val="continue"/>
            <w:noWrap w:val="0"/>
            <w:vAlign w:val="center"/>
          </w:tcPr>
          <w:p>
            <w:pPr>
              <w:widowControl/>
              <w:adjustRightInd w:val="0"/>
              <w:snapToGrid w:val="0"/>
              <w:ind w:firstLine="420"/>
              <w:jc w:val="center"/>
              <w:rPr>
                <w:kern w:val="0"/>
                <w:sz w:val="21"/>
                <w:szCs w:val="21"/>
              </w:rPr>
            </w:pPr>
          </w:p>
        </w:tc>
        <w:tc>
          <w:tcPr>
            <w:tcW w:w="1843" w:type="dxa"/>
            <w:noWrap w:val="0"/>
            <w:vAlign w:val="center"/>
          </w:tcPr>
          <w:p>
            <w:pPr>
              <w:widowControl/>
              <w:adjustRightInd w:val="0"/>
              <w:snapToGrid w:val="0"/>
              <w:ind w:firstLine="0" w:firstLineChars="0"/>
              <w:jc w:val="center"/>
              <w:rPr>
                <w:kern w:val="0"/>
                <w:sz w:val="21"/>
                <w:szCs w:val="21"/>
              </w:rPr>
            </w:pPr>
            <w:r>
              <w:rPr>
                <w:kern w:val="0"/>
                <w:sz w:val="21"/>
                <w:szCs w:val="21"/>
              </w:rPr>
              <w:t>环境效益</w:t>
            </w:r>
          </w:p>
        </w:tc>
        <w:tc>
          <w:tcPr>
            <w:tcW w:w="1800" w:type="dxa"/>
            <w:noWrap w:val="0"/>
            <w:vAlign w:val="center"/>
          </w:tcPr>
          <w:p>
            <w:pPr>
              <w:widowControl/>
              <w:adjustRightInd w:val="0"/>
              <w:snapToGrid w:val="0"/>
              <w:ind w:firstLine="0" w:firstLineChars="0"/>
              <w:jc w:val="center"/>
              <w:rPr>
                <w:kern w:val="0"/>
                <w:sz w:val="21"/>
                <w:szCs w:val="21"/>
              </w:rPr>
            </w:pPr>
            <w:r>
              <w:rPr>
                <w:kern w:val="0"/>
                <w:sz w:val="21"/>
                <w:szCs w:val="21"/>
              </w:rPr>
              <w:t>经济效益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1" w:type="dxa"/>
            <w:noWrap w:val="0"/>
            <w:vAlign w:val="center"/>
          </w:tcPr>
          <w:p>
            <w:pPr>
              <w:pStyle w:val="44"/>
              <w:snapToGrid w:val="0"/>
              <w:rPr>
                <w:rFonts w:hint="eastAsia" w:eastAsiaTheme="minorEastAsia"/>
                <w:lang w:eastAsia="zh-CN"/>
              </w:rPr>
            </w:pPr>
            <w:r>
              <w:rPr>
                <w:rFonts w:hint="eastAsia"/>
                <w:lang w:eastAsia="zh-CN"/>
              </w:rPr>
              <w:t>F2-2</w:t>
            </w:r>
          </w:p>
        </w:tc>
        <w:tc>
          <w:tcPr>
            <w:tcW w:w="2297" w:type="dxa"/>
            <w:noWrap w:val="0"/>
            <w:vAlign w:val="center"/>
          </w:tcPr>
          <w:p>
            <w:pPr>
              <w:pStyle w:val="44"/>
              <w:snapToGrid w:val="0"/>
              <w:rPr>
                <w:kern w:val="0"/>
              </w:rPr>
            </w:pPr>
            <w:r>
              <w:rPr>
                <w:rFonts w:hint="eastAsia"/>
                <w:kern w:val="0"/>
                <w:lang w:val="en-US" w:eastAsia="zh-CN"/>
              </w:rPr>
              <w:t>更换牵引链条</w:t>
            </w:r>
          </w:p>
        </w:tc>
        <w:tc>
          <w:tcPr>
            <w:tcW w:w="821" w:type="dxa"/>
            <w:noWrap w:val="0"/>
            <w:vAlign w:val="center"/>
          </w:tcPr>
          <w:p>
            <w:pPr>
              <w:pStyle w:val="44"/>
              <w:snapToGrid w:val="0"/>
              <w:rPr>
                <w:rFonts w:hint="default" w:eastAsiaTheme="minorEastAsia"/>
                <w:lang w:val="en-US" w:eastAsia="zh-CN"/>
              </w:rPr>
            </w:pPr>
            <w:r>
              <w:rPr>
                <w:rFonts w:hint="eastAsia"/>
                <w:lang w:val="en-US" w:eastAsia="zh-CN"/>
              </w:rPr>
              <w:t>12</w:t>
            </w:r>
          </w:p>
        </w:tc>
        <w:tc>
          <w:tcPr>
            <w:tcW w:w="1134" w:type="dxa"/>
            <w:noWrap w:val="0"/>
            <w:vAlign w:val="center"/>
          </w:tcPr>
          <w:p>
            <w:pPr>
              <w:pStyle w:val="44"/>
              <w:snapToGrid w:val="0"/>
              <w:rPr>
                <w:kern w:val="0"/>
              </w:rPr>
            </w:pPr>
            <w:r>
              <w:rPr>
                <w:kern w:val="0"/>
              </w:rPr>
              <w:t>20</w:t>
            </w:r>
            <w:r>
              <w:rPr>
                <w:rFonts w:hint="eastAsia"/>
                <w:kern w:val="0"/>
                <w:lang w:val="en-US" w:eastAsia="zh-CN"/>
              </w:rPr>
              <w:t>24</w:t>
            </w:r>
            <w:r>
              <w:rPr>
                <w:kern w:val="0"/>
              </w:rPr>
              <w:t>年</w:t>
            </w:r>
            <w:r>
              <w:rPr>
                <w:rFonts w:hint="eastAsia"/>
                <w:kern w:val="0"/>
                <w:lang w:val="en-US" w:eastAsia="zh-CN"/>
              </w:rPr>
              <w:t>1</w:t>
            </w:r>
            <w:r>
              <w:rPr>
                <w:kern w:val="0"/>
              </w:rPr>
              <w:t>月</w:t>
            </w:r>
          </w:p>
        </w:tc>
        <w:tc>
          <w:tcPr>
            <w:tcW w:w="1843" w:type="dxa"/>
            <w:noWrap w:val="0"/>
            <w:vAlign w:val="center"/>
          </w:tcPr>
          <w:p>
            <w:pPr>
              <w:pStyle w:val="44"/>
              <w:snapToGrid w:val="0"/>
              <w:rPr>
                <w:rFonts w:hint="default" w:ascii="Times New Roman" w:hAnsi="Times New Roman"/>
                <w:kern w:val="0"/>
                <w:lang w:val="en-US"/>
              </w:rPr>
            </w:pPr>
            <w:r>
              <w:rPr>
                <w:rFonts w:hint="eastAsia" w:ascii="Times New Roman" w:hAnsi="Times New Roman"/>
                <w:kern w:val="0"/>
                <w:lang w:val="en-US" w:eastAsia="zh-CN"/>
              </w:rPr>
              <w:t>综合效益</w:t>
            </w:r>
          </w:p>
        </w:tc>
        <w:tc>
          <w:tcPr>
            <w:tcW w:w="1800" w:type="dxa"/>
            <w:noWrap w:val="0"/>
            <w:vAlign w:val="center"/>
          </w:tcPr>
          <w:p>
            <w:pPr>
              <w:pStyle w:val="44"/>
              <w:snapToGrid w:val="0"/>
              <w:rPr>
                <w:rFonts w:hint="default" w:ascii="Times New Roman" w:hAnsi="Times New Roman"/>
                <w:kern w:val="0"/>
                <w:lang w:val="en-US" w:eastAsia="zh-CN"/>
              </w:rPr>
            </w:pPr>
            <w:r>
              <w:rPr>
                <w:rFonts w:hint="eastAsia" w:ascii="Times New Roman" w:hAnsi="Times New Roman"/>
                <w:kern w:val="0"/>
                <w:lang w:val="en-US" w:eastAsia="zh-CN"/>
              </w:rPr>
              <w:t>节增加效益26.475万元</w:t>
            </w:r>
          </w:p>
        </w:tc>
      </w:tr>
    </w:tbl>
    <w:p>
      <w:pPr>
        <w:pStyle w:val="3"/>
        <w:widowControl w:val="0"/>
        <w:adjustRightInd/>
        <w:snapToGrid/>
        <w:spacing w:beforeLines="50" w:after="0" w:line="360" w:lineRule="auto"/>
        <w:rPr>
          <w:rFonts w:ascii="Times New Roman" w:hAnsi="Times New Roman"/>
          <w:sz w:val="30"/>
          <w:szCs w:val="30"/>
        </w:rPr>
      </w:pPr>
      <w:bookmarkStart w:id="281" w:name="_Toc499903514"/>
      <w:bookmarkStart w:id="282" w:name="_Toc5950"/>
      <w:bookmarkStart w:id="283" w:name="_Toc525138284"/>
      <w:bookmarkStart w:id="284" w:name="_Toc525138428"/>
      <w:r>
        <w:rPr>
          <w:rFonts w:hint="eastAsia" w:ascii="Times New Roman" w:hAnsi="Times New Roman"/>
          <w:sz w:val="30"/>
          <w:szCs w:val="30"/>
        </w:rPr>
        <w:t>7.3已实施方案效益汇总</w:t>
      </w:r>
      <w:bookmarkEnd w:id="281"/>
      <w:bookmarkEnd w:id="282"/>
      <w:bookmarkEnd w:id="283"/>
      <w:bookmarkEnd w:id="284"/>
    </w:p>
    <w:p>
      <w:pPr>
        <w:spacing w:line="360" w:lineRule="auto"/>
        <w:ind w:firstLine="482"/>
        <w:rPr>
          <w:rFonts w:hint="eastAsia" w:ascii="Times New Roman" w:hAnsi="宋体" w:eastAsia="宋体"/>
          <w:sz w:val="24"/>
          <w:szCs w:val="24"/>
        </w:rPr>
      </w:pPr>
      <w:r>
        <w:rPr>
          <w:rFonts w:ascii="Times New Roman" w:hAnsi="宋体" w:eastAsia="宋体"/>
          <w:sz w:val="24"/>
          <w:szCs w:val="24"/>
        </w:rPr>
        <w:t>已实施的清洁生产方案共投资</w:t>
      </w:r>
      <w:r>
        <w:rPr>
          <w:rFonts w:hint="eastAsia" w:ascii="Times New Roman" w:hAnsi="宋体" w:eastAsia="宋体"/>
          <w:sz w:val="24"/>
          <w:szCs w:val="24"/>
          <w:lang w:val="en-US" w:eastAsia="zh-CN"/>
        </w:rPr>
        <w:t>13.4</w:t>
      </w:r>
      <w:r>
        <w:rPr>
          <w:rFonts w:hint="eastAsia" w:ascii="Times New Roman" w:hAnsi="宋体" w:eastAsia="宋体"/>
          <w:sz w:val="24"/>
          <w:szCs w:val="24"/>
        </w:rPr>
        <w:t>万元</w:t>
      </w:r>
      <w:r>
        <w:rPr>
          <w:rFonts w:ascii="Times New Roman" w:hAnsi="宋体" w:eastAsia="宋体"/>
          <w:sz w:val="24"/>
          <w:szCs w:val="24"/>
        </w:rPr>
        <w:t>，实施后年节电</w:t>
      </w:r>
      <w:r>
        <w:rPr>
          <w:rFonts w:hint="eastAsia" w:ascii="Times New Roman" w:hAnsi="宋体" w:eastAsia="宋体"/>
          <w:sz w:val="24"/>
          <w:szCs w:val="24"/>
          <w:lang w:val="en-US" w:eastAsia="zh-CN"/>
        </w:rPr>
        <w:t>23000</w:t>
      </w:r>
      <w:r>
        <w:rPr>
          <w:rFonts w:ascii="Times New Roman" w:hAnsi="宋体" w:eastAsia="宋体"/>
          <w:sz w:val="24"/>
          <w:szCs w:val="24"/>
        </w:rPr>
        <w:t>kWh，</w:t>
      </w:r>
      <w:r>
        <w:rPr>
          <w:rFonts w:hint="eastAsia" w:ascii="Times New Roman" w:hAnsi="宋体" w:eastAsia="宋体"/>
          <w:sz w:val="24"/>
          <w:szCs w:val="24"/>
          <w:lang w:val="en-US" w:eastAsia="zh-CN"/>
        </w:rPr>
        <w:t>降低生产故障率、提高生产效率，降低能耗</w:t>
      </w:r>
      <w:r>
        <w:rPr>
          <w:rFonts w:ascii="Times New Roman" w:hAnsi="宋体" w:eastAsia="宋体"/>
          <w:sz w:val="24"/>
          <w:szCs w:val="24"/>
        </w:rPr>
        <w:t>。除去方案实施后暂无法核算的间接经济效益，年直接经济效益可达</w:t>
      </w:r>
      <w:r>
        <w:rPr>
          <w:rFonts w:hint="eastAsia" w:ascii="Times New Roman" w:hAnsi="宋体" w:eastAsia="宋体"/>
          <w:sz w:val="24"/>
          <w:szCs w:val="24"/>
          <w:lang w:val="en-US" w:eastAsia="zh-CN"/>
        </w:rPr>
        <w:t>26.765</w:t>
      </w:r>
      <w:r>
        <w:rPr>
          <w:rFonts w:ascii="Times New Roman" w:hAnsi="宋体" w:eastAsia="宋体"/>
          <w:sz w:val="24"/>
          <w:szCs w:val="24"/>
        </w:rPr>
        <w:t>万元，本轮审核产生了良好的环境效益。方案实施后清洁生产目标完成情况见表</w:t>
      </w:r>
      <w:r>
        <w:rPr>
          <w:rFonts w:hint="eastAsia" w:ascii="Times New Roman" w:hAnsi="宋体" w:eastAsia="宋体"/>
          <w:sz w:val="24"/>
          <w:szCs w:val="24"/>
        </w:rPr>
        <w:t>7-4</w:t>
      </w:r>
      <w:r>
        <w:rPr>
          <w:rFonts w:ascii="Times New Roman" w:hAnsi="宋体" w:eastAsia="宋体"/>
          <w:sz w:val="24"/>
          <w:szCs w:val="24"/>
        </w:rPr>
        <w:t>。</w:t>
      </w:r>
    </w:p>
    <w:p>
      <w:pPr>
        <w:pStyle w:val="42"/>
        <w:adjustRightInd w:val="0"/>
        <w:snapToGrid w:val="0"/>
        <w:spacing w:before="120"/>
        <w:ind w:firstLine="482" w:firstLineChars="200"/>
        <w:rPr>
          <w:rFonts w:hint="eastAsia" w:ascii="宋体" w:eastAsia="宋体"/>
          <w:b/>
          <w:szCs w:val="24"/>
          <w:lang w:val="en-US" w:eastAsia="zh-CN"/>
        </w:rPr>
      </w:pPr>
      <w:r>
        <w:rPr>
          <w:rFonts w:ascii="宋体" w:eastAsia="宋体"/>
          <w:b/>
          <w:szCs w:val="24"/>
          <w:lang w:val="en-US" w:eastAsia="zh-CN"/>
        </w:rPr>
        <w:t>表</w:t>
      </w:r>
      <w:r>
        <w:rPr>
          <w:rFonts w:hint="eastAsia" w:ascii="宋体" w:eastAsia="宋体"/>
          <w:b/>
          <w:szCs w:val="24"/>
          <w:lang w:val="en-US" w:eastAsia="zh-CN"/>
        </w:rPr>
        <w:t>7</w:t>
      </w:r>
      <w:r>
        <w:rPr>
          <w:rFonts w:ascii="宋体" w:eastAsia="宋体"/>
          <w:b/>
          <w:szCs w:val="24"/>
          <w:lang w:val="en-US" w:eastAsia="zh-CN"/>
        </w:rPr>
        <w:t>-</w:t>
      </w:r>
      <w:r>
        <w:rPr>
          <w:rFonts w:hint="eastAsia" w:ascii="宋体" w:eastAsia="宋体"/>
          <w:b/>
          <w:szCs w:val="24"/>
          <w:lang w:val="en-US" w:eastAsia="zh-CN"/>
        </w:rPr>
        <w:t>4</w:t>
      </w:r>
      <w:r>
        <w:rPr>
          <w:rFonts w:ascii="宋体" w:eastAsia="宋体"/>
          <w:b/>
          <w:szCs w:val="24"/>
          <w:lang w:val="en-US" w:eastAsia="zh-CN"/>
        </w:rPr>
        <w:t xml:space="preserve"> 清洁生产目标完成情况</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1"/>
        <w:gridCol w:w="1685"/>
        <w:gridCol w:w="899"/>
        <w:gridCol w:w="962"/>
        <w:gridCol w:w="993"/>
        <w:gridCol w:w="749"/>
        <w:gridCol w:w="899"/>
        <w:gridCol w:w="1045"/>
        <w:gridCol w:w="7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2" w:hRule="exact"/>
          <w:jc w:val="center"/>
        </w:trPr>
        <w:tc>
          <w:tcPr>
            <w:tcW w:w="531" w:type="dxa"/>
            <w:vMerge w:val="restart"/>
            <w:noWrap w:val="0"/>
            <w:vAlign w:val="center"/>
          </w:tcPr>
          <w:p>
            <w:pPr>
              <w:pStyle w:val="44"/>
              <w:snapToGrid w:val="0"/>
              <w:rPr>
                <w:szCs w:val="21"/>
              </w:rPr>
            </w:pPr>
            <w:r>
              <w:rPr>
                <w:szCs w:val="21"/>
              </w:rPr>
              <w:t>序号</w:t>
            </w:r>
          </w:p>
        </w:tc>
        <w:tc>
          <w:tcPr>
            <w:tcW w:w="1685" w:type="dxa"/>
            <w:vMerge w:val="restart"/>
            <w:noWrap w:val="0"/>
            <w:vAlign w:val="center"/>
          </w:tcPr>
          <w:p>
            <w:pPr>
              <w:pStyle w:val="44"/>
              <w:snapToGrid w:val="0"/>
              <w:rPr>
                <w:szCs w:val="21"/>
              </w:rPr>
            </w:pPr>
            <w:r>
              <w:rPr>
                <w:szCs w:val="21"/>
              </w:rPr>
              <w:t>项    目</w:t>
            </w:r>
          </w:p>
        </w:tc>
        <w:tc>
          <w:tcPr>
            <w:tcW w:w="899" w:type="dxa"/>
            <w:vMerge w:val="restart"/>
            <w:noWrap w:val="0"/>
            <w:vAlign w:val="center"/>
          </w:tcPr>
          <w:p>
            <w:pPr>
              <w:pStyle w:val="44"/>
              <w:snapToGrid w:val="0"/>
              <w:rPr>
                <w:szCs w:val="21"/>
              </w:rPr>
            </w:pPr>
            <w:r>
              <w:rPr>
                <w:szCs w:val="21"/>
              </w:rPr>
              <w:t>现状</w:t>
            </w:r>
          </w:p>
        </w:tc>
        <w:tc>
          <w:tcPr>
            <w:tcW w:w="2704" w:type="dxa"/>
            <w:gridSpan w:val="3"/>
            <w:noWrap w:val="0"/>
            <w:vAlign w:val="center"/>
          </w:tcPr>
          <w:p>
            <w:pPr>
              <w:pStyle w:val="44"/>
              <w:snapToGrid w:val="0"/>
              <w:rPr>
                <w:szCs w:val="21"/>
              </w:rPr>
            </w:pPr>
            <w:r>
              <w:rPr>
                <w:szCs w:val="21"/>
              </w:rPr>
              <w:t>近期目标</w:t>
            </w:r>
          </w:p>
          <w:p>
            <w:pPr>
              <w:pStyle w:val="44"/>
              <w:snapToGrid w:val="0"/>
              <w:rPr>
                <w:szCs w:val="21"/>
              </w:rPr>
            </w:pPr>
            <w:r>
              <w:rPr>
                <w:szCs w:val="21"/>
              </w:rPr>
              <w:t>（</w:t>
            </w:r>
            <w:r>
              <w:rPr>
                <w:rFonts w:hint="eastAsia"/>
                <w:szCs w:val="21"/>
                <w:lang w:val="en-US" w:eastAsia="zh-CN"/>
              </w:rPr>
              <w:t>2024</w:t>
            </w:r>
            <w:r>
              <w:rPr>
                <w:szCs w:val="21"/>
              </w:rPr>
              <w:t>年）</w:t>
            </w:r>
          </w:p>
        </w:tc>
        <w:tc>
          <w:tcPr>
            <w:tcW w:w="2703" w:type="dxa"/>
            <w:gridSpan w:val="3"/>
            <w:noWrap w:val="0"/>
            <w:vAlign w:val="center"/>
          </w:tcPr>
          <w:p>
            <w:pPr>
              <w:pStyle w:val="44"/>
              <w:snapToGrid w:val="0"/>
              <w:rPr>
                <w:szCs w:val="21"/>
              </w:rPr>
            </w:pPr>
            <w:r>
              <w:rPr>
                <w:szCs w:val="21"/>
              </w:rPr>
              <w:t>远期目标</w:t>
            </w:r>
          </w:p>
          <w:p>
            <w:pPr>
              <w:pStyle w:val="44"/>
              <w:snapToGrid w:val="0"/>
              <w:rPr>
                <w:szCs w:val="21"/>
              </w:rPr>
            </w:pPr>
            <w:r>
              <w:rPr>
                <w:szCs w:val="21"/>
              </w:rPr>
              <w:t>(20</w:t>
            </w:r>
            <w:r>
              <w:rPr>
                <w:rFonts w:hint="eastAsia"/>
                <w:szCs w:val="21"/>
                <w:lang w:val="en-US" w:eastAsia="zh-CN"/>
              </w:rPr>
              <w:t>25</w:t>
            </w:r>
            <w:r>
              <w:rPr>
                <w:szCs w:val="21"/>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3" w:hRule="exact"/>
          <w:jc w:val="center"/>
        </w:trPr>
        <w:tc>
          <w:tcPr>
            <w:tcW w:w="531" w:type="dxa"/>
            <w:vMerge w:val="continue"/>
            <w:noWrap w:val="0"/>
            <w:vAlign w:val="center"/>
          </w:tcPr>
          <w:p>
            <w:pPr>
              <w:widowControl/>
              <w:adjustRightInd w:val="0"/>
              <w:snapToGrid w:val="0"/>
              <w:ind w:firstLine="420"/>
              <w:jc w:val="center"/>
              <w:rPr>
                <w:kern w:val="18"/>
                <w:sz w:val="21"/>
                <w:szCs w:val="21"/>
              </w:rPr>
            </w:pPr>
          </w:p>
        </w:tc>
        <w:tc>
          <w:tcPr>
            <w:tcW w:w="1685" w:type="dxa"/>
            <w:vMerge w:val="continue"/>
            <w:noWrap w:val="0"/>
            <w:vAlign w:val="center"/>
          </w:tcPr>
          <w:p>
            <w:pPr>
              <w:widowControl/>
              <w:adjustRightInd w:val="0"/>
              <w:snapToGrid w:val="0"/>
              <w:ind w:firstLine="420"/>
              <w:jc w:val="center"/>
              <w:rPr>
                <w:kern w:val="18"/>
                <w:sz w:val="21"/>
                <w:szCs w:val="21"/>
              </w:rPr>
            </w:pPr>
          </w:p>
        </w:tc>
        <w:tc>
          <w:tcPr>
            <w:tcW w:w="899" w:type="dxa"/>
            <w:vMerge w:val="continue"/>
            <w:noWrap w:val="0"/>
            <w:vAlign w:val="center"/>
          </w:tcPr>
          <w:p>
            <w:pPr>
              <w:widowControl/>
              <w:adjustRightInd w:val="0"/>
              <w:snapToGrid w:val="0"/>
              <w:ind w:firstLine="420"/>
              <w:jc w:val="center"/>
              <w:rPr>
                <w:kern w:val="18"/>
                <w:sz w:val="21"/>
                <w:szCs w:val="21"/>
              </w:rPr>
            </w:pPr>
          </w:p>
        </w:tc>
        <w:tc>
          <w:tcPr>
            <w:tcW w:w="962" w:type="dxa"/>
            <w:noWrap w:val="0"/>
            <w:vAlign w:val="center"/>
          </w:tcPr>
          <w:p>
            <w:pPr>
              <w:pStyle w:val="44"/>
              <w:snapToGrid w:val="0"/>
              <w:rPr>
                <w:szCs w:val="21"/>
              </w:rPr>
            </w:pPr>
            <w:r>
              <w:rPr>
                <w:szCs w:val="21"/>
              </w:rPr>
              <w:t>目标值</w:t>
            </w:r>
          </w:p>
        </w:tc>
        <w:tc>
          <w:tcPr>
            <w:tcW w:w="993" w:type="dxa"/>
            <w:noWrap w:val="0"/>
            <w:vAlign w:val="center"/>
          </w:tcPr>
          <w:p>
            <w:pPr>
              <w:pStyle w:val="44"/>
              <w:snapToGrid w:val="0"/>
              <w:rPr>
                <w:szCs w:val="21"/>
              </w:rPr>
            </w:pPr>
            <w:r>
              <w:rPr>
                <w:szCs w:val="21"/>
              </w:rPr>
              <w:t>实际值</w:t>
            </w:r>
          </w:p>
        </w:tc>
        <w:tc>
          <w:tcPr>
            <w:tcW w:w="749" w:type="dxa"/>
            <w:noWrap w:val="0"/>
            <w:vAlign w:val="center"/>
          </w:tcPr>
          <w:p>
            <w:pPr>
              <w:pStyle w:val="44"/>
              <w:snapToGrid w:val="0"/>
              <w:rPr>
                <w:szCs w:val="21"/>
              </w:rPr>
            </w:pPr>
            <w:r>
              <w:rPr>
                <w:szCs w:val="21"/>
              </w:rPr>
              <w:t>完成情况</w:t>
            </w:r>
          </w:p>
        </w:tc>
        <w:tc>
          <w:tcPr>
            <w:tcW w:w="899" w:type="dxa"/>
            <w:noWrap w:val="0"/>
            <w:vAlign w:val="center"/>
          </w:tcPr>
          <w:p>
            <w:pPr>
              <w:pStyle w:val="44"/>
              <w:snapToGrid w:val="0"/>
              <w:rPr>
                <w:szCs w:val="21"/>
              </w:rPr>
            </w:pPr>
            <w:r>
              <w:rPr>
                <w:szCs w:val="21"/>
              </w:rPr>
              <w:t>目标值</w:t>
            </w:r>
          </w:p>
        </w:tc>
        <w:tc>
          <w:tcPr>
            <w:tcW w:w="1045" w:type="dxa"/>
            <w:noWrap w:val="0"/>
            <w:vAlign w:val="center"/>
          </w:tcPr>
          <w:p>
            <w:pPr>
              <w:pStyle w:val="44"/>
              <w:snapToGrid w:val="0"/>
              <w:rPr>
                <w:szCs w:val="21"/>
              </w:rPr>
            </w:pPr>
            <w:r>
              <w:rPr>
                <w:szCs w:val="21"/>
              </w:rPr>
              <w:t>实际值</w:t>
            </w:r>
          </w:p>
        </w:tc>
        <w:tc>
          <w:tcPr>
            <w:tcW w:w="759" w:type="dxa"/>
            <w:noWrap w:val="0"/>
            <w:vAlign w:val="center"/>
          </w:tcPr>
          <w:p>
            <w:pPr>
              <w:pStyle w:val="44"/>
              <w:snapToGrid w:val="0"/>
              <w:rPr>
                <w:szCs w:val="21"/>
              </w:rPr>
            </w:pPr>
            <w:r>
              <w:rPr>
                <w:szCs w:val="21"/>
              </w:rPr>
              <w:t>完成情况情况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531" w:type="dxa"/>
            <w:noWrap w:val="0"/>
            <w:vAlign w:val="center"/>
          </w:tcPr>
          <w:p>
            <w:pPr>
              <w:pStyle w:val="44"/>
              <w:snapToGrid w:val="0"/>
              <w:rPr>
                <w:szCs w:val="21"/>
              </w:rPr>
            </w:pPr>
            <w:r>
              <w:rPr>
                <w:szCs w:val="21"/>
              </w:rPr>
              <w:t>1</w:t>
            </w:r>
          </w:p>
        </w:tc>
        <w:tc>
          <w:tcPr>
            <w:tcW w:w="1685" w:type="dxa"/>
            <w:noWrap w:val="0"/>
            <w:vAlign w:val="center"/>
          </w:tcPr>
          <w:p>
            <w:pPr>
              <w:pStyle w:val="44"/>
              <w:snapToGrid w:val="0"/>
              <w:jc w:val="center"/>
              <w:rPr>
                <w:szCs w:val="21"/>
              </w:rPr>
            </w:pPr>
            <w:r>
              <w:rPr>
                <w:rFonts w:hint="eastAsia" w:ascii="宋体"/>
                <w:szCs w:val="21"/>
              </w:rPr>
              <w:t>降低单位产品电耗</w:t>
            </w:r>
          </w:p>
        </w:tc>
        <w:tc>
          <w:tcPr>
            <w:tcW w:w="899" w:type="dxa"/>
            <w:noWrap w:val="0"/>
            <w:vAlign w:val="center"/>
          </w:tcPr>
          <w:p>
            <w:pPr>
              <w:spacing w:beforeLines="20" w:afterLines="20"/>
              <w:jc w:val="center"/>
              <w:textAlignment w:val="center"/>
              <w:rPr>
                <w:rFonts w:hint="default" w:eastAsiaTheme="minorEastAsia"/>
                <w:szCs w:val="21"/>
                <w:lang w:val="en-US" w:eastAsia="zh-CN"/>
              </w:rPr>
            </w:pPr>
            <w:r>
              <w:rPr>
                <w:rFonts w:hint="eastAsia" w:ascii="Times New Roman" w:hAnsi="Times New Roman" w:cs="Times New Roman"/>
                <w:sz w:val="21"/>
                <w:szCs w:val="21"/>
                <w:lang w:val="en-US" w:eastAsia="zh-CN"/>
              </w:rPr>
              <w:t>10.69</w:t>
            </w:r>
          </w:p>
        </w:tc>
        <w:tc>
          <w:tcPr>
            <w:tcW w:w="962" w:type="dxa"/>
            <w:noWrap w:val="0"/>
            <w:vAlign w:val="center"/>
          </w:tcPr>
          <w:p>
            <w:pPr>
              <w:spacing w:beforeLines="20" w:afterLines="20"/>
              <w:jc w:val="center"/>
              <w:textAlignment w:val="center"/>
              <w:rPr>
                <w:rFonts w:hint="default" w:eastAsiaTheme="minorEastAsia"/>
                <w:szCs w:val="21"/>
                <w:lang w:val="en-US" w:eastAsia="zh-CN"/>
              </w:rPr>
            </w:pPr>
            <w:r>
              <w:rPr>
                <w:rFonts w:hint="eastAsia" w:ascii="Times New Roman" w:hAnsi="Times New Roman" w:cs="Times New Roman"/>
                <w:sz w:val="21"/>
                <w:szCs w:val="21"/>
                <w:lang w:val="en-US" w:eastAsia="zh-CN"/>
              </w:rPr>
              <w:t>10.6</w:t>
            </w:r>
          </w:p>
        </w:tc>
        <w:tc>
          <w:tcPr>
            <w:tcW w:w="993"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10.6</w:t>
            </w:r>
          </w:p>
        </w:tc>
        <w:tc>
          <w:tcPr>
            <w:tcW w:w="749" w:type="dxa"/>
            <w:noWrap w:val="0"/>
            <w:vAlign w:val="center"/>
          </w:tcPr>
          <w:p>
            <w:pPr>
              <w:pStyle w:val="44"/>
              <w:snapToGrid w:val="0"/>
              <w:jc w:val="center"/>
              <w:rPr>
                <w:szCs w:val="21"/>
              </w:rPr>
            </w:pPr>
            <w:r>
              <w:rPr>
                <w:szCs w:val="21"/>
              </w:rPr>
              <w:t>完成</w:t>
            </w:r>
          </w:p>
        </w:tc>
        <w:tc>
          <w:tcPr>
            <w:tcW w:w="899"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10.5</w:t>
            </w:r>
            <w:r>
              <w:rPr>
                <w:rFonts w:ascii="Times New Roman" w:hAnsi="Times New Roman" w:cs="Times New Roman" w:eastAsiaTheme="minorEastAsia"/>
                <w:sz w:val="21"/>
                <w:szCs w:val="21"/>
              </w:rPr>
              <w:t xml:space="preserve"> </w:t>
            </w:r>
          </w:p>
        </w:tc>
        <w:tc>
          <w:tcPr>
            <w:tcW w:w="1045"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10.6</w:t>
            </w:r>
          </w:p>
        </w:tc>
        <w:tc>
          <w:tcPr>
            <w:tcW w:w="759" w:type="dxa"/>
            <w:noWrap w:val="0"/>
            <w:vAlign w:val="center"/>
          </w:tcPr>
          <w:p>
            <w:pPr>
              <w:pStyle w:val="44"/>
              <w:snapToGrid w:val="0"/>
              <w:jc w:val="center"/>
              <w:rPr>
                <w:szCs w:val="21"/>
              </w:rPr>
            </w:pPr>
            <w:r>
              <w:rPr>
                <w:rFonts w:hint="eastAsia"/>
                <w:szCs w:val="21"/>
                <w:lang w:val="en-US" w:eastAsia="zh-CN"/>
              </w:rPr>
              <w:t>未</w:t>
            </w:r>
            <w:r>
              <w:rPr>
                <w:szCs w:val="21"/>
              </w:rPr>
              <w:t>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2" w:hRule="atLeast"/>
          <w:jc w:val="center"/>
        </w:trPr>
        <w:tc>
          <w:tcPr>
            <w:tcW w:w="531" w:type="dxa"/>
            <w:noWrap w:val="0"/>
            <w:vAlign w:val="center"/>
          </w:tcPr>
          <w:p>
            <w:pPr>
              <w:pStyle w:val="44"/>
              <w:snapToGrid w:val="0"/>
              <w:rPr>
                <w:szCs w:val="21"/>
              </w:rPr>
            </w:pPr>
            <w:r>
              <w:rPr>
                <w:rFonts w:hint="eastAsia"/>
                <w:szCs w:val="21"/>
              </w:rPr>
              <w:t>2</w:t>
            </w:r>
          </w:p>
        </w:tc>
        <w:tc>
          <w:tcPr>
            <w:tcW w:w="1685" w:type="dxa"/>
            <w:noWrap w:val="0"/>
            <w:vAlign w:val="center"/>
          </w:tcPr>
          <w:p>
            <w:pPr>
              <w:pStyle w:val="44"/>
              <w:snapToGrid w:val="0"/>
              <w:jc w:val="center"/>
              <w:rPr>
                <w:szCs w:val="21"/>
              </w:rPr>
            </w:pPr>
            <w:r>
              <w:rPr>
                <w:rFonts w:hint="eastAsia" w:ascii="宋体"/>
                <w:szCs w:val="21"/>
              </w:rPr>
              <w:t>固体废弃物再生利用率</w:t>
            </w:r>
          </w:p>
        </w:tc>
        <w:tc>
          <w:tcPr>
            <w:tcW w:w="899" w:type="dxa"/>
            <w:noWrap w:val="0"/>
            <w:vAlign w:val="center"/>
          </w:tcPr>
          <w:p>
            <w:pPr>
              <w:pStyle w:val="44"/>
              <w:snapToGrid w:val="0"/>
              <w:rPr>
                <w:rFonts w:hint="eastAsia"/>
                <w:kern w:val="0"/>
                <w:szCs w:val="21"/>
              </w:rPr>
            </w:pPr>
            <w:r>
              <w:rPr>
                <w:rFonts w:hint="eastAsia"/>
                <w:kern w:val="0"/>
                <w:szCs w:val="21"/>
                <w:lang w:val="en-US" w:eastAsia="zh-CN"/>
              </w:rPr>
              <w:t>0</w:t>
            </w:r>
          </w:p>
        </w:tc>
        <w:tc>
          <w:tcPr>
            <w:tcW w:w="962" w:type="dxa"/>
            <w:noWrap w:val="0"/>
            <w:vAlign w:val="center"/>
          </w:tcPr>
          <w:p>
            <w:pPr>
              <w:pStyle w:val="44"/>
              <w:snapToGrid w:val="0"/>
              <w:rPr>
                <w:rFonts w:hint="default" w:eastAsiaTheme="minorEastAsia"/>
                <w:szCs w:val="21"/>
                <w:lang w:val="en-US" w:eastAsia="zh-CN"/>
              </w:rPr>
            </w:pPr>
            <w:r>
              <w:rPr>
                <w:rFonts w:hint="eastAsia"/>
                <w:szCs w:val="21"/>
                <w:lang w:val="en-US" w:eastAsia="zh-CN"/>
              </w:rPr>
              <w:t>80%</w:t>
            </w:r>
          </w:p>
        </w:tc>
        <w:tc>
          <w:tcPr>
            <w:tcW w:w="993" w:type="dxa"/>
            <w:noWrap w:val="0"/>
            <w:vAlign w:val="center"/>
          </w:tcPr>
          <w:p>
            <w:pPr>
              <w:pStyle w:val="44"/>
              <w:snapToGrid w:val="0"/>
              <w:rPr>
                <w:rFonts w:hint="default" w:eastAsiaTheme="minorEastAsia"/>
                <w:szCs w:val="21"/>
                <w:lang w:val="en-US" w:eastAsia="zh-CN"/>
              </w:rPr>
            </w:pPr>
            <w:r>
              <w:rPr>
                <w:rFonts w:hint="eastAsia"/>
                <w:szCs w:val="21"/>
                <w:lang w:val="en-US" w:eastAsia="zh-CN"/>
              </w:rPr>
              <w:t>95%</w:t>
            </w:r>
          </w:p>
        </w:tc>
        <w:tc>
          <w:tcPr>
            <w:tcW w:w="749" w:type="dxa"/>
            <w:noWrap w:val="0"/>
            <w:vAlign w:val="center"/>
          </w:tcPr>
          <w:p>
            <w:pPr>
              <w:pStyle w:val="44"/>
              <w:snapToGrid w:val="0"/>
              <w:jc w:val="center"/>
              <w:rPr>
                <w:szCs w:val="21"/>
              </w:rPr>
            </w:pPr>
            <w:r>
              <w:rPr>
                <w:szCs w:val="21"/>
              </w:rPr>
              <w:t>完成</w:t>
            </w:r>
          </w:p>
        </w:tc>
        <w:tc>
          <w:tcPr>
            <w:tcW w:w="899" w:type="dxa"/>
            <w:noWrap w:val="0"/>
            <w:vAlign w:val="center"/>
          </w:tcPr>
          <w:p>
            <w:pPr>
              <w:pStyle w:val="44"/>
              <w:snapToGrid w:val="0"/>
              <w:rPr>
                <w:rFonts w:hint="default" w:eastAsiaTheme="minorEastAsia"/>
                <w:szCs w:val="21"/>
                <w:lang w:val="en-US" w:eastAsia="zh-CN"/>
              </w:rPr>
            </w:pPr>
            <w:r>
              <w:rPr>
                <w:rFonts w:hint="eastAsia"/>
                <w:szCs w:val="21"/>
                <w:lang w:val="en-US" w:eastAsia="zh-CN"/>
              </w:rPr>
              <w:t>90%</w:t>
            </w:r>
          </w:p>
        </w:tc>
        <w:tc>
          <w:tcPr>
            <w:tcW w:w="1045" w:type="dxa"/>
            <w:noWrap w:val="0"/>
            <w:vAlign w:val="center"/>
          </w:tcPr>
          <w:p>
            <w:pPr>
              <w:pStyle w:val="44"/>
              <w:snapToGrid w:val="0"/>
              <w:rPr>
                <w:rFonts w:hint="default" w:eastAsiaTheme="minorEastAsia"/>
                <w:szCs w:val="21"/>
                <w:lang w:val="en-US" w:eastAsia="zh-CN"/>
              </w:rPr>
            </w:pPr>
            <w:r>
              <w:rPr>
                <w:rFonts w:hint="eastAsia"/>
                <w:szCs w:val="21"/>
                <w:lang w:val="en-US" w:eastAsia="zh-CN"/>
              </w:rPr>
              <w:t>95%</w:t>
            </w:r>
          </w:p>
        </w:tc>
        <w:tc>
          <w:tcPr>
            <w:tcW w:w="759" w:type="dxa"/>
            <w:noWrap w:val="0"/>
            <w:vAlign w:val="center"/>
          </w:tcPr>
          <w:p>
            <w:pPr>
              <w:pStyle w:val="44"/>
              <w:snapToGrid w:val="0"/>
              <w:jc w:val="center"/>
              <w:rPr>
                <w:szCs w:val="21"/>
              </w:rPr>
            </w:pPr>
            <w:r>
              <w:rPr>
                <w:szCs w:val="21"/>
              </w:rPr>
              <w:t>完成</w:t>
            </w:r>
          </w:p>
        </w:tc>
      </w:tr>
    </w:tbl>
    <w:p>
      <w:pPr>
        <w:spacing w:line="360" w:lineRule="auto"/>
        <w:ind w:firstLine="482"/>
        <w:rPr>
          <w:rFonts w:ascii="Times New Roman" w:hAnsi="宋体" w:eastAsia="宋体"/>
          <w:sz w:val="24"/>
          <w:szCs w:val="24"/>
        </w:rPr>
      </w:pPr>
      <w:r>
        <w:rPr>
          <w:rFonts w:ascii="Times New Roman" w:hAnsi="宋体" w:eastAsia="宋体"/>
          <w:sz w:val="24"/>
          <w:szCs w:val="24"/>
        </w:rPr>
        <w:t>从上表可以看出，由于企业对本轮审核提出的方案实施得力，使截至报告编写完成时，本轮审核提出的清洁生产近期目标均已达到。</w:t>
      </w:r>
    </w:p>
    <w:p>
      <w:pPr>
        <w:spacing w:line="360" w:lineRule="auto"/>
        <w:ind w:firstLine="482"/>
        <w:rPr>
          <w:rFonts w:ascii="Times New Roman" w:hAnsi="宋体" w:eastAsia="宋体"/>
          <w:sz w:val="24"/>
          <w:szCs w:val="24"/>
        </w:rPr>
      </w:pPr>
    </w:p>
    <w:p>
      <w:pPr>
        <w:pStyle w:val="3"/>
        <w:widowControl w:val="0"/>
        <w:adjustRightInd/>
        <w:snapToGrid/>
        <w:spacing w:beforeLines="50" w:after="0" w:line="360" w:lineRule="auto"/>
        <w:rPr>
          <w:rFonts w:ascii="Times New Roman" w:hAnsi="Times New Roman"/>
          <w:sz w:val="30"/>
          <w:szCs w:val="30"/>
        </w:rPr>
      </w:pPr>
      <w:bookmarkStart w:id="285" w:name="_Toc525138429"/>
      <w:bookmarkStart w:id="286" w:name="_Toc525138285"/>
      <w:bookmarkStart w:id="287" w:name="_Toc11630"/>
      <w:bookmarkStart w:id="288" w:name="_Toc31223"/>
      <w:bookmarkStart w:id="289" w:name="_Toc499903515"/>
      <w:bookmarkStart w:id="290" w:name="_Toc309399557"/>
      <w:bookmarkStart w:id="291" w:name="_Toc499903518"/>
      <w:bookmarkStart w:id="292" w:name="_Toc525138288"/>
      <w:bookmarkStart w:id="293" w:name="_Toc525138432"/>
      <w:r>
        <w:rPr>
          <w:rFonts w:hint="eastAsia" w:ascii="Times New Roman" w:hAnsi="Times New Roman"/>
          <w:sz w:val="30"/>
          <w:szCs w:val="30"/>
        </w:rPr>
        <w:t>7.4拟实施方案实施计划与效益预测</w:t>
      </w:r>
      <w:bookmarkEnd w:id="285"/>
      <w:bookmarkEnd w:id="286"/>
      <w:bookmarkEnd w:id="287"/>
      <w:bookmarkEnd w:id="288"/>
      <w:bookmarkEnd w:id="289"/>
    </w:p>
    <w:p>
      <w:pPr>
        <w:pStyle w:val="4"/>
        <w:widowControl w:val="0"/>
        <w:spacing w:beforeLines="50" w:after="0" w:line="360" w:lineRule="auto"/>
        <w:rPr>
          <w:rFonts w:ascii="Times New Roman" w:hAnsi="Times New Roman" w:eastAsia="宋体" w:cs="Courier New"/>
          <w:sz w:val="28"/>
          <w:szCs w:val="30"/>
        </w:rPr>
      </w:pPr>
      <w:bookmarkStart w:id="294" w:name="_Toc424416201"/>
      <w:bookmarkStart w:id="295" w:name="_Toc499903516"/>
      <w:bookmarkStart w:id="296" w:name="_Toc9720"/>
      <w:bookmarkStart w:id="297" w:name="_Toc525138286"/>
      <w:bookmarkStart w:id="298" w:name="_Toc10573"/>
      <w:bookmarkStart w:id="299" w:name="_Toc525138430"/>
      <w:r>
        <w:rPr>
          <w:rFonts w:hint="eastAsia" w:ascii="Times New Roman" w:hAnsi="Times New Roman" w:eastAsia="宋体" w:cs="Courier New"/>
          <w:sz w:val="28"/>
          <w:szCs w:val="30"/>
        </w:rPr>
        <w:t>7</w:t>
      </w:r>
      <w:r>
        <w:rPr>
          <w:rFonts w:ascii="Times New Roman" w:hAnsi="Times New Roman" w:eastAsia="宋体" w:cs="Courier New"/>
          <w:sz w:val="28"/>
          <w:szCs w:val="30"/>
        </w:rPr>
        <w:t>.</w:t>
      </w:r>
      <w:r>
        <w:rPr>
          <w:rFonts w:hint="eastAsia" w:ascii="Times New Roman" w:hAnsi="Times New Roman" w:eastAsia="宋体" w:cs="Courier New"/>
          <w:sz w:val="28"/>
          <w:szCs w:val="30"/>
        </w:rPr>
        <w:t>4</w:t>
      </w:r>
      <w:r>
        <w:rPr>
          <w:rFonts w:ascii="Times New Roman" w:hAnsi="Times New Roman" w:eastAsia="宋体" w:cs="Courier New"/>
          <w:sz w:val="28"/>
          <w:szCs w:val="30"/>
        </w:rPr>
        <w:t>.1拟实施方案</w:t>
      </w:r>
      <w:r>
        <w:rPr>
          <w:rFonts w:hint="eastAsia" w:ascii="Times New Roman" w:hAnsi="Times New Roman" w:eastAsia="宋体" w:cs="Courier New"/>
          <w:sz w:val="28"/>
          <w:szCs w:val="30"/>
        </w:rPr>
        <w:t>实施</w:t>
      </w:r>
      <w:r>
        <w:rPr>
          <w:rFonts w:ascii="Times New Roman" w:hAnsi="Times New Roman" w:eastAsia="宋体" w:cs="Courier New"/>
          <w:sz w:val="28"/>
          <w:szCs w:val="30"/>
        </w:rPr>
        <w:t>计划</w:t>
      </w:r>
      <w:bookmarkEnd w:id="294"/>
      <w:bookmarkEnd w:id="295"/>
      <w:bookmarkEnd w:id="296"/>
      <w:bookmarkEnd w:id="297"/>
      <w:bookmarkEnd w:id="298"/>
      <w:bookmarkEnd w:id="299"/>
    </w:p>
    <w:p>
      <w:pPr>
        <w:spacing w:line="360" w:lineRule="auto"/>
        <w:ind w:firstLine="482"/>
        <w:rPr>
          <w:rFonts w:ascii="Times New Roman" w:hAnsi="宋体" w:eastAsia="宋体"/>
          <w:sz w:val="24"/>
          <w:szCs w:val="24"/>
        </w:rPr>
      </w:pPr>
      <w:r>
        <w:rPr>
          <w:rFonts w:ascii="Times New Roman" w:hAnsi="宋体" w:eastAsia="宋体"/>
          <w:sz w:val="24"/>
          <w:szCs w:val="24"/>
        </w:rPr>
        <w:t>截至目前，尚未实施完成的方案有：中高费方案“F2-</w:t>
      </w:r>
      <w:r>
        <w:rPr>
          <w:rFonts w:hint="eastAsia" w:ascii="Times New Roman" w:hAnsi="宋体" w:eastAsia="宋体"/>
          <w:sz w:val="24"/>
          <w:szCs w:val="24"/>
          <w:lang w:val="en-US" w:eastAsia="zh-CN"/>
        </w:rPr>
        <w:t>4</w:t>
      </w:r>
      <w:r>
        <w:rPr>
          <w:rFonts w:ascii="Times New Roman" w:hAnsi="宋体" w:eastAsia="宋体"/>
          <w:sz w:val="24"/>
          <w:szCs w:val="24"/>
        </w:rPr>
        <w:t>：</w:t>
      </w:r>
      <w:r>
        <w:rPr>
          <w:rFonts w:hint="eastAsia" w:ascii="Times New Roman" w:hAnsi="宋体" w:eastAsia="宋体"/>
          <w:sz w:val="24"/>
          <w:szCs w:val="24"/>
          <w:lang w:eastAsia="zh-CN"/>
        </w:rPr>
        <w:t>自动混料系统</w:t>
      </w:r>
      <w:r>
        <w:rPr>
          <w:rFonts w:ascii="Times New Roman" w:hAnsi="宋体" w:eastAsia="宋体"/>
          <w:sz w:val="24"/>
          <w:szCs w:val="24"/>
        </w:rPr>
        <w:t>”。分析方案尚未实施完成的主要原因是：从本轮审核从开始到主管部门要求报告提交的时间较短，而有些方案的实施，特别是中高费方案的实施往往需要时间，这种时间上的矛盾导致了报告提交时方案尚未实施完成。</w:t>
      </w:r>
    </w:p>
    <w:p>
      <w:pPr>
        <w:spacing w:line="360" w:lineRule="auto"/>
        <w:ind w:firstLine="482"/>
        <w:rPr>
          <w:rFonts w:ascii="Times New Roman" w:hAnsi="宋体" w:eastAsia="宋体"/>
          <w:sz w:val="24"/>
          <w:szCs w:val="24"/>
        </w:rPr>
      </w:pPr>
      <w:r>
        <w:rPr>
          <w:rFonts w:ascii="Times New Roman" w:hAnsi="宋体" w:eastAsia="宋体"/>
          <w:sz w:val="24"/>
          <w:szCs w:val="24"/>
        </w:rPr>
        <w:t>对于尚未实施完成的无低费方案，审核要求企业加快方案实施进度，争取在年底前完成。对于尚未实施完成的方案，企业已制定实施计划，详见表 7-</w:t>
      </w:r>
      <w:r>
        <w:rPr>
          <w:rFonts w:hint="eastAsia" w:ascii="Times New Roman" w:hAnsi="宋体" w:eastAsia="宋体"/>
          <w:sz w:val="24"/>
          <w:szCs w:val="24"/>
          <w:lang w:val="en-US" w:eastAsia="zh-CN"/>
        </w:rPr>
        <w:t>5</w:t>
      </w:r>
      <w:r>
        <w:rPr>
          <w:rFonts w:ascii="Times New Roman" w:hAnsi="宋体" w:eastAsia="宋体"/>
          <w:sz w:val="24"/>
          <w:szCs w:val="24"/>
        </w:rPr>
        <w:t>。</w:t>
      </w:r>
    </w:p>
    <w:p>
      <w:pPr>
        <w:spacing w:before="120"/>
        <w:jc w:val="center"/>
        <w:rPr>
          <w:rFonts w:ascii="Times New Roman" w:hAnsi="宋体" w:eastAsia="宋体"/>
          <w:b/>
          <w:sz w:val="24"/>
          <w:szCs w:val="24"/>
        </w:rPr>
      </w:pPr>
      <w:r>
        <w:rPr>
          <w:rFonts w:hint="eastAsia" w:ascii="Times New Roman" w:hAnsi="宋体" w:eastAsia="宋体"/>
          <w:b/>
          <w:sz w:val="24"/>
          <w:szCs w:val="24"/>
        </w:rPr>
        <w:t>表7-</w:t>
      </w:r>
      <w:r>
        <w:rPr>
          <w:rFonts w:hint="eastAsia" w:ascii="Times New Roman" w:hAnsi="宋体" w:eastAsia="宋体"/>
          <w:b/>
          <w:sz w:val="24"/>
          <w:szCs w:val="24"/>
          <w:lang w:val="en-US" w:eastAsia="zh-CN"/>
        </w:rPr>
        <w:t>5</w:t>
      </w:r>
      <w:r>
        <w:rPr>
          <w:rFonts w:hint="eastAsia" w:ascii="Times New Roman" w:hAnsi="宋体" w:eastAsia="宋体"/>
          <w:b/>
          <w:sz w:val="24"/>
          <w:szCs w:val="24"/>
        </w:rPr>
        <w:t xml:space="preserve">  “</w:t>
      </w:r>
      <w:r>
        <w:rPr>
          <w:rFonts w:ascii="Times New Roman" w:hAnsi="宋体" w:eastAsia="宋体"/>
          <w:b/>
          <w:sz w:val="24"/>
          <w:szCs w:val="24"/>
        </w:rPr>
        <w:t>F2-</w:t>
      </w:r>
      <w:r>
        <w:rPr>
          <w:rFonts w:hint="eastAsia" w:ascii="Times New Roman" w:hAnsi="宋体" w:eastAsia="宋体"/>
          <w:b/>
          <w:sz w:val="24"/>
          <w:szCs w:val="24"/>
          <w:lang w:val="en-US" w:eastAsia="zh-CN"/>
        </w:rPr>
        <w:t>4</w:t>
      </w:r>
      <w:r>
        <w:rPr>
          <w:rFonts w:hint="eastAsia" w:ascii="Times New Roman" w:hAnsi="宋体" w:eastAsia="宋体"/>
          <w:b/>
          <w:sz w:val="24"/>
          <w:szCs w:val="24"/>
        </w:rPr>
        <w:t>：</w:t>
      </w:r>
      <w:r>
        <w:rPr>
          <w:rFonts w:hint="eastAsia" w:ascii="Times New Roman" w:hAnsi="宋体" w:eastAsia="宋体"/>
          <w:b/>
          <w:sz w:val="24"/>
          <w:szCs w:val="24"/>
          <w:lang w:val="en-US" w:eastAsia="zh-CN"/>
        </w:rPr>
        <w:t>自动混料系统</w:t>
      </w:r>
      <w:r>
        <w:rPr>
          <w:rFonts w:ascii="Times New Roman" w:hAnsi="宋体" w:eastAsia="宋体"/>
          <w:b/>
          <w:sz w:val="24"/>
          <w:szCs w:val="24"/>
        </w:rPr>
        <w:t>”实施进度表</w:t>
      </w:r>
    </w:p>
    <w:tbl>
      <w:tblPr>
        <w:tblStyle w:val="62"/>
        <w:tblW w:w="7851"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00"/>
        <w:gridCol w:w="1226"/>
        <w:gridCol w:w="699"/>
        <w:gridCol w:w="698"/>
        <w:gridCol w:w="698"/>
        <w:gridCol w:w="698"/>
        <w:gridCol w:w="2091"/>
        <w:gridCol w:w="114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vMerge w:val="restart"/>
            <w:tcBorders>
              <w:bottom w:val="single" w:color="000000" w:sz="6" w:space="0"/>
              <w:right w:val="single" w:color="000000" w:sz="6" w:space="0"/>
            </w:tcBorders>
          </w:tcPr>
          <w:p>
            <w:pPr>
              <w:pStyle w:val="64"/>
              <w:spacing w:before="10"/>
              <w:rPr>
                <w:rFonts w:ascii="楷体"/>
                <w:b/>
                <w:sz w:val="14"/>
                <w:lang w:eastAsia="zh-CN"/>
              </w:rPr>
            </w:pPr>
          </w:p>
          <w:p>
            <w:pPr>
              <w:pStyle w:val="64"/>
              <w:spacing w:before="1" w:line="364" w:lineRule="auto"/>
              <w:ind w:left="193" w:right="170"/>
              <w:rPr>
                <w:sz w:val="21"/>
                <w:lang w:eastAsia="en-US"/>
              </w:rPr>
            </w:pPr>
            <w:r>
              <w:rPr>
                <w:sz w:val="21"/>
                <w:lang w:eastAsia="en-US"/>
              </w:rPr>
              <w:t>序号</w:t>
            </w:r>
          </w:p>
        </w:tc>
        <w:tc>
          <w:tcPr>
            <w:tcW w:w="1226" w:type="dxa"/>
            <w:vMerge w:val="restart"/>
            <w:tcBorders>
              <w:left w:val="single" w:color="000000" w:sz="6" w:space="0"/>
              <w:bottom w:val="single" w:color="000000" w:sz="6" w:space="0"/>
              <w:right w:val="single" w:color="000000" w:sz="6" w:space="0"/>
            </w:tcBorders>
          </w:tcPr>
          <w:p>
            <w:pPr>
              <w:pStyle w:val="64"/>
              <w:rPr>
                <w:rFonts w:ascii="楷体"/>
                <w:b/>
                <w:sz w:val="20"/>
                <w:lang w:eastAsia="en-US"/>
              </w:rPr>
            </w:pPr>
          </w:p>
          <w:p>
            <w:pPr>
              <w:pStyle w:val="64"/>
              <w:spacing w:before="138"/>
              <w:ind w:left="407"/>
              <w:rPr>
                <w:sz w:val="21"/>
                <w:lang w:eastAsia="en-US"/>
              </w:rPr>
            </w:pPr>
            <w:r>
              <w:rPr>
                <w:sz w:val="21"/>
                <w:lang w:eastAsia="en-US"/>
              </w:rPr>
              <w:t>内容</w:t>
            </w:r>
          </w:p>
        </w:tc>
        <w:tc>
          <w:tcPr>
            <w:tcW w:w="4884" w:type="dxa"/>
            <w:gridSpan w:val="5"/>
            <w:tcBorders>
              <w:left w:val="single" w:color="000000" w:sz="6" w:space="0"/>
              <w:bottom w:val="single" w:color="000000" w:sz="6" w:space="0"/>
              <w:right w:val="single" w:color="000000" w:sz="6" w:space="0"/>
            </w:tcBorders>
          </w:tcPr>
          <w:p>
            <w:pPr>
              <w:pStyle w:val="64"/>
              <w:spacing w:before="123"/>
              <w:ind w:right="1013"/>
              <w:jc w:val="center"/>
              <w:rPr>
                <w:rFonts w:hint="default" w:eastAsia="宋体"/>
                <w:sz w:val="21"/>
                <w:lang w:val="en-US" w:eastAsia="zh-CN"/>
              </w:rPr>
            </w:pPr>
            <w:r>
              <w:rPr>
                <w:rFonts w:ascii="Times New Roman" w:eastAsia="Times New Roman"/>
                <w:sz w:val="21"/>
                <w:lang w:eastAsia="en-US"/>
              </w:rPr>
              <w:t>2</w:t>
            </w:r>
            <w:r>
              <w:rPr>
                <w:rFonts w:hint="eastAsia"/>
                <w:sz w:val="21"/>
                <w:lang w:val="en-US" w:eastAsia="zh-CN"/>
              </w:rPr>
              <w:t>2024年</w:t>
            </w:r>
          </w:p>
        </w:tc>
        <w:tc>
          <w:tcPr>
            <w:tcW w:w="1141" w:type="dxa"/>
            <w:vMerge w:val="restart"/>
            <w:tcBorders>
              <w:left w:val="single" w:color="000000" w:sz="6" w:space="0"/>
              <w:bottom w:val="single" w:color="000000" w:sz="6" w:space="0"/>
            </w:tcBorders>
          </w:tcPr>
          <w:p>
            <w:pPr>
              <w:pStyle w:val="64"/>
              <w:spacing w:before="10"/>
              <w:rPr>
                <w:rFonts w:ascii="楷体"/>
                <w:b/>
                <w:sz w:val="14"/>
                <w:lang w:eastAsia="en-US"/>
              </w:rPr>
            </w:pPr>
          </w:p>
          <w:p>
            <w:pPr>
              <w:pStyle w:val="64"/>
              <w:spacing w:before="1" w:line="364" w:lineRule="auto"/>
              <w:ind w:left="329" w:right="72" w:hanging="212"/>
              <w:rPr>
                <w:sz w:val="21"/>
                <w:lang w:eastAsia="en-US"/>
              </w:rPr>
            </w:pPr>
            <w:r>
              <w:rPr>
                <w:sz w:val="21"/>
                <w:lang w:eastAsia="en-US"/>
              </w:rPr>
              <w:t>负责单位</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600" w:type="dxa"/>
            <w:vMerge w:val="continue"/>
            <w:tcBorders>
              <w:top w:val="nil"/>
              <w:bottom w:val="single" w:color="000000" w:sz="6" w:space="0"/>
              <w:right w:val="single" w:color="000000" w:sz="6" w:space="0"/>
            </w:tcBorders>
          </w:tcPr>
          <w:p>
            <w:pPr>
              <w:autoSpaceDE w:val="0"/>
              <w:autoSpaceDN w:val="0"/>
              <w:rPr>
                <w:kern w:val="0"/>
                <w:sz w:val="2"/>
                <w:szCs w:val="2"/>
                <w:lang w:eastAsia="en-US"/>
              </w:rPr>
            </w:pPr>
          </w:p>
        </w:tc>
        <w:tc>
          <w:tcPr>
            <w:tcW w:w="1226" w:type="dxa"/>
            <w:vMerge w:val="continue"/>
            <w:tcBorders>
              <w:top w:val="nil"/>
              <w:left w:val="single" w:color="000000" w:sz="6" w:space="0"/>
              <w:bottom w:val="single" w:color="000000" w:sz="6" w:space="0"/>
              <w:right w:val="single" w:color="000000" w:sz="6" w:space="0"/>
            </w:tcBorders>
          </w:tcPr>
          <w:p>
            <w:pPr>
              <w:autoSpaceDE w:val="0"/>
              <w:autoSpaceDN w:val="0"/>
              <w:rPr>
                <w:kern w:val="0"/>
                <w:sz w:val="2"/>
                <w:szCs w:val="2"/>
                <w:lang w:eastAsia="en-US"/>
              </w:rPr>
            </w:pPr>
          </w:p>
        </w:tc>
        <w:tc>
          <w:tcPr>
            <w:tcW w:w="699" w:type="dxa"/>
            <w:tcBorders>
              <w:top w:val="single" w:color="000000" w:sz="6" w:space="0"/>
              <w:left w:val="single" w:color="000000" w:sz="6" w:space="0"/>
              <w:bottom w:val="single" w:color="000000" w:sz="6" w:space="0"/>
              <w:right w:val="single" w:color="000000" w:sz="6" w:space="0"/>
            </w:tcBorders>
          </w:tcPr>
          <w:p>
            <w:pPr>
              <w:pStyle w:val="64"/>
              <w:spacing w:before="121"/>
              <w:ind w:left="172"/>
              <w:rPr>
                <w:sz w:val="21"/>
                <w:lang w:eastAsia="en-US"/>
              </w:rPr>
            </w:pPr>
            <w:r>
              <w:rPr>
                <w:rFonts w:hint="eastAsia" w:ascii="Times New Roman" w:eastAsia="宋体"/>
                <w:sz w:val="21"/>
                <w:lang w:val="en-US" w:eastAsia="zh-CN"/>
              </w:rPr>
              <w:t>1</w:t>
            </w:r>
            <w:r>
              <w:rPr>
                <w:sz w:val="21"/>
                <w:lang w:eastAsia="en-US"/>
              </w:rPr>
              <w:t>月</w:t>
            </w:r>
          </w:p>
        </w:tc>
        <w:tc>
          <w:tcPr>
            <w:tcW w:w="698" w:type="dxa"/>
            <w:tcBorders>
              <w:top w:val="single" w:color="000000" w:sz="6" w:space="0"/>
              <w:left w:val="single" w:color="000000" w:sz="6" w:space="0"/>
              <w:bottom w:val="single" w:color="000000" w:sz="6" w:space="0"/>
              <w:right w:val="single" w:color="000000" w:sz="6" w:space="0"/>
            </w:tcBorders>
          </w:tcPr>
          <w:p>
            <w:pPr>
              <w:pStyle w:val="64"/>
              <w:spacing w:before="121"/>
              <w:ind w:left="120"/>
              <w:rPr>
                <w:sz w:val="21"/>
                <w:lang w:eastAsia="en-US"/>
              </w:rPr>
            </w:pPr>
            <w:r>
              <w:rPr>
                <w:rFonts w:hint="eastAsia" w:ascii="Times New Roman" w:eastAsia="宋体"/>
                <w:sz w:val="21"/>
                <w:lang w:val="en-US" w:eastAsia="zh-CN"/>
              </w:rPr>
              <w:t>2</w:t>
            </w:r>
            <w:r>
              <w:rPr>
                <w:rFonts w:ascii="Times New Roman" w:eastAsia="Times New Roman"/>
                <w:sz w:val="21"/>
                <w:lang w:eastAsia="en-US"/>
              </w:rPr>
              <w:t xml:space="preserve"> </w:t>
            </w:r>
            <w:r>
              <w:rPr>
                <w:sz w:val="21"/>
                <w:lang w:eastAsia="en-US"/>
              </w:rPr>
              <w:t>月</w:t>
            </w:r>
          </w:p>
        </w:tc>
        <w:tc>
          <w:tcPr>
            <w:tcW w:w="698" w:type="dxa"/>
            <w:tcBorders>
              <w:top w:val="single" w:color="000000" w:sz="6" w:space="0"/>
              <w:left w:val="single" w:color="000000" w:sz="6" w:space="0"/>
              <w:bottom w:val="single" w:color="000000" w:sz="6" w:space="0"/>
              <w:right w:val="single" w:color="000000" w:sz="6" w:space="0"/>
            </w:tcBorders>
          </w:tcPr>
          <w:p>
            <w:pPr>
              <w:pStyle w:val="64"/>
              <w:spacing w:before="121"/>
              <w:ind w:left="122"/>
              <w:rPr>
                <w:sz w:val="21"/>
                <w:lang w:eastAsia="en-US"/>
              </w:rPr>
            </w:pPr>
            <w:r>
              <w:rPr>
                <w:rFonts w:hint="eastAsia" w:ascii="Times New Roman" w:eastAsia="宋体"/>
                <w:sz w:val="21"/>
                <w:lang w:val="en-US" w:eastAsia="zh-CN"/>
              </w:rPr>
              <w:t>3</w:t>
            </w:r>
            <w:r>
              <w:rPr>
                <w:sz w:val="21"/>
                <w:lang w:eastAsia="en-US"/>
              </w:rPr>
              <w:t>月</w:t>
            </w:r>
          </w:p>
        </w:tc>
        <w:tc>
          <w:tcPr>
            <w:tcW w:w="698" w:type="dxa"/>
            <w:tcBorders>
              <w:top w:val="single" w:color="000000" w:sz="6" w:space="0"/>
              <w:left w:val="single" w:color="000000" w:sz="6" w:space="0"/>
              <w:bottom w:val="single" w:color="000000" w:sz="6" w:space="0"/>
              <w:right w:val="single" w:color="000000" w:sz="4" w:space="0"/>
            </w:tcBorders>
          </w:tcPr>
          <w:p>
            <w:pPr>
              <w:pStyle w:val="64"/>
              <w:spacing w:before="121"/>
              <w:ind w:left="120"/>
              <w:rPr>
                <w:sz w:val="21"/>
                <w:lang w:eastAsia="en-US"/>
              </w:rPr>
            </w:pPr>
            <w:r>
              <w:rPr>
                <w:rFonts w:hint="eastAsia" w:ascii="Times New Roman" w:eastAsia="宋体"/>
                <w:sz w:val="21"/>
                <w:lang w:val="en-US" w:eastAsia="zh-CN"/>
              </w:rPr>
              <w:t>4</w:t>
            </w:r>
            <w:r>
              <w:rPr>
                <w:rFonts w:ascii="Times New Roman" w:eastAsia="Times New Roman"/>
                <w:sz w:val="21"/>
                <w:lang w:eastAsia="en-US"/>
              </w:rPr>
              <w:t xml:space="preserve"> </w:t>
            </w:r>
            <w:r>
              <w:rPr>
                <w:sz w:val="21"/>
                <w:lang w:eastAsia="en-US"/>
              </w:rPr>
              <w:t>月</w:t>
            </w:r>
          </w:p>
        </w:tc>
        <w:tc>
          <w:tcPr>
            <w:tcW w:w="2091" w:type="dxa"/>
            <w:tcBorders>
              <w:top w:val="single" w:color="000000" w:sz="6" w:space="0"/>
              <w:left w:val="single" w:color="000000" w:sz="4" w:space="0"/>
              <w:bottom w:val="single" w:color="000000" w:sz="6" w:space="0"/>
              <w:right w:val="single" w:color="000000" w:sz="6" w:space="0"/>
            </w:tcBorders>
          </w:tcPr>
          <w:p>
            <w:pPr>
              <w:pStyle w:val="64"/>
              <w:spacing w:before="121"/>
              <w:ind w:left="249"/>
              <w:jc w:val="center"/>
              <w:rPr>
                <w:sz w:val="21"/>
                <w:lang w:eastAsia="en-US"/>
              </w:rPr>
            </w:pPr>
            <w:r>
              <w:rPr>
                <w:rFonts w:hint="eastAsia" w:ascii="Times New Roman"/>
                <w:sz w:val="21"/>
                <w:lang w:val="en-US" w:eastAsia="zh-CN"/>
              </w:rPr>
              <w:t>12</w:t>
            </w:r>
            <w:r>
              <w:rPr>
                <w:sz w:val="21"/>
                <w:lang w:eastAsia="en-US"/>
              </w:rPr>
              <w:t>月</w:t>
            </w:r>
          </w:p>
        </w:tc>
        <w:tc>
          <w:tcPr>
            <w:tcW w:w="1141" w:type="dxa"/>
            <w:vMerge w:val="continue"/>
            <w:tcBorders>
              <w:top w:val="nil"/>
              <w:left w:val="single" w:color="000000" w:sz="6" w:space="0"/>
              <w:bottom w:val="single" w:color="000000" w:sz="6" w:space="0"/>
            </w:tcBorders>
          </w:tcPr>
          <w:p>
            <w:pPr>
              <w:autoSpaceDE w:val="0"/>
              <w:autoSpaceDN w:val="0"/>
              <w:rPr>
                <w:kern w:val="0"/>
                <w:sz w:val="2"/>
                <w:szCs w:val="2"/>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tcBorders>
              <w:top w:val="single" w:color="000000" w:sz="6" w:space="0"/>
              <w:bottom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1</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123"/>
              <w:ind w:left="56" w:right="27"/>
              <w:jc w:val="center"/>
              <w:rPr>
                <w:sz w:val="21"/>
                <w:lang w:eastAsia="en-US"/>
              </w:rPr>
            </w:pPr>
            <w:r>
              <w:rPr>
                <w:sz w:val="21"/>
                <w:lang w:eastAsia="en-US"/>
              </w:rPr>
              <w:t>问题分析</w:t>
            </w:r>
          </w:p>
        </w:tc>
        <w:tc>
          <w:tcPr>
            <w:tcW w:w="699"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4" w:space="0"/>
            </w:tcBorders>
          </w:tcPr>
          <w:p>
            <w:pPr>
              <w:pStyle w:val="64"/>
              <w:rPr>
                <w:rFonts w:ascii="Times New Roman"/>
                <w:lang w:eastAsia="en-US"/>
              </w:rPr>
            </w:pPr>
          </w:p>
        </w:tc>
        <w:tc>
          <w:tcPr>
            <w:tcW w:w="2091" w:type="dxa"/>
            <w:tcBorders>
              <w:top w:val="single" w:color="000000" w:sz="6" w:space="0"/>
              <w:left w:val="single" w:color="000000" w:sz="4" w:space="0"/>
              <w:bottom w:val="single" w:color="000000" w:sz="6" w:space="0"/>
              <w:right w:val="single" w:color="000000" w:sz="6" w:space="0"/>
            </w:tcBorders>
          </w:tcPr>
          <w:p>
            <w:pPr>
              <w:pStyle w:val="64"/>
              <w:rPr>
                <w:rFonts w:ascii="Times New Roman"/>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123"/>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tcBorders>
              <w:top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2</w:t>
            </w:r>
          </w:p>
        </w:tc>
        <w:tc>
          <w:tcPr>
            <w:tcW w:w="1226" w:type="dxa"/>
            <w:tcBorders>
              <w:top w:val="single" w:color="000000" w:sz="6" w:space="0"/>
              <w:left w:val="single" w:color="000000" w:sz="6" w:space="0"/>
              <w:right w:val="single" w:color="000000" w:sz="6" w:space="0"/>
            </w:tcBorders>
          </w:tcPr>
          <w:p>
            <w:pPr>
              <w:pStyle w:val="64"/>
              <w:spacing w:before="61"/>
              <w:ind w:left="94" w:right="27"/>
              <w:jc w:val="center"/>
              <w:rPr>
                <w:sz w:val="21"/>
                <w:lang w:eastAsia="zh-CN"/>
              </w:rPr>
            </w:pPr>
            <w:r>
              <w:rPr>
                <w:sz w:val="21"/>
                <w:lang w:eastAsia="en-US"/>
              </w:rPr>
              <w:t>方案制定、</w:t>
            </w:r>
            <w:r>
              <w:rPr>
                <w:rFonts w:hint="eastAsia"/>
                <w:sz w:val="21"/>
                <w:lang w:eastAsia="zh-CN"/>
              </w:rPr>
              <w:t>论证</w:t>
            </w:r>
          </w:p>
        </w:tc>
        <w:tc>
          <w:tcPr>
            <w:tcW w:w="699"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auto"/>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1141" w:type="dxa"/>
            <w:tcBorders>
              <w:top w:val="single" w:color="000000" w:sz="6" w:space="0"/>
              <w:left w:val="single" w:color="000000" w:sz="6" w:space="0"/>
            </w:tcBorders>
            <w:vAlign w:val="center"/>
          </w:tcPr>
          <w:p>
            <w:pPr>
              <w:pStyle w:val="64"/>
              <w:spacing w:before="121"/>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27" w:hRule="atLeast"/>
          <w:jc w:val="center"/>
        </w:trPr>
        <w:tc>
          <w:tcPr>
            <w:tcW w:w="600" w:type="dxa"/>
            <w:tcBorders>
              <w:top w:val="single" w:color="000000" w:sz="6" w:space="0"/>
              <w:bottom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3</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61"/>
              <w:ind w:left="56" w:right="27"/>
              <w:jc w:val="center"/>
              <w:rPr>
                <w:sz w:val="21"/>
                <w:lang w:eastAsia="en-US"/>
              </w:rPr>
            </w:pPr>
            <w:r>
              <w:rPr>
                <w:sz w:val="21"/>
                <w:lang w:eastAsia="en-US"/>
              </w:rPr>
              <w:t>设备选型</w:t>
            </w:r>
          </w:p>
        </w:tc>
        <w:tc>
          <w:tcPr>
            <w:tcW w:w="699"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shd w:val="clear" w:color="auto" w:fill="auto"/>
          </w:tcPr>
          <w:p>
            <w:pPr>
              <w:autoSpaceDE w:val="0"/>
              <w:autoSpaceDN w:val="0"/>
              <w:rPr>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121"/>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tcBorders>
              <w:top w:val="single" w:color="000000" w:sz="6" w:space="0"/>
              <w:bottom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4</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61"/>
              <w:ind w:left="56" w:right="27"/>
              <w:jc w:val="center"/>
              <w:rPr>
                <w:sz w:val="21"/>
                <w:lang w:eastAsia="en-US"/>
              </w:rPr>
            </w:pPr>
            <w:r>
              <w:rPr>
                <w:sz w:val="21"/>
                <w:lang w:eastAsia="en-US"/>
              </w:rPr>
              <w:t>设备安装</w:t>
            </w:r>
          </w:p>
        </w:tc>
        <w:tc>
          <w:tcPr>
            <w:tcW w:w="699"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595959" w:themeFill="text1" w:themeFillTint="A5"/>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shd w:val="clear" w:color="auto" w:fill="auto"/>
          </w:tcPr>
          <w:p>
            <w:pPr>
              <w:pStyle w:val="64"/>
              <w:rPr>
                <w:rFonts w:ascii="Times New Roman"/>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121"/>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5" w:hRule="atLeast"/>
          <w:jc w:val="center"/>
        </w:trPr>
        <w:tc>
          <w:tcPr>
            <w:tcW w:w="600" w:type="dxa"/>
            <w:tcBorders>
              <w:top w:val="single" w:color="000000" w:sz="6" w:space="0"/>
              <w:bottom w:val="single" w:color="000000" w:sz="6" w:space="0"/>
              <w:right w:val="single" w:color="000000" w:sz="6" w:space="0"/>
            </w:tcBorders>
          </w:tcPr>
          <w:p>
            <w:pPr>
              <w:pStyle w:val="64"/>
              <w:spacing w:before="12"/>
              <w:rPr>
                <w:rFonts w:ascii="楷体"/>
                <w:b/>
                <w:sz w:val="21"/>
                <w:lang w:eastAsia="en-US"/>
              </w:rPr>
            </w:pPr>
          </w:p>
          <w:p>
            <w:pPr>
              <w:pStyle w:val="64"/>
              <w:ind w:left="21"/>
              <w:jc w:val="center"/>
              <w:rPr>
                <w:rFonts w:ascii="Times New Roman"/>
                <w:sz w:val="21"/>
                <w:lang w:eastAsia="en-US"/>
              </w:rPr>
            </w:pPr>
            <w:r>
              <w:rPr>
                <w:rFonts w:ascii="Times New Roman"/>
                <w:sz w:val="21"/>
                <w:lang w:eastAsia="en-US"/>
              </w:rPr>
              <w:t>5</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1"/>
              <w:ind w:left="56" w:right="27"/>
              <w:jc w:val="center"/>
              <w:rPr>
                <w:sz w:val="21"/>
                <w:lang w:eastAsia="en-US"/>
              </w:rPr>
            </w:pPr>
            <w:r>
              <w:rPr>
                <w:sz w:val="21"/>
                <w:lang w:eastAsia="en-US"/>
              </w:rPr>
              <w:t>试车及验</w:t>
            </w:r>
          </w:p>
          <w:p>
            <w:pPr>
              <w:pStyle w:val="64"/>
              <w:spacing w:before="139"/>
              <w:ind w:left="26"/>
              <w:jc w:val="center"/>
              <w:rPr>
                <w:sz w:val="21"/>
                <w:lang w:eastAsia="en-US"/>
              </w:rPr>
            </w:pPr>
            <w:r>
              <w:rPr>
                <w:sz w:val="21"/>
                <w:lang w:eastAsia="en-US"/>
              </w:rPr>
              <w:t>收</w:t>
            </w:r>
          </w:p>
        </w:tc>
        <w:tc>
          <w:tcPr>
            <w:tcW w:w="699"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shd w:val="clear" w:color="auto" w:fill="7F7F7F" w:themeFill="text1" w:themeFillTint="7F"/>
          </w:tcPr>
          <w:p>
            <w:pPr>
              <w:pStyle w:val="64"/>
              <w:rPr>
                <w:rFonts w:ascii="Times New Roman"/>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8"/>
              <w:jc w:val="center"/>
              <w:rPr>
                <w:rFonts w:ascii="楷体"/>
                <w:b/>
                <w:sz w:val="20"/>
                <w:lang w:eastAsia="en-US"/>
              </w:rPr>
            </w:pPr>
          </w:p>
          <w:p>
            <w:pPr>
              <w:pStyle w:val="64"/>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600" w:type="dxa"/>
            <w:tcBorders>
              <w:top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6</w:t>
            </w:r>
          </w:p>
        </w:tc>
        <w:tc>
          <w:tcPr>
            <w:tcW w:w="1226" w:type="dxa"/>
            <w:tcBorders>
              <w:top w:val="single" w:color="000000" w:sz="6" w:space="0"/>
              <w:left w:val="single" w:color="000000" w:sz="6" w:space="0"/>
              <w:right w:val="single" w:color="000000" w:sz="6" w:space="0"/>
            </w:tcBorders>
          </w:tcPr>
          <w:p>
            <w:pPr>
              <w:pStyle w:val="64"/>
              <w:spacing w:before="123"/>
              <w:ind w:left="56" w:right="27"/>
              <w:jc w:val="center"/>
              <w:rPr>
                <w:sz w:val="21"/>
                <w:lang w:eastAsia="en-US"/>
              </w:rPr>
            </w:pPr>
            <w:r>
              <w:rPr>
                <w:sz w:val="21"/>
                <w:lang w:eastAsia="en-US"/>
              </w:rPr>
              <w:t>正常运行</w:t>
            </w:r>
          </w:p>
        </w:tc>
        <w:tc>
          <w:tcPr>
            <w:tcW w:w="699"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right w:val="single" w:color="000000" w:sz="6" w:space="0"/>
            </w:tcBorders>
          </w:tcPr>
          <w:p>
            <w:pPr>
              <w:pStyle w:val="64"/>
              <w:rPr>
                <w:rFonts w:ascii="Times New Roman"/>
                <w:lang w:eastAsia="en-US"/>
              </w:rPr>
            </w:pPr>
          </w:p>
        </w:tc>
        <w:tc>
          <w:tcPr>
            <w:tcW w:w="2091" w:type="dxa"/>
            <w:tcBorders>
              <w:top w:val="single" w:color="000000" w:sz="6" w:space="0"/>
              <w:left w:val="single" w:color="000000" w:sz="6" w:space="0"/>
              <w:right w:val="single" w:color="000000" w:sz="6" w:space="0"/>
            </w:tcBorders>
            <w:shd w:val="clear" w:color="auto" w:fill="7F7F7F" w:themeFill="text1" w:themeFillTint="7F"/>
          </w:tcPr>
          <w:p>
            <w:pPr>
              <w:pStyle w:val="64"/>
              <w:rPr>
                <w:rFonts w:ascii="Times New Roman"/>
                <w:lang w:eastAsia="en-US"/>
              </w:rPr>
            </w:pPr>
          </w:p>
        </w:tc>
        <w:tc>
          <w:tcPr>
            <w:tcW w:w="1141" w:type="dxa"/>
            <w:tcBorders>
              <w:top w:val="single" w:color="000000" w:sz="6" w:space="0"/>
              <w:left w:val="single" w:color="000000" w:sz="6" w:space="0"/>
            </w:tcBorders>
            <w:vAlign w:val="center"/>
          </w:tcPr>
          <w:p>
            <w:pPr>
              <w:pStyle w:val="64"/>
              <w:spacing w:before="123"/>
              <w:ind w:right="72"/>
              <w:jc w:val="center"/>
              <w:rPr>
                <w:sz w:val="21"/>
                <w:lang w:eastAsia="en-US"/>
              </w:rPr>
            </w:pPr>
            <w:r>
              <w:rPr>
                <w:sz w:val="21"/>
                <w:lang w:eastAsia="en-US"/>
              </w:rPr>
              <w:t>生产部</w:t>
            </w:r>
          </w:p>
        </w:tc>
      </w:tr>
    </w:tbl>
    <w:p>
      <w:pPr>
        <w:bidi w:val="0"/>
        <w:rPr>
          <w:rFonts w:hint="eastAsia"/>
        </w:rPr>
      </w:pPr>
    </w:p>
    <w:p>
      <w:pPr>
        <w:pStyle w:val="4"/>
        <w:widowControl w:val="0"/>
        <w:spacing w:beforeLines="50" w:after="0" w:line="360" w:lineRule="auto"/>
        <w:rPr>
          <w:rFonts w:ascii="Times New Roman" w:hAnsi="Times New Roman" w:eastAsia="宋体" w:cs="Courier New"/>
          <w:sz w:val="28"/>
          <w:szCs w:val="30"/>
        </w:rPr>
      </w:pPr>
      <w:bookmarkStart w:id="300" w:name="_Toc525138431"/>
      <w:bookmarkStart w:id="301" w:name="_Toc4729"/>
      <w:bookmarkStart w:id="302" w:name="_Toc525138287"/>
      <w:bookmarkStart w:id="303" w:name="_Toc499903517"/>
      <w:bookmarkStart w:id="304" w:name="_Toc424416202"/>
      <w:bookmarkStart w:id="305" w:name="_Toc25564"/>
      <w:r>
        <w:rPr>
          <w:rFonts w:hint="eastAsia" w:ascii="Times New Roman" w:hAnsi="Times New Roman" w:eastAsia="宋体" w:cs="Courier New"/>
          <w:sz w:val="28"/>
          <w:szCs w:val="30"/>
        </w:rPr>
        <w:t>7</w:t>
      </w:r>
      <w:r>
        <w:rPr>
          <w:rFonts w:ascii="Times New Roman" w:hAnsi="Times New Roman" w:eastAsia="宋体" w:cs="Courier New"/>
          <w:sz w:val="28"/>
          <w:szCs w:val="30"/>
        </w:rPr>
        <w:t>.</w:t>
      </w:r>
      <w:r>
        <w:rPr>
          <w:rFonts w:hint="eastAsia" w:ascii="Times New Roman" w:hAnsi="Times New Roman" w:eastAsia="宋体" w:cs="Courier New"/>
          <w:sz w:val="28"/>
          <w:szCs w:val="30"/>
        </w:rPr>
        <w:t>4</w:t>
      </w:r>
      <w:r>
        <w:rPr>
          <w:rFonts w:ascii="Times New Roman" w:hAnsi="Times New Roman" w:eastAsia="宋体" w:cs="Courier New"/>
          <w:sz w:val="28"/>
          <w:szCs w:val="30"/>
        </w:rPr>
        <w:t>.2拟实施方案的成果预测</w:t>
      </w:r>
      <w:bookmarkEnd w:id="300"/>
      <w:bookmarkEnd w:id="301"/>
      <w:bookmarkEnd w:id="302"/>
      <w:bookmarkEnd w:id="303"/>
      <w:bookmarkEnd w:id="304"/>
      <w:bookmarkEnd w:id="305"/>
    </w:p>
    <w:p>
      <w:pPr>
        <w:spacing w:line="360" w:lineRule="auto"/>
        <w:ind w:firstLine="482"/>
        <w:rPr>
          <w:rFonts w:hint="default" w:ascii="Times New Roman" w:hAnsi="宋体" w:eastAsia="宋体"/>
          <w:sz w:val="24"/>
          <w:szCs w:val="24"/>
          <w:lang w:val="en-US"/>
        </w:rPr>
      </w:pPr>
      <w:r>
        <w:rPr>
          <w:rFonts w:ascii="Times New Roman" w:hAnsi="宋体" w:eastAsia="宋体"/>
          <w:sz w:val="24"/>
          <w:szCs w:val="24"/>
        </w:rPr>
        <w:t>拟实施的方案“F2-</w:t>
      </w:r>
      <w:r>
        <w:rPr>
          <w:rFonts w:hint="eastAsia" w:ascii="Times New Roman" w:hAnsi="宋体" w:eastAsia="宋体"/>
          <w:sz w:val="24"/>
          <w:szCs w:val="24"/>
          <w:lang w:val="en-US" w:eastAsia="zh-CN"/>
        </w:rPr>
        <w:t>4</w:t>
      </w:r>
      <w:r>
        <w:rPr>
          <w:rFonts w:ascii="Times New Roman" w:hAnsi="宋体" w:eastAsia="宋体"/>
          <w:sz w:val="24"/>
          <w:szCs w:val="24"/>
        </w:rPr>
        <w:t>：</w:t>
      </w:r>
      <w:r>
        <w:rPr>
          <w:rFonts w:hint="eastAsia" w:ascii="Times New Roman" w:hAnsi="宋体" w:eastAsia="宋体"/>
          <w:sz w:val="24"/>
          <w:szCs w:val="24"/>
          <w:lang w:val="en-US" w:eastAsia="zh-CN"/>
        </w:rPr>
        <w:t>自动混料系统</w:t>
      </w:r>
      <w:r>
        <w:rPr>
          <w:rFonts w:ascii="Times New Roman" w:hAnsi="宋体" w:eastAsia="宋体"/>
          <w:sz w:val="24"/>
          <w:szCs w:val="24"/>
        </w:rPr>
        <w:t>”实施后，</w:t>
      </w:r>
      <w:r>
        <w:rPr>
          <w:rFonts w:hint="eastAsia" w:ascii="Times New Roman" w:hAnsi="宋体" w:eastAsia="宋体"/>
          <w:sz w:val="24"/>
          <w:szCs w:val="24"/>
          <w:lang w:eastAsia="zh-CN"/>
        </w:rPr>
        <w:t>年节电</w:t>
      </w:r>
      <w:r>
        <w:rPr>
          <w:rFonts w:hint="eastAsia" w:ascii="Times New Roman" w:hAnsi="宋体" w:eastAsia="宋体"/>
          <w:sz w:val="24"/>
          <w:szCs w:val="24"/>
          <w:lang w:val="en-US" w:eastAsia="zh-CN"/>
        </w:rPr>
        <w:t>14.33</w:t>
      </w:r>
      <w:r>
        <w:rPr>
          <w:rFonts w:hint="eastAsia" w:ascii="Times New Roman" w:hAnsi="宋体" w:eastAsia="宋体"/>
          <w:sz w:val="24"/>
          <w:szCs w:val="24"/>
          <w:lang w:eastAsia="zh-CN"/>
        </w:rPr>
        <w:t>万 kWh，减少粉尘</w:t>
      </w:r>
      <w:r>
        <w:rPr>
          <w:rFonts w:hint="eastAsia" w:ascii="Times New Roman" w:hAnsi="宋体" w:eastAsia="宋体"/>
          <w:sz w:val="24"/>
          <w:szCs w:val="24"/>
          <w:lang w:val="en-US" w:eastAsia="zh-CN"/>
        </w:rPr>
        <w:t>90</w:t>
      </w:r>
      <w:r>
        <w:rPr>
          <w:rFonts w:hint="eastAsia" w:ascii="Times New Roman" w:hAnsi="宋体" w:eastAsia="宋体"/>
          <w:sz w:val="24"/>
          <w:szCs w:val="24"/>
          <w:lang w:eastAsia="zh-CN"/>
        </w:rPr>
        <w:t>00kg，降低劳动强度、节约岗位人员3人，</w:t>
      </w:r>
      <w:r>
        <w:rPr>
          <w:rFonts w:hint="eastAsia" w:ascii="Times New Roman" w:hAnsi="宋体" w:eastAsia="宋体"/>
          <w:sz w:val="24"/>
          <w:szCs w:val="24"/>
          <w:lang w:val="en-US" w:eastAsia="zh-CN"/>
        </w:rPr>
        <w:t>年增加经济效益33.77万元。</w:t>
      </w:r>
    </w:p>
    <w:p>
      <w:pPr>
        <w:pStyle w:val="3"/>
        <w:widowControl w:val="0"/>
        <w:adjustRightInd/>
        <w:snapToGrid/>
        <w:spacing w:beforeLines="50" w:after="0" w:line="360" w:lineRule="auto"/>
        <w:rPr>
          <w:rFonts w:ascii="Times New Roman" w:hAnsi="Times New Roman"/>
          <w:sz w:val="30"/>
          <w:szCs w:val="30"/>
        </w:rPr>
      </w:pPr>
      <w:bookmarkStart w:id="306" w:name="_Toc29769"/>
      <w:r>
        <w:rPr>
          <w:rFonts w:hint="eastAsia" w:ascii="Times New Roman" w:hAnsi="Times New Roman"/>
          <w:sz w:val="30"/>
          <w:szCs w:val="30"/>
        </w:rPr>
        <w:t>7.</w:t>
      </w:r>
      <w:bookmarkEnd w:id="290"/>
      <w:r>
        <w:rPr>
          <w:rFonts w:hint="eastAsia" w:ascii="Times New Roman" w:hAnsi="Times New Roman"/>
          <w:sz w:val="30"/>
          <w:szCs w:val="30"/>
          <w:lang w:val="en-US" w:eastAsia="zh-CN"/>
        </w:rPr>
        <w:t>5</w:t>
      </w:r>
      <w:r>
        <w:rPr>
          <w:rFonts w:hint="eastAsia" w:ascii="Times New Roman" w:hAnsi="Times New Roman"/>
          <w:sz w:val="30"/>
          <w:szCs w:val="30"/>
        </w:rPr>
        <w:t>全部方案实施后的效益评估</w:t>
      </w:r>
      <w:bookmarkEnd w:id="291"/>
      <w:bookmarkEnd w:id="292"/>
      <w:bookmarkEnd w:id="293"/>
      <w:bookmarkEnd w:id="306"/>
    </w:p>
    <w:p>
      <w:pPr>
        <w:spacing w:line="360" w:lineRule="auto"/>
        <w:ind w:firstLine="482"/>
        <w:rPr>
          <w:rFonts w:ascii="Times New Roman" w:hAnsi="宋体" w:eastAsia="宋体"/>
          <w:sz w:val="24"/>
          <w:szCs w:val="24"/>
        </w:rPr>
      </w:pPr>
      <w:r>
        <w:rPr>
          <w:rFonts w:ascii="Times New Roman" w:hAnsi="宋体" w:eastAsia="宋体"/>
          <w:sz w:val="24"/>
          <w:szCs w:val="24"/>
        </w:rPr>
        <w:t>本轮审核所提方案所需总投资</w:t>
      </w:r>
      <w:r>
        <w:rPr>
          <w:rFonts w:hint="eastAsia" w:ascii="Times New Roman" w:hAnsi="宋体" w:eastAsia="宋体"/>
          <w:sz w:val="24"/>
          <w:szCs w:val="24"/>
          <w:lang w:val="en-US" w:eastAsia="zh-CN"/>
        </w:rPr>
        <w:t>33.4</w:t>
      </w:r>
      <w:r>
        <w:rPr>
          <w:rFonts w:ascii="Times New Roman" w:hAnsi="宋体" w:eastAsia="宋体"/>
          <w:sz w:val="24"/>
          <w:szCs w:val="24"/>
        </w:rPr>
        <w:t>万元，方案全实施后，年节电</w:t>
      </w:r>
      <w:r>
        <w:rPr>
          <w:rFonts w:hint="eastAsia" w:ascii="Times New Roman" w:hAnsi="宋体" w:eastAsia="宋体"/>
          <w:sz w:val="24"/>
          <w:szCs w:val="24"/>
          <w:lang w:val="en-US" w:eastAsia="zh-CN"/>
        </w:rPr>
        <w:t>16.63万</w:t>
      </w:r>
      <w:r>
        <w:rPr>
          <w:rFonts w:ascii="Times New Roman" w:hAnsi="宋体" w:eastAsia="宋体"/>
          <w:sz w:val="24"/>
          <w:szCs w:val="24"/>
        </w:rPr>
        <w:t>kWh，</w:t>
      </w:r>
      <w:r>
        <w:rPr>
          <w:rFonts w:hint="eastAsia" w:ascii="Times New Roman" w:hAnsi="宋体" w:eastAsia="宋体"/>
          <w:sz w:val="24"/>
          <w:szCs w:val="24"/>
          <w:lang w:eastAsia="zh-CN"/>
        </w:rPr>
        <w:t>减排粉尘</w:t>
      </w:r>
      <w:r>
        <w:rPr>
          <w:rFonts w:hint="eastAsia" w:ascii="Times New Roman" w:hAnsi="宋体" w:eastAsia="宋体"/>
          <w:sz w:val="24"/>
          <w:szCs w:val="24"/>
          <w:lang w:val="en-US" w:eastAsia="zh-CN"/>
        </w:rPr>
        <w:t>9t</w:t>
      </w:r>
      <w:r>
        <w:rPr>
          <w:rFonts w:hint="eastAsia" w:ascii="Times New Roman" w:hAnsi="宋体" w:eastAsia="宋体"/>
          <w:sz w:val="24"/>
          <w:szCs w:val="24"/>
        </w:rPr>
        <w:t>，</w:t>
      </w:r>
      <w:r>
        <w:rPr>
          <w:rFonts w:hint="eastAsia" w:ascii="Times New Roman" w:hAnsi="宋体" w:eastAsia="宋体"/>
          <w:sz w:val="24"/>
          <w:szCs w:val="24"/>
          <w:lang w:val="en-US" w:eastAsia="zh-CN"/>
        </w:rPr>
        <w:t>降低生产故障率，提高生产效率，</w:t>
      </w:r>
      <w:r>
        <w:rPr>
          <w:rFonts w:ascii="Times New Roman" w:hAnsi="宋体" w:eastAsia="宋体"/>
          <w:sz w:val="24"/>
          <w:szCs w:val="24"/>
        </w:rPr>
        <w:t>除去方案实施后暂无法核算的间接经济效益，年直接经济效益可达</w:t>
      </w:r>
      <w:r>
        <w:rPr>
          <w:rFonts w:hint="eastAsia" w:ascii="Times New Roman" w:hAnsi="宋体" w:eastAsia="宋体"/>
          <w:sz w:val="24"/>
          <w:szCs w:val="24"/>
          <w:lang w:val="en-US" w:eastAsia="zh-CN"/>
        </w:rPr>
        <w:t>60.535</w:t>
      </w:r>
      <w:r>
        <w:rPr>
          <w:rFonts w:ascii="Times New Roman" w:hAnsi="宋体" w:eastAsia="宋体"/>
          <w:sz w:val="24"/>
          <w:szCs w:val="24"/>
        </w:rPr>
        <w:t>万元。</w:t>
      </w:r>
    </w:p>
    <w:p>
      <w:pPr>
        <w:bidi w:val="0"/>
        <w:jc w:val="center"/>
        <w:rPr>
          <w:rFonts w:asciiTheme="minorEastAsia" w:hAnsiTheme="minorEastAsia" w:eastAsiaTheme="minorEastAsia"/>
          <w:b/>
          <w:bCs/>
        </w:rPr>
      </w:pPr>
      <w:r>
        <w:rPr>
          <w:rFonts w:asciiTheme="minorEastAsia" w:hAnsiTheme="minorEastAsia" w:eastAsiaTheme="minorEastAsia"/>
          <w:b/>
          <w:bCs/>
        </w:rPr>
        <w:t>7-</w:t>
      </w:r>
      <w:r>
        <w:rPr>
          <w:rFonts w:hint="eastAsia" w:asciiTheme="minorEastAsia" w:hAnsiTheme="minorEastAsia"/>
          <w:b/>
          <w:bCs/>
          <w:lang w:val="en-US" w:eastAsia="zh-CN"/>
        </w:rPr>
        <w:t>6</w:t>
      </w:r>
      <w:r>
        <w:rPr>
          <w:rFonts w:asciiTheme="minorEastAsia" w:hAnsiTheme="minorEastAsia" w:eastAsiaTheme="minorEastAsia"/>
          <w:b/>
          <w:bCs/>
        </w:rPr>
        <w:tab/>
      </w:r>
      <w:r>
        <w:rPr>
          <w:rFonts w:asciiTheme="minorEastAsia" w:hAnsiTheme="minorEastAsia" w:eastAsiaTheme="minorEastAsia"/>
          <w:b/>
          <w:bCs/>
        </w:rPr>
        <w:t>方案全实施后效益汇总表</w:t>
      </w:r>
    </w:p>
    <w:tbl>
      <w:tblPr>
        <w:tblStyle w:val="62"/>
        <w:tblW w:w="9005"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001"/>
        <w:gridCol w:w="3003"/>
        <w:gridCol w:w="300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8" w:hRule="atLeast"/>
          <w:jc w:val="center"/>
        </w:trPr>
        <w:tc>
          <w:tcPr>
            <w:tcW w:w="3001" w:type="dxa"/>
            <w:tcBorders>
              <w:bottom w:val="single" w:color="000000" w:sz="4" w:space="0"/>
              <w:right w:val="single" w:color="000000" w:sz="4" w:space="0"/>
            </w:tcBorders>
          </w:tcPr>
          <w:p>
            <w:pPr>
              <w:pStyle w:val="64"/>
              <w:spacing w:before="48"/>
              <w:ind w:left="849" w:right="832"/>
              <w:jc w:val="center"/>
              <w:rPr>
                <w:sz w:val="21"/>
                <w:lang w:eastAsia="en-US"/>
              </w:rPr>
            </w:pPr>
            <w:r>
              <w:rPr>
                <w:sz w:val="21"/>
                <w:lang w:eastAsia="en-US"/>
              </w:rPr>
              <w:t>指标</w:t>
            </w:r>
          </w:p>
        </w:tc>
        <w:tc>
          <w:tcPr>
            <w:tcW w:w="3003" w:type="dxa"/>
            <w:tcBorders>
              <w:left w:val="single" w:color="000000" w:sz="4" w:space="0"/>
              <w:bottom w:val="single" w:color="000000" w:sz="4" w:space="0"/>
              <w:right w:val="single" w:color="000000" w:sz="4" w:space="0"/>
            </w:tcBorders>
          </w:tcPr>
          <w:p>
            <w:pPr>
              <w:pStyle w:val="64"/>
              <w:spacing w:before="48"/>
              <w:ind w:left="1050" w:right="1026"/>
              <w:jc w:val="center"/>
              <w:rPr>
                <w:sz w:val="21"/>
                <w:lang w:eastAsia="en-US"/>
              </w:rPr>
            </w:pPr>
            <w:r>
              <w:rPr>
                <w:sz w:val="21"/>
                <w:lang w:eastAsia="en-US"/>
              </w:rPr>
              <w:t>单位</w:t>
            </w:r>
          </w:p>
        </w:tc>
        <w:tc>
          <w:tcPr>
            <w:tcW w:w="3001" w:type="dxa"/>
            <w:tcBorders>
              <w:left w:val="single" w:color="000000" w:sz="4" w:space="0"/>
              <w:bottom w:val="single" w:color="000000" w:sz="4" w:space="0"/>
            </w:tcBorders>
          </w:tcPr>
          <w:p>
            <w:pPr>
              <w:pStyle w:val="64"/>
              <w:spacing w:before="48"/>
              <w:ind w:right="1261"/>
              <w:jc w:val="right"/>
              <w:rPr>
                <w:sz w:val="21"/>
                <w:lang w:eastAsia="en-US"/>
              </w:rPr>
            </w:pPr>
            <w:r>
              <w:rPr>
                <w:sz w:val="21"/>
                <w:lang w:eastAsia="en-US"/>
              </w:rPr>
              <w:t>数量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jc w:val="center"/>
        </w:trPr>
        <w:tc>
          <w:tcPr>
            <w:tcW w:w="9005" w:type="dxa"/>
            <w:gridSpan w:val="3"/>
            <w:tcBorders>
              <w:top w:val="single" w:color="000000" w:sz="4" w:space="0"/>
              <w:bottom w:val="single" w:color="000000" w:sz="4" w:space="0"/>
            </w:tcBorders>
          </w:tcPr>
          <w:p>
            <w:pPr>
              <w:pStyle w:val="64"/>
              <w:spacing w:before="49"/>
              <w:ind w:left="107"/>
              <w:rPr>
                <w:sz w:val="21"/>
                <w:lang w:eastAsia="en-US"/>
              </w:rPr>
            </w:pPr>
            <w:r>
              <w:rPr>
                <w:rFonts w:hint="eastAsia"/>
                <w:sz w:val="21"/>
                <w:lang w:val="en-US" w:eastAsia="zh-CN"/>
              </w:rPr>
              <w:t>一</w:t>
            </w:r>
            <w:r>
              <w:rPr>
                <w:sz w:val="21"/>
                <w:lang w:eastAsia="en-US"/>
              </w:rPr>
              <w:t>、节约能源类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6" w:hRule="atLeast"/>
          <w:jc w:val="center"/>
        </w:trPr>
        <w:tc>
          <w:tcPr>
            <w:tcW w:w="3001" w:type="dxa"/>
            <w:tcBorders>
              <w:top w:val="single" w:color="000000" w:sz="4" w:space="0"/>
              <w:bottom w:val="single" w:color="000000" w:sz="4" w:space="0"/>
              <w:right w:val="single" w:color="000000" w:sz="4" w:space="0"/>
            </w:tcBorders>
          </w:tcPr>
          <w:p>
            <w:pPr>
              <w:pStyle w:val="64"/>
              <w:spacing w:before="49"/>
              <w:ind w:left="849" w:right="832"/>
              <w:jc w:val="center"/>
              <w:rPr>
                <w:rFonts w:hint="default" w:eastAsia="宋体"/>
                <w:sz w:val="21"/>
                <w:lang w:val="en-US" w:eastAsia="zh-CN"/>
              </w:rPr>
            </w:pPr>
            <w:r>
              <w:rPr>
                <w:rFonts w:hint="eastAsia"/>
                <w:sz w:val="21"/>
                <w:lang w:val="en-US" w:eastAsia="zh-CN"/>
              </w:rPr>
              <w:t>电力</w:t>
            </w:r>
          </w:p>
        </w:tc>
        <w:tc>
          <w:tcPr>
            <w:tcW w:w="3003" w:type="dxa"/>
            <w:tcBorders>
              <w:top w:val="single" w:color="000000" w:sz="4" w:space="0"/>
              <w:left w:val="single" w:color="000000" w:sz="4" w:space="0"/>
              <w:bottom w:val="single" w:color="000000" w:sz="4" w:space="0"/>
              <w:right w:val="single" w:color="000000" w:sz="4" w:space="0"/>
            </w:tcBorders>
          </w:tcPr>
          <w:p>
            <w:pPr>
              <w:pStyle w:val="64"/>
              <w:spacing w:before="49"/>
              <w:ind w:left="1050" w:right="1028"/>
              <w:jc w:val="center"/>
              <w:rPr>
                <w:rFonts w:hint="eastAsia" w:ascii="Times New Roman" w:eastAsia="宋体"/>
                <w:sz w:val="21"/>
                <w:lang w:eastAsia="zh-CN"/>
              </w:rPr>
            </w:pPr>
            <w:r>
              <w:rPr>
                <w:rFonts w:hint="eastAsia" w:ascii="Times New Roman"/>
                <w:sz w:val="24"/>
                <w:szCs w:val="24"/>
                <w:lang w:val="en-US" w:eastAsia="zh-CN"/>
              </w:rPr>
              <w:t>万</w:t>
            </w:r>
            <w:r>
              <w:rPr>
                <w:rFonts w:ascii="Times New Roman" w:hAnsi="宋体" w:eastAsia="宋体"/>
                <w:sz w:val="24"/>
                <w:szCs w:val="24"/>
              </w:rPr>
              <w:t>kWh</w:t>
            </w:r>
          </w:p>
        </w:tc>
        <w:tc>
          <w:tcPr>
            <w:tcW w:w="3001" w:type="dxa"/>
            <w:tcBorders>
              <w:top w:val="single" w:color="000000" w:sz="4" w:space="0"/>
              <w:left w:val="single" w:color="000000" w:sz="4" w:space="0"/>
              <w:bottom w:val="single" w:color="000000" w:sz="4" w:space="0"/>
            </w:tcBorders>
          </w:tcPr>
          <w:p>
            <w:pPr>
              <w:pStyle w:val="64"/>
              <w:spacing w:before="41"/>
              <w:ind w:right="1287"/>
              <w:jc w:val="right"/>
              <w:rPr>
                <w:rFonts w:hint="default" w:ascii="Times New Roman"/>
                <w:sz w:val="21"/>
                <w:lang w:val="en-US" w:eastAsia="zh-CN"/>
              </w:rPr>
            </w:pPr>
            <w:r>
              <w:rPr>
                <w:rFonts w:hint="eastAsia" w:ascii="Times New Roman"/>
                <w:sz w:val="21"/>
                <w:lang w:val="en-US" w:eastAsia="zh-CN"/>
              </w:rPr>
              <w:t>16.63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jc w:val="center"/>
        </w:trPr>
        <w:tc>
          <w:tcPr>
            <w:tcW w:w="9005" w:type="dxa"/>
            <w:gridSpan w:val="3"/>
            <w:tcBorders>
              <w:top w:val="single" w:color="000000" w:sz="4" w:space="0"/>
              <w:bottom w:val="single" w:color="000000" w:sz="4" w:space="0"/>
            </w:tcBorders>
          </w:tcPr>
          <w:p>
            <w:pPr>
              <w:pStyle w:val="64"/>
              <w:spacing w:before="49"/>
              <w:ind w:left="107"/>
              <w:rPr>
                <w:sz w:val="21"/>
                <w:lang w:eastAsia="en-US"/>
              </w:rPr>
            </w:pPr>
            <w:r>
              <w:rPr>
                <w:rFonts w:hint="eastAsia"/>
                <w:sz w:val="21"/>
                <w:lang w:val="en-US" w:eastAsia="zh-CN"/>
              </w:rPr>
              <w:t>二</w:t>
            </w:r>
            <w:r>
              <w:rPr>
                <w:sz w:val="21"/>
                <w:lang w:eastAsia="en-US"/>
              </w:rPr>
              <w:t>、污染减排类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7" w:hRule="atLeast"/>
          <w:jc w:val="center"/>
        </w:trPr>
        <w:tc>
          <w:tcPr>
            <w:tcW w:w="3001" w:type="dxa"/>
            <w:tcBorders>
              <w:top w:val="single" w:color="000000" w:sz="4" w:space="0"/>
              <w:bottom w:val="single" w:color="000000" w:sz="4" w:space="0"/>
              <w:right w:val="single" w:color="000000" w:sz="4" w:space="0"/>
            </w:tcBorders>
          </w:tcPr>
          <w:p>
            <w:pPr>
              <w:pStyle w:val="64"/>
              <w:spacing w:before="49"/>
              <w:ind w:left="849" w:right="832"/>
              <w:jc w:val="center"/>
              <w:rPr>
                <w:rFonts w:hint="eastAsia" w:eastAsia="宋体"/>
                <w:sz w:val="21"/>
                <w:lang w:val="en-US" w:eastAsia="zh-CN"/>
              </w:rPr>
            </w:pPr>
            <w:r>
              <w:rPr>
                <w:szCs w:val="21"/>
              </w:rPr>
              <w:t>包装费用</w:t>
            </w:r>
          </w:p>
        </w:tc>
        <w:tc>
          <w:tcPr>
            <w:tcW w:w="3003" w:type="dxa"/>
            <w:tcBorders>
              <w:top w:val="single" w:color="000000" w:sz="4" w:space="0"/>
              <w:left w:val="single" w:color="000000" w:sz="4" w:space="0"/>
              <w:bottom w:val="single" w:color="000000" w:sz="4" w:space="0"/>
              <w:right w:val="single" w:color="000000" w:sz="4" w:space="0"/>
            </w:tcBorders>
          </w:tcPr>
          <w:p>
            <w:pPr>
              <w:pStyle w:val="64"/>
              <w:spacing w:before="41"/>
              <w:ind w:left="1049" w:right="1028"/>
              <w:jc w:val="center"/>
              <w:rPr>
                <w:rFonts w:ascii="Times New Roman"/>
                <w:sz w:val="21"/>
                <w:lang w:eastAsia="en-US"/>
              </w:rPr>
            </w:pPr>
            <w:r>
              <w:rPr>
                <w:rFonts w:hint="eastAsia" w:ascii="Times New Roman"/>
                <w:sz w:val="21"/>
                <w:lang w:val="en-US" w:eastAsia="zh-CN"/>
              </w:rPr>
              <w:t>万元</w:t>
            </w:r>
          </w:p>
        </w:tc>
        <w:tc>
          <w:tcPr>
            <w:tcW w:w="3001" w:type="dxa"/>
            <w:tcBorders>
              <w:top w:val="single" w:color="000000" w:sz="4" w:space="0"/>
              <w:left w:val="single" w:color="000000" w:sz="4" w:space="0"/>
              <w:bottom w:val="single" w:color="000000" w:sz="4" w:space="0"/>
            </w:tcBorders>
          </w:tcPr>
          <w:p>
            <w:pPr>
              <w:pStyle w:val="64"/>
              <w:spacing w:before="41"/>
              <w:ind w:right="1287"/>
              <w:jc w:val="right"/>
              <w:rPr>
                <w:rFonts w:hint="default" w:ascii="Times New Roman"/>
                <w:sz w:val="21"/>
                <w:lang w:val="en-US" w:eastAsia="zh-CN"/>
              </w:rPr>
            </w:pPr>
            <w:r>
              <w:rPr>
                <w:rFonts w:hint="eastAsia" w:ascii="Times New Roman"/>
                <w:sz w:val="21"/>
                <w:lang w:val="en-US" w:eastAsia="zh-CN"/>
              </w:rPr>
              <w:t>0.24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7" w:hRule="atLeast"/>
          <w:jc w:val="center"/>
        </w:trPr>
        <w:tc>
          <w:tcPr>
            <w:tcW w:w="3001" w:type="dxa"/>
            <w:tcBorders>
              <w:top w:val="single" w:color="000000" w:sz="4" w:space="0"/>
              <w:bottom w:val="single" w:color="000000" w:sz="4" w:space="0"/>
              <w:right w:val="single" w:color="000000" w:sz="4" w:space="0"/>
            </w:tcBorders>
          </w:tcPr>
          <w:p>
            <w:pPr>
              <w:pStyle w:val="64"/>
              <w:spacing w:before="49"/>
              <w:ind w:left="849" w:right="832"/>
              <w:jc w:val="center"/>
              <w:rPr>
                <w:rFonts w:hint="eastAsia" w:eastAsia="宋体"/>
                <w:szCs w:val="21"/>
                <w:lang w:val="en-US" w:eastAsia="zh-CN"/>
              </w:rPr>
            </w:pPr>
            <w:r>
              <w:rPr>
                <w:rFonts w:hint="eastAsia"/>
                <w:szCs w:val="21"/>
                <w:lang w:val="en-US" w:eastAsia="zh-CN"/>
              </w:rPr>
              <w:t>粉尘</w:t>
            </w:r>
          </w:p>
        </w:tc>
        <w:tc>
          <w:tcPr>
            <w:tcW w:w="3003" w:type="dxa"/>
            <w:tcBorders>
              <w:top w:val="single" w:color="000000" w:sz="4" w:space="0"/>
              <w:left w:val="single" w:color="000000" w:sz="4" w:space="0"/>
              <w:bottom w:val="single" w:color="000000" w:sz="4" w:space="0"/>
              <w:right w:val="single" w:color="000000" w:sz="4" w:space="0"/>
            </w:tcBorders>
          </w:tcPr>
          <w:p>
            <w:pPr>
              <w:pStyle w:val="64"/>
              <w:spacing w:before="41"/>
              <w:ind w:left="1049" w:right="1028"/>
              <w:jc w:val="center"/>
              <w:rPr>
                <w:rFonts w:hint="eastAsia" w:ascii="Times New Roman"/>
                <w:sz w:val="21"/>
                <w:lang w:val="en-US" w:eastAsia="zh-CN"/>
              </w:rPr>
            </w:pPr>
            <w:r>
              <w:rPr>
                <w:rFonts w:hint="eastAsia" w:eastAsia="宋体"/>
                <w:sz w:val="21"/>
                <w:lang w:val="en-US" w:eastAsia="zh-CN"/>
              </w:rPr>
              <w:t>t</w:t>
            </w:r>
            <w:r>
              <w:rPr>
                <w:rFonts w:ascii="Times New Roman" w:eastAsia="Times New Roman"/>
                <w:sz w:val="21"/>
                <w:lang w:eastAsia="en-US"/>
              </w:rPr>
              <w:t>/a</w:t>
            </w:r>
          </w:p>
        </w:tc>
        <w:tc>
          <w:tcPr>
            <w:tcW w:w="3001" w:type="dxa"/>
            <w:tcBorders>
              <w:top w:val="single" w:color="000000" w:sz="4" w:space="0"/>
              <w:left w:val="single" w:color="000000" w:sz="4" w:space="0"/>
              <w:bottom w:val="single" w:color="000000" w:sz="4" w:space="0"/>
            </w:tcBorders>
          </w:tcPr>
          <w:p>
            <w:pPr>
              <w:pStyle w:val="64"/>
              <w:spacing w:before="41"/>
              <w:ind w:right="1287"/>
              <w:jc w:val="right"/>
              <w:rPr>
                <w:rFonts w:hint="default" w:ascii="Times New Roman"/>
                <w:sz w:val="21"/>
                <w:lang w:val="en-US" w:eastAsia="zh-CN"/>
              </w:rPr>
            </w:pPr>
            <w:r>
              <w:rPr>
                <w:rFonts w:hint="eastAsia" w:ascii="Times New Roman"/>
                <w:sz w:val="21"/>
                <w:lang w:val="en-US" w:eastAsia="zh-CN"/>
              </w:rPr>
              <w:t>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jc w:val="center"/>
        </w:trPr>
        <w:tc>
          <w:tcPr>
            <w:tcW w:w="9005" w:type="dxa"/>
            <w:gridSpan w:val="3"/>
            <w:tcBorders>
              <w:top w:val="single" w:color="000000" w:sz="4" w:space="0"/>
              <w:bottom w:val="single" w:color="000000" w:sz="4" w:space="0"/>
            </w:tcBorders>
          </w:tcPr>
          <w:p>
            <w:pPr>
              <w:pStyle w:val="64"/>
              <w:spacing w:before="49"/>
              <w:ind w:left="107"/>
              <w:rPr>
                <w:sz w:val="21"/>
                <w:lang w:eastAsia="en-US"/>
              </w:rPr>
            </w:pPr>
            <w:r>
              <w:rPr>
                <w:sz w:val="21"/>
                <w:lang w:eastAsia="en-US"/>
              </w:rPr>
              <w:t>五、经济效益</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8" w:hRule="atLeast"/>
          <w:jc w:val="center"/>
        </w:trPr>
        <w:tc>
          <w:tcPr>
            <w:tcW w:w="3001" w:type="dxa"/>
            <w:tcBorders>
              <w:top w:val="single" w:color="000000" w:sz="4" w:space="0"/>
              <w:right w:val="single" w:color="000000" w:sz="4" w:space="0"/>
            </w:tcBorders>
          </w:tcPr>
          <w:p>
            <w:pPr>
              <w:pStyle w:val="64"/>
              <w:spacing w:before="49"/>
              <w:ind w:left="849" w:right="832"/>
              <w:jc w:val="center"/>
              <w:rPr>
                <w:sz w:val="21"/>
                <w:lang w:eastAsia="en-US"/>
              </w:rPr>
            </w:pPr>
            <w:r>
              <w:rPr>
                <w:sz w:val="21"/>
                <w:lang w:eastAsia="en-US"/>
              </w:rPr>
              <w:t>增加经济效益</w:t>
            </w:r>
          </w:p>
        </w:tc>
        <w:tc>
          <w:tcPr>
            <w:tcW w:w="3003" w:type="dxa"/>
            <w:tcBorders>
              <w:top w:val="single" w:color="000000" w:sz="4" w:space="0"/>
              <w:left w:val="single" w:color="000000" w:sz="4" w:space="0"/>
              <w:right w:val="single" w:color="000000" w:sz="4" w:space="0"/>
            </w:tcBorders>
          </w:tcPr>
          <w:p>
            <w:pPr>
              <w:pStyle w:val="64"/>
              <w:spacing w:before="49"/>
              <w:ind w:left="1050" w:right="1024"/>
              <w:jc w:val="center"/>
              <w:rPr>
                <w:rFonts w:ascii="Times New Roman" w:eastAsia="Times New Roman"/>
                <w:sz w:val="21"/>
                <w:lang w:eastAsia="en-US"/>
              </w:rPr>
            </w:pPr>
            <w:r>
              <w:rPr>
                <w:sz w:val="21"/>
                <w:lang w:eastAsia="en-US"/>
              </w:rPr>
              <w:t>万元</w:t>
            </w:r>
            <w:r>
              <w:rPr>
                <w:rFonts w:ascii="Times New Roman" w:eastAsia="Times New Roman"/>
                <w:sz w:val="21"/>
                <w:lang w:eastAsia="en-US"/>
              </w:rPr>
              <w:t>/a</w:t>
            </w:r>
          </w:p>
        </w:tc>
        <w:tc>
          <w:tcPr>
            <w:tcW w:w="3001" w:type="dxa"/>
            <w:tcBorders>
              <w:top w:val="single" w:color="000000" w:sz="4" w:space="0"/>
              <w:left w:val="single" w:color="000000" w:sz="4" w:space="0"/>
            </w:tcBorders>
          </w:tcPr>
          <w:p>
            <w:pPr>
              <w:pStyle w:val="64"/>
              <w:spacing w:before="41"/>
              <w:ind w:right="1235"/>
              <w:jc w:val="right"/>
              <w:rPr>
                <w:rFonts w:hint="default" w:ascii="Times New Roman"/>
                <w:sz w:val="21"/>
                <w:lang w:val="en-US" w:eastAsia="zh-CN"/>
              </w:rPr>
            </w:pPr>
            <w:r>
              <w:rPr>
                <w:rFonts w:hint="eastAsia" w:ascii="Times New Roman"/>
                <w:sz w:val="21"/>
                <w:lang w:val="en-US" w:eastAsia="zh-CN"/>
              </w:rPr>
              <w:t>60.535</w:t>
            </w:r>
          </w:p>
        </w:tc>
      </w:tr>
    </w:tbl>
    <w:p>
      <w:pPr>
        <w:pStyle w:val="3"/>
        <w:widowControl w:val="0"/>
        <w:adjustRightInd/>
        <w:snapToGrid/>
        <w:spacing w:beforeLines="50" w:after="0" w:line="360" w:lineRule="auto"/>
        <w:rPr>
          <w:rFonts w:ascii="Times New Roman" w:hAnsi="Times New Roman"/>
          <w:color w:val="000000" w:themeColor="text1"/>
          <w:sz w:val="30"/>
          <w:szCs w:val="30"/>
        </w:rPr>
      </w:pPr>
      <w:bookmarkStart w:id="307" w:name="_Toc7118"/>
      <w:r>
        <w:rPr>
          <w:rFonts w:hint="eastAsia" w:ascii="Times New Roman" w:hAnsi="Times New Roman"/>
          <w:color w:val="000000" w:themeColor="text1"/>
          <w:sz w:val="30"/>
          <w:szCs w:val="30"/>
        </w:rPr>
        <w:t>7.</w:t>
      </w:r>
      <w:r>
        <w:rPr>
          <w:rFonts w:hint="eastAsia" w:ascii="Times New Roman" w:hAnsi="Times New Roman"/>
          <w:color w:val="000000" w:themeColor="text1"/>
          <w:sz w:val="30"/>
          <w:szCs w:val="30"/>
          <w:lang w:val="en-US" w:eastAsia="zh-CN"/>
        </w:rPr>
        <w:t>6</w:t>
      </w:r>
      <w:r>
        <w:rPr>
          <w:rFonts w:hint="eastAsia" w:ascii="Times New Roman" w:hAnsi="Times New Roman"/>
          <w:color w:val="000000" w:themeColor="text1"/>
          <w:sz w:val="30"/>
          <w:szCs w:val="30"/>
        </w:rPr>
        <w:t>审核目标可达性分析</w:t>
      </w:r>
      <w:bookmarkEnd w:id="307"/>
    </w:p>
    <w:p>
      <w:pPr>
        <w:widowControl/>
        <w:spacing w:line="360" w:lineRule="auto"/>
        <w:ind w:firstLine="480" w:firstLineChars="200"/>
        <w:jc w:val="left"/>
        <w:rPr>
          <w:rFonts w:ascii="Times New Roman" w:hAnsi="宋体" w:eastAsia="宋体"/>
          <w:sz w:val="24"/>
          <w:szCs w:val="24"/>
        </w:rPr>
      </w:pPr>
      <w:r>
        <w:rPr>
          <w:rFonts w:hint="eastAsia" w:ascii="Times New Roman" w:hAnsi="宋体" w:eastAsia="宋体"/>
          <w:sz w:val="24"/>
          <w:szCs w:val="24"/>
        </w:rPr>
        <w:t>根据企业现有条件以及方案实施完成情况</w:t>
      </w:r>
      <w:r>
        <w:rPr>
          <w:rFonts w:ascii="Times New Roman" w:hAnsi="宋体" w:eastAsia="宋体"/>
          <w:sz w:val="24"/>
          <w:szCs w:val="24"/>
        </w:rPr>
        <w:t>，</w:t>
      </w:r>
      <w:r>
        <w:rPr>
          <w:rFonts w:hint="eastAsia" w:ascii="Times New Roman" w:hAnsi="宋体" w:eastAsia="宋体"/>
          <w:sz w:val="24"/>
          <w:szCs w:val="24"/>
        </w:rPr>
        <w:t>很明显直观的达到了一定节电、</w:t>
      </w:r>
      <w:r>
        <w:rPr>
          <w:rFonts w:hint="eastAsia" w:ascii="Times New Roman" w:hAnsi="宋体" w:eastAsia="宋体"/>
          <w:sz w:val="24"/>
          <w:szCs w:val="24"/>
          <w:lang w:val="en-US" w:eastAsia="zh-CN"/>
        </w:rPr>
        <w:t>减排</w:t>
      </w:r>
      <w:r>
        <w:rPr>
          <w:rFonts w:hint="eastAsia" w:ascii="Times New Roman" w:hAnsi="宋体" w:eastAsia="宋体"/>
          <w:sz w:val="24"/>
          <w:szCs w:val="24"/>
        </w:rPr>
        <w:t>的效果，</w:t>
      </w:r>
      <w:r>
        <w:rPr>
          <w:rFonts w:ascii="Times New Roman" w:hAnsi="宋体" w:eastAsia="宋体"/>
          <w:sz w:val="24"/>
          <w:szCs w:val="24"/>
        </w:rPr>
        <w:t>本轮审核提出的清洁生产近远期目标均已达到。</w:t>
      </w:r>
    </w:p>
    <w:p>
      <w:pPr>
        <w:bidi w:val="0"/>
      </w:pPr>
      <w:r>
        <w:br w:type="page"/>
      </w:r>
    </w:p>
    <w:p>
      <w:pPr>
        <w:pStyle w:val="2"/>
        <w:widowControl w:val="0"/>
        <w:adjustRightInd/>
        <w:snapToGrid/>
        <w:spacing w:beforeLines="50" w:after="0" w:line="360" w:lineRule="auto"/>
        <w:ind w:firstLine="199" w:firstLineChars="55"/>
        <w:jc w:val="center"/>
        <w:rPr>
          <w:rFonts w:ascii="Times New Roman" w:hAnsi="Times New Roman" w:eastAsia="黑体" w:cs="Times New Roman"/>
          <w:sz w:val="36"/>
          <w:szCs w:val="36"/>
        </w:rPr>
      </w:pPr>
      <w:bookmarkStart w:id="308" w:name="_Toc13715"/>
      <w:bookmarkStart w:id="309" w:name="_Toc499903520"/>
      <w:bookmarkStart w:id="310" w:name="_Toc525138289"/>
      <w:bookmarkStart w:id="311" w:name="_Toc525138433"/>
      <w:r>
        <w:rPr>
          <w:rFonts w:hint="eastAsia" w:ascii="Times New Roman" w:hAnsi="Times New Roman" w:eastAsia="黑体" w:cs="Times New Roman"/>
          <w:sz w:val="36"/>
          <w:szCs w:val="36"/>
        </w:rPr>
        <w:t>八、</w:t>
      </w:r>
      <w:r>
        <w:rPr>
          <w:rFonts w:ascii="Times New Roman" w:hAnsi="Times New Roman" w:eastAsia="黑体" w:cs="Times New Roman"/>
          <w:sz w:val="36"/>
          <w:szCs w:val="36"/>
        </w:rPr>
        <w:t>持续清洁生产</w:t>
      </w:r>
      <w:bookmarkEnd w:id="308"/>
      <w:bookmarkEnd w:id="309"/>
      <w:bookmarkEnd w:id="310"/>
      <w:bookmarkEnd w:id="311"/>
    </w:p>
    <w:p>
      <w:pPr>
        <w:spacing w:line="360" w:lineRule="auto"/>
        <w:ind w:firstLine="482"/>
        <w:rPr>
          <w:rFonts w:ascii="宋体" w:hAnsi="宋体" w:eastAsia="宋体"/>
          <w:sz w:val="24"/>
          <w:szCs w:val="24"/>
        </w:rPr>
      </w:pPr>
      <w:r>
        <w:rPr>
          <w:rFonts w:ascii="宋体" w:hAnsi="宋体" w:eastAsia="宋体"/>
          <w:sz w:val="24"/>
          <w:szCs w:val="24"/>
        </w:rPr>
        <w:t>持续清洁生产是</w:t>
      </w:r>
      <w:r>
        <w:rPr>
          <w:rFonts w:hint="eastAsia" w:ascii="宋体" w:hAnsi="宋体" w:eastAsia="宋体"/>
          <w:sz w:val="24"/>
          <w:szCs w:val="24"/>
        </w:rPr>
        <w:t>企业</w:t>
      </w:r>
      <w:r>
        <w:rPr>
          <w:rFonts w:ascii="宋体" w:hAnsi="宋体" w:eastAsia="宋体"/>
          <w:sz w:val="24"/>
          <w:szCs w:val="24"/>
        </w:rPr>
        <w:t>清洁生产审核的最后一个阶段。目的是使清洁生产工作在公司内长期、持续地推行下去。本阶段工作重点是建立推行和管理清洁生产工作的组织机构、建立促进实施清洁生产的管理制度、制定持续清洁生产计划以及编写清洁生产审核报告。</w:t>
      </w:r>
    </w:p>
    <w:p>
      <w:pPr>
        <w:pStyle w:val="3"/>
        <w:widowControl w:val="0"/>
        <w:adjustRightInd/>
        <w:snapToGrid/>
        <w:spacing w:beforeLines="50" w:after="0" w:line="360" w:lineRule="auto"/>
        <w:rPr>
          <w:rFonts w:ascii="Times New Roman" w:hAnsi="Times New Roman"/>
          <w:sz w:val="30"/>
          <w:szCs w:val="30"/>
        </w:rPr>
      </w:pPr>
      <w:bookmarkStart w:id="312" w:name="_Toc525138434"/>
      <w:bookmarkStart w:id="313" w:name="_Toc525138290"/>
      <w:bookmarkStart w:id="314" w:name="_Toc316932548"/>
      <w:bookmarkStart w:id="315" w:name="_Toc4536"/>
      <w:bookmarkStart w:id="316" w:name="_Toc499903521"/>
      <w:r>
        <w:rPr>
          <w:rFonts w:hint="eastAsia" w:ascii="Times New Roman" w:hAnsi="Times New Roman"/>
          <w:sz w:val="30"/>
          <w:szCs w:val="30"/>
        </w:rPr>
        <w:t>8</w:t>
      </w:r>
      <w:r>
        <w:rPr>
          <w:rFonts w:ascii="Times New Roman" w:hAnsi="Times New Roman"/>
          <w:sz w:val="30"/>
          <w:szCs w:val="30"/>
        </w:rPr>
        <w:t>.1</w:t>
      </w:r>
      <w:r>
        <w:rPr>
          <w:rFonts w:hint="eastAsia" w:ascii="Times New Roman" w:hAnsi="Times New Roman"/>
          <w:sz w:val="30"/>
          <w:szCs w:val="30"/>
        </w:rPr>
        <w:t>建立和</w:t>
      </w:r>
      <w:r>
        <w:rPr>
          <w:rFonts w:ascii="Times New Roman" w:hAnsi="Times New Roman"/>
          <w:sz w:val="30"/>
          <w:szCs w:val="30"/>
        </w:rPr>
        <w:t>完善清洁生产组织</w:t>
      </w:r>
      <w:bookmarkEnd w:id="312"/>
      <w:bookmarkEnd w:id="313"/>
      <w:bookmarkEnd w:id="314"/>
      <w:bookmarkEnd w:id="315"/>
      <w:bookmarkEnd w:id="316"/>
    </w:p>
    <w:p>
      <w:pPr>
        <w:spacing w:line="360" w:lineRule="auto"/>
        <w:ind w:firstLine="482"/>
        <w:rPr>
          <w:rFonts w:ascii="Times New Roman" w:hAnsi="Times New Roman" w:eastAsia="宋体"/>
          <w:sz w:val="24"/>
          <w:szCs w:val="24"/>
        </w:rPr>
      </w:pPr>
      <w:r>
        <w:rPr>
          <w:rFonts w:ascii="Times New Roman" w:hAnsi="宋体" w:eastAsia="宋体"/>
          <w:sz w:val="24"/>
          <w:szCs w:val="24"/>
        </w:rPr>
        <w:t>为了巩固本次清洁生产成果，持续推行清洁生产，必须建立推行清洁生产工作的领导机构，负责以下几个方面的工作：</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1</w:t>
      </w:r>
      <w:r>
        <w:rPr>
          <w:rFonts w:ascii="Times New Roman" w:hAnsi="宋体" w:eastAsia="宋体"/>
          <w:sz w:val="24"/>
          <w:szCs w:val="24"/>
        </w:rPr>
        <w:t>）组织协调并监督实施本次审核提出的清洁生产方案。清洁生产组织机构要对已实施的方案继续进行监督、跟踪，并对已实施的方案不断总结，不断改进，使已实施的方案项目持续保持较好的经济效益。</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2</w:t>
      </w:r>
      <w:r>
        <w:rPr>
          <w:rFonts w:ascii="Times New Roman" w:hAnsi="宋体" w:eastAsia="宋体"/>
          <w:sz w:val="24"/>
          <w:szCs w:val="24"/>
        </w:rPr>
        <w:t>）经常性地组织对公司职工进行清洁生产教育和培训。公司要开展多种形式的教育培训活动，大力宣传清洁生产的意义，使全体员工进一步增强环保与节能意识，自觉参与到清洁生产工作中去，为持续开展清洁生产打下良好的群众基础。</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3</w:t>
      </w:r>
      <w:r>
        <w:rPr>
          <w:rFonts w:ascii="Times New Roman" w:hAnsi="宋体" w:eastAsia="宋体"/>
          <w:sz w:val="24"/>
          <w:szCs w:val="24"/>
        </w:rPr>
        <w:t>）选择下一轮清洁生产审核重点，并启动新的清洁生产审核。公司在本轮清洁生产审核工作结束后，清洁生产组织机构将发动全体员工，群策群力，启动下一轮的清洁生产审核工作。在充分调查研究的基础上，找出公司下一轮的清洁生产审核重点，制定工作计划，拟定工作目标，为下一轮的清洁生产审核工作做好准备。</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4</w:t>
      </w:r>
      <w:r>
        <w:rPr>
          <w:rFonts w:ascii="Times New Roman" w:hAnsi="宋体" w:eastAsia="宋体"/>
          <w:sz w:val="24"/>
          <w:szCs w:val="24"/>
        </w:rPr>
        <w:t>）负责清洁生产活动的日常管理。清洁生产组织要指定一名专人，负责清洁生产日常工作；并充分调动其他成员的积极性，做好日常检查、信息收集、情况汇总等工作。</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5</w:t>
      </w:r>
      <w:r>
        <w:rPr>
          <w:rFonts w:ascii="Times New Roman" w:hAnsi="宋体" w:eastAsia="宋体"/>
          <w:sz w:val="24"/>
          <w:szCs w:val="24"/>
        </w:rPr>
        <w:t>）不断推进清洁生产的制度建设，健全清洁生产的长效机制，为公司的清洁生产构建坚实的长久基础。</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6</w:t>
      </w:r>
      <w:r>
        <w:rPr>
          <w:rFonts w:ascii="Times New Roman" w:hAnsi="宋体" w:eastAsia="宋体"/>
          <w:sz w:val="24"/>
          <w:szCs w:val="24"/>
        </w:rPr>
        <w:t>）不断发现、学习、创新清洁生产技术，不断提高清洁生产的技术水平。</w:t>
      </w:r>
    </w:p>
    <w:p>
      <w:pPr>
        <w:spacing w:line="360" w:lineRule="auto"/>
        <w:ind w:firstLine="482"/>
        <w:rPr>
          <w:rFonts w:ascii="Times New Roman" w:hAnsi="Times New Roman" w:eastAsia="宋体"/>
          <w:sz w:val="24"/>
          <w:szCs w:val="24"/>
        </w:rPr>
      </w:pPr>
      <w:r>
        <w:rPr>
          <w:rFonts w:ascii="Times New Roman" w:hAnsi="宋体" w:eastAsia="宋体"/>
          <w:sz w:val="24"/>
          <w:szCs w:val="24"/>
        </w:rPr>
        <w:t>公司决定以本轮审核中成立的清洁生产工作小组为基础，成立清洁生产领导办公室，持续推进公司清洁生产工作。清洁生产办公室成员及各自责任见表</w:t>
      </w:r>
      <w:r>
        <w:rPr>
          <w:rFonts w:ascii="Times New Roman" w:hAnsi="Times New Roman" w:eastAsia="宋体"/>
          <w:sz w:val="24"/>
          <w:szCs w:val="24"/>
        </w:rPr>
        <w:t>8-1</w:t>
      </w:r>
      <w:r>
        <w:rPr>
          <w:rFonts w:ascii="Times New Roman" w:hAnsi="宋体" w:eastAsia="宋体"/>
          <w:sz w:val="24"/>
          <w:szCs w:val="24"/>
        </w:rPr>
        <w:t>，具体工作开展中还可适当增加一些临时成员。</w:t>
      </w:r>
    </w:p>
    <w:p>
      <w:pPr>
        <w:pStyle w:val="42"/>
        <w:spacing w:before="120"/>
        <w:rPr>
          <w:rFonts w:hAnsi="楷体" w:eastAsia="楷体"/>
          <w:b/>
          <w:szCs w:val="24"/>
        </w:rPr>
      </w:pPr>
      <w:r>
        <w:rPr>
          <w:rFonts w:hAnsi="楷体" w:eastAsia="楷体"/>
          <w:b/>
          <w:szCs w:val="24"/>
        </w:rPr>
        <w:t>表</w:t>
      </w:r>
      <w:r>
        <w:rPr>
          <w:rFonts w:hint="eastAsia" w:hAnsi="楷体" w:eastAsia="楷体"/>
          <w:b/>
          <w:szCs w:val="24"/>
        </w:rPr>
        <w:t>8</w:t>
      </w:r>
      <w:r>
        <w:rPr>
          <w:rFonts w:hAnsi="楷体" w:eastAsia="楷体"/>
          <w:b/>
          <w:szCs w:val="24"/>
        </w:rPr>
        <w:t>-1清洁生产</w:t>
      </w:r>
      <w:r>
        <w:rPr>
          <w:rFonts w:hint="eastAsia" w:hAnsi="楷体" w:eastAsia="楷体"/>
          <w:b/>
          <w:szCs w:val="24"/>
        </w:rPr>
        <w:t>办公室成员一览表</w:t>
      </w:r>
    </w:p>
    <w:tbl>
      <w:tblPr>
        <w:tblStyle w:val="27"/>
        <w:tblpPr w:leftFromText="180" w:rightFromText="180" w:vertAnchor="text" w:horzAnchor="page" w:tblpX="1700" w:tblpY="481"/>
        <w:tblOverlap w:val="never"/>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1132"/>
        <w:gridCol w:w="1559"/>
        <w:gridCol w:w="49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03" w:type="dxa"/>
            <w:vAlign w:val="center"/>
          </w:tcPr>
          <w:p>
            <w:pPr>
              <w:pStyle w:val="44"/>
              <w:snapToGrid w:val="0"/>
              <w:spacing w:line="240" w:lineRule="auto"/>
              <w:rPr>
                <w:rFonts w:ascii="宋体" w:hAnsi="宋体" w:eastAsia="宋体"/>
                <w:szCs w:val="21"/>
              </w:rPr>
            </w:pPr>
            <w:bookmarkStart w:id="317" w:name="_Toc525138291"/>
            <w:bookmarkStart w:id="318" w:name="_Toc525138435"/>
            <w:bookmarkStart w:id="319" w:name="_Toc499903522"/>
            <w:bookmarkStart w:id="320" w:name="_Toc316932549"/>
            <w:r>
              <w:rPr>
                <w:rFonts w:ascii="宋体" w:hAnsi="宋体" w:eastAsia="宋体"/>
                <w:szCs w:val="21"/>
              </w:rPr>
              <w:t>姓名</w:t>
            </w:r>
          </w:p>
        </w:tc>
        <w:tc>
          <w:tcPr>
            <w:tcW w:w="1132" w:type="dxa"/>
            <w:vAlign w:val="center"/>
          </w:tcPr>
          <w:p>
            <w:pPr>
              <w:pStyle w:val="44"/>
              <w:snapToGrid w:val="0"/>
              <w:spacing w:line="240" w:lineRule="auto"/>
              <w:rPr>
                <w:rFonts w:ascii="宋体" w:hAnsi="宋体" w:eastAsia="宋体"/>
                <w:szCs w:val="21"/>
              </w:rPr>
            </w:pPr>
            <w:r>
              <w:rPr>
                <w:rFonts w:ascii="宋体" w:hAnsi="宋体" w:eastAsia="宋体"/>
                <w:szCs w:val="21"/>
              </w:rPr>
              <w:t>审核小组</w:t>
            </w:r>
          </w:p>
          <w:p>
            <w:pPr>
              <w:pStyle w:val="44"/>
              <w:snapToGrid w:val="0"/>
              <w:spacing w:line="240" w:lineRule="auto"/>
              <w:rPr>
                <w:rFonts w:ascii="宋体" w:hAnsi="宋体" w:eastAsia="宋体"/>
                <w:szCs w:val="21"/>
              </w:rPr>
            </w:pPr>
            <w:r>
              <w:rPr>
                <w:rFonts w:ascii="宋体" w:hAnsi="宋体" w:eastAsia="宋体"/>
                <w:szCs w:val="21"/>
              </w:rPr>
              <w:t>职务</w:t>
            </w:r>
          </w:p>
        </w:tc>
        <w:tc>
          <w:tcPr>
            <w:tcW w:w="1559" w:type="dxa"/>
            <w:vAlign w:val="center"/>
          </w:tcPr>
          <w:p>
            <w:pPr>
              <w:pStyle w:val="44"/>
              <w:snapToGrid w:val="0"/>
              <w:spacing w:line="240" w:lineRule="auto"/>
              <w:rPr>
                <w:rFonts w:ascii="宋体" w:hAnsi="宋体" w:eastAsia="宋体"/>
                <w:szCs w:val="21"/>
              </w:rPr>
            </w:pPr>
            <w:r>
              <w:rPr>
                <w:rFonts w:ascii="宋体" w:hAnsi="宋体" w:eastAsia="宋体"/>
                <w:szCs w:val="21"/>
              </w:rPr>
              <w:t>来自部门及职务</w:t>
            </w:r>
          </w:p>
        </w:tc>
        <w:tc>
          <w:tcPr>
            <w:tcW w:w="4926" w:type="dxa"/>
            <w:vAlign w:val="center"/>
          </w:tcPr>
          <w:p>
            <w:pPr>
              <w:pStyle w:val="44"/>
              <w:snapToGrid w:val="0"/>
              <w:spacing w:line="240" w:lineRule="auto"/>
              <w:rPr>
                <w:rFonts w:ascii="宋体" w:hAnsi="宋体" w:eastAsia="宋体"/>
                <w:szCs w:val="21"/>
              </w:rPr>
            </w:pPr>
            <w:r>
              <w:rPr>
                <w:rFonts w:ascii="宋体" w:hAnsi="宋体" w:eastAsia="宋体"/>
                <w:szCs w:val="21"/>
              </w:rPr>
              <w:t>审核职责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刘光辉</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组长</w:t>
            </w:r>
          </w:p>
        </w:tc>
        <w:tc>
          <w:tcPr>
            <w:tcW w:w="1559" w:type="dxa"/>
            <w:vAlign w:val="center"/>
          </w:tcPr>
          <w:p>
            <w:pPr>
              <w:pStyle w:val="45"/>
              <w:spacing w:line="240" w:lineRule="auto"/>
              <w:rPr>
                <w:rFonts w:ascii="宋体" w:hAnsi="宋体" w:eastAsia="宋体"/>
                <w:szCs w:val="21"/>
              </w:rPr>
            </w:pPr>
            <w:r>
              <w:rPr>
                <w:rFonts w:hint="eastAsia" w:ascii="宋体" w:hAnsi="宋体" w:eastAsia="宋体"/>
                <w:szCs w:val="21"/>
              </w:rPr>
              <w:t>总经理</w:t>
            </w:r>
          </w:p>
        </w:tc>
        <w:tc>
          <w:tcPr>
            <w:tcW w:w="4926" w:type="dxa"/>
            <w:vAlign w:val="center"/>
          </w:tcPr>
          <w:p>
            <w:pPr>
              <w:rPr>
                <w:rFonts w:ascii="宋体" w:hAnsi="宋体" w:eastAsia="宋体"/>
                <w:szCs w:val="21"/>
              </w:rPr>
            </w:pPr>
            <w:r>
              <w:rPr>
                <w:rFonts w:ascii="宋体" w:hAnsi="宋体" w:eastAsia="宋体"/>
                <w:szCs w:val="21"/>
              </w:rPr>
              <w:t>全面领导统筹，安排各部门的清洁生产工作，批准中/高费方案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6"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卢中华</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副组长</w:t>
            </w:r>
          </w:p>
        </w:tc>
        <w:tc>
          <w:tcPr>
            <w:tcW w:w="1559" w:type="dxa"/>
            <w:vAlign w:val="center"/>
          </w:tcPr>
          <w:p>
            <w:pPr>
              <w:pStyle w:val="45"/>
              <w:spacing w:line="240" w:lineRule="auto"/>
              <w:rPr>
                <w:rFonts w:ascii="宋体" w:hAnsi="宋体" w:eastAsia="宋体"/>
                <w:szCs w:val="21"/>
              </w:rPr>
            </w:pPr>
            <w:r>
              <w:rPr>
                <w:rFonts w:hint="eastAsia" w:ascii="宋体" w:hAnsi="宋体" w:eastAsia="宋体"/>
                <w:szCs w:val="21"/>
              </w:rPr>
              <w:t>运营总监</w:t>
            </w:r>
          </w:p>
        </w:tc>
        <w:tc>
          <w:tcPr>
            <w:tcW w:w="4926" w:type="dxa"/>
            <w:vAlign w:val="center"/>
          </w:tcPr>
          <w:p>
            <w:pPr>
              <w:rPr>
                <w:rFonts w:ascii="宋体" w:hAnsi="宋体" w:eastAsia="宋体"/>
                <w:szCs w:val="21"/>
              </w:rPr>
            </w:pPr>
            <w:r>
              <w:rPr>
                <w:rFonts w:ascii="宋体" w:hAnsi="宋体" w:eastAsia="宋体"/>
                <w:szCs w:val="21"/>
              </w:rPr>
              <w:t>配合组长，组织协调各部门、各阶段的审核工作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3" w:type="dxa"/>
            <w:vAlign w:val="center"/>
          </w:tcPr>
          <w:p>
            <w:pPr>
              <w:pStyle w:val="45"/>
              <w:spacing w:line="240" w:lineRule="auto"/>
              <w:rPr>
                <w:rFonts w:hint="eastAsia" w:ascii="宋体" w:hAnsi="宋体" w:eastAsia="宋体"/>
                <w:szCs w:val="21"/>
                <w:lang w:eastAsia="zh-CN"/>
              </w:rPr>
            </w:pPr>
            <w:r>
              <w:rPr>
                <w:rFonts w:hint="eastAsia" w:ascii="宋体" w:hAnsi="宋体" w:eastAsia="宋体"/>
                <w:szCs w:val="21"/>
                <w:lang w:eastAsia="zh-CN"/>
              </w:rPr>
              <w:t>刘本</w:t>
            </w:r>
          </w:p>
        </w:tc>
        <w:tc>
          <w:tcPr>
            <w:tcW w:w="1132" w:type="dxa"/>
            <w:vAlign w:val="center"/>
          </w:tcPr>
          <w:p>
            <w:pPr>
              <w:pStyle w:val="45"/>
              <w:spacing w:line="240" w:lineRule="auto"/>
              <w:rPr>
                <w:rFonts w:ascii="宋体" w:hAnsi="宋体" w:eastAsia="宋体"/>
                <w:szCs w:val="21"/>
              </w:rPr>
            </w:pPr>
            <w:r>
              <w:rPr>
                <w:rFonts w:hint="eastAsia" w:ascii="宋体" w:hAnsi="宋体" w:eastAsia="宋体"/>
                <w:szCs w:val="21"/>
              </w:rPr>
              <w:t>成员</w:t>
            </w:r>
          </w:p>
        </w:tc>
        <w:tc>
          <w:tcPr>
            <w:tcW w:w="1559" w:type="dxa"/>
            <w:vAlign w:val="center"/>
          </w:tcPr>
          <w:p>
            <w:pPr>
              <w:pStyle w:val="45"/>
              <w:spacing w:line="240" w:lineRule="auto"/>
              <w:rPr>
                <w:rFonts w:hint="eastAsia" w:ascii="宋体" w:hAnsi="宋体" w:eastAsia="宋体"/>
                <w:szCs w:val="21"/>
                <w:lang w:eastAsia="zh-CN"/>
              </w:rPr>
            </w:pPr>
            <w:r>
              <w:rPr>
                <w:rFonts w:hint="eastAsia" w:ascii="宋体" w:hAnsi="宋体" w:eastAsia="宋体"/>
                <w:szCs w:val="21"/>
                <w:lang w:eastAsia="zh-CN"/>
              </w:rPr>
              <w:t>财务总监</w:t>
            </w:r>
          </w:p>
        </w:tc>
        <w:tc>
          <w:tcPr>
            <w:tcW w:w="4926" w:type="dxa"/>
            <w:vAlign w:val="center"/>
          </w:tcPr>
          <w:p>
            <w:pPr>
              <w:pStyle w:val="44"/>
              <w:spacing w:line="240" w:lineRule="auto"/>
              <w:rPr>
                <w:rFonts w:ascii="宋体" w:hAnsi="宋体" w:eastAsia="宋体"/>
                <w:szCs w:val="21"/>
              </w:rPr>
            </w:pPr>
            <w:r>
              <w:rPr>
                <w:rFonts w:hint="eastAsia" w:ascii="宋体" w:hAnsi="宋体" w:eastAsia="宋体"/>
                <w:szCs w:val="21"/>
              </w:rPr>
              <w:t>提供相关财务数据及资料，参与方案财务分析，负责财务相关事项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6"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张华</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ascii="宋体" w:hAnsi="宋体" w:eastAsia="宋体"/>
                <w:szCs w:val="21"/>
              </w:rPr>
            </w:pPr>
            <w:r>
              <w:rPr>
                <w:rFonts w:hint="eastAsia" w:ascii="宋体" w:hAnsi="宋体" w:eastAsia="宋体"/>
                <w:szCs w:val="21"/>
              </w:rPr>
              <w:t>品质部长</w:t>
            </w:r>
          </w:p>
        </w:tc>
        <w:tc>
          <w:tcPr>
            <w:tcW w:w="4926" w:type="dxa"/>
            <w:vMerge w:val="restart"/>
            <w:vAlign w:val="center"/>
          </w:tcPr>
          <w:p>
            <w:pPr>
              <w:pStyle w:val="44"/>
              <w:snapToGrid w:val="0"/>
              <w:spacing w:line="240" w:lineRule="auto"/>
              <w:jc w:val="left"/>
              <w:rPr>
                <w:rFonts w:eastAsia="宋体"/>
                <w:kern w:val="0"/>
                <w:szCs w:val="21"/>
              </w:rPr>
            </w:pPr>
            <w:r>
              <w:rPr>
                <w:rFonts w:eastAsia="宋体"/>
                <w:kern w:val="0"/>
                <w:szCs w:val="21"/>
              </w:rPr>
              <w:t>1</w:t>
            </w:r>
            <w:r>
              <w:rPr>
                <w:rFonts w:hAnsi="宋体" w:eastAsia="宋体"/>
                <w:kern w:val="0"/>
                <w:szCs w:val="21"/>
              </w:rPr>
              <w:t>、进行清洁生产的宣传教育，组织进行审核培训，负责制定有关的制度、规程；</w:t>
            </w:r>
          </w:p>
          <w:p>
            <w:pPr>
              <w:pStyle w:val="44"/>
              <w:snapToGrid w:val="0"/>
              <w:spacing w:line="240" w:lineRule="auto"/>
              <w:jc w:val="left"/>
              <w:rPr>
                <w:rFonts w:eastAsia="宋体"/>
                <w:kern w:val="0"/>
                <w:szCs w:val="21"/>
              </w:rPr>
            </w:pPr>
            <w:r>
              <w:rPr>
                <w:rFonts w:eastAsia="宋体"/>
                <w:kern w:val="0"/>
                <w:szCs w:val="21"/>
              </w:rPr>
              <w:t>2</w:t>
            </w:r>
            <w:r>
              <w:rPr>
                <w:rFonts w:hAnsi="宋体" w:eastAsia="宋体"/>
                <w:kern w:val="0"/>
                <w:szCs w:val="21"/>
              </w:rPr>
              <w:t>、提供生产工艺流程、设备及产品质量相关资料、组织对相关资料的统计分析；</w:t>
            </w:r>
          </w:p>
          <w:p>
            <w:pPr>
              <w:pStyle w:val="44"/>
              <w:snapToGrid w:val="0"/>
              <w:spacing w:line="240" w:lineRule="auto"/>
              <w:jc w:val="left"/>
              <w:rPr>
                <w:rFonts w:eastAsia="宋体"/>
                <w:kern w:val="0"/>
                <w:szCs w:val="21"/>
              </w:rPr>
            </w:pPr>
            <w:r>
              <w:rPr>
                <w:rFonts w:eastAsia="宋体"/>
                <w:kern w:val="0"/>
                <w:szCs w:val="21"/>
              </w:rPr>
              <w:t>3</w:t>
            </w:r>
            <w:r>
              <w:rPr>
                <w:rFonts w:hAnsi="宋体" w:eastAsia="宋体"/>
                <w:kern w:val="0"/>
                <w:szCs w:val="21"/>
              </w:rPr>
              <w:t>、提出促进清洁生产的建议与措施，调动全员参与清洁生产的积极性；</w:t>
            </w:r>
          </w:p>
          <w:p>
            <w:pPr>
              <w:pStyle w:val="44"/>
              <w:snapToGrid w:val="0"/>
              <w:spacing w:line="240" w:lineRule="auto"/>
              <w:jc w:val="left"/>
              <w:rPr>
                <w:rFonts w:eastAsia="宋体"/>
                <w:kern w:val="0"/>
                <w:szCs w:val="21"/>
              </w:rPr>
            </w:pPr>
            <w:r>
              <w:rPr>
                <w:rFonts w:eastAsia="宋体"/>
                <w:kern w:val="0"/>
                <w:szCs w:val="21"/>
              </w:rPr>
              <w:t>4</w:t>
            </w:r>
            <w:r>
              <w:rPr>
                <w:rFonts w:hAnsi="宋体" w:eastAsia="宋体"/>
                <w:kern w:val="0"/>
                <w:szCs w:val="21"/>
              </w:rPr>
              <w:t>、组织对生产过程的物料平衡统计分析，并按要求进行技术评估和可行性分析，协助清洁生产方案的确定；</w:t>
            </w:r>
          </w:p>
          <w:p>
            <w:pPr>
              <w:pStyle w:val="44"/>
              <w:snapToGrid w:val="0"/>
              <w:spacing w:line="240" w:lineRule="auto"/>
              <w:jc w:val="left"/>
              <w:rPr>
                <w:rFonts w:ascii="宋体" w:hAnsi="宋体" w:eastAsia="宋体"/>
                <w:szCs w:val="21"/>
                <w:highlight w:val="yellow"/>
              </w:rPr>
            </w:pPr>
            <w:r>
              <w:rPr>
                <w:rFonts w:eastAsia="宋体"/>
                <w:kern w:val="0"/>
                <w:szCs w:val="21"/>
              </w:rPr>
              <w:t>5</w:t>
            </w:r>
            <w:r>
              <w:rPr>
                <w:rFonts w:hAnsi="宋体" w:eastAsia="宋体"/>
                <w:kern w:val="0"/>
                <w:szCs w:val="21"/>
              </w:rPr>
              <w:t>、负责组织清洁生产方案的实施；</w:t>
            </w:r>
            <w:r>
              <w:rPr>
                <w:rFonts w:ascii="宋体" w:hAnsi="宋体" w:eastAsia="宋体"/>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3"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李开阳</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财务部长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5"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刘涛</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生产部长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曾琼</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行政部长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赵五祥</w:t>
            </w:r>
          </w:p>
        </w:tc>
        <w:tc>
          <w:tcPr>
            <w:tcW w:w="1132" w:type="dxa"/>
            <w:vAlign w:val="center"/>
          </w:tcPr>
          <w:p>
            <w:pPr>
              <w:pStyle w:val="45"/>
              <w:spacing w:line="240" w:lineRule="auto"/>
              <w:rPr>
                <w:rFonts w:hint="eastAsia" w:ascii="宋体" w:hAnsi="宋体" w:eastAsia="宋体"/>
                <w:szCs w:val="21"/>
                <w:lang w:val="en-US" w:eastAsia="zh-CN"/>
              </w:rPr>
            </w:pPr>
            <w:r>
              <w:rPr>
                <w:rFonts w:hint="eastAsia" w:ascii="宋体" w:hAnsi="宋体" w:eastAsia="宋体"/>
                <w:szCs w:val="21"/>
                <w:lang w:val="en-US" w:eastAsia="zh-CN"/>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销售经理</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曹蜜</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生产制造部长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bl>
    <w:p>
      <w:pPr>
        <w:pStyle w:val="3"/>
        <w:widowControl w:val="0"/>
        <w:adjustRightInd/>
        <w:snapToGrid/>
        <w:spacing w:beforeLines="50" w:after="0" w:line="360" w:lineRule="auto"/>
        <w:rPr>
          <w:rFonts w:ascii="Times New Roman" w:hAnsi="Times New Roman"/>
          <w:sz w:val="30"/>
          <w:szCs w:val="30"/>
        </w:rPr>
      </w:pPr>
      <w:bookmarkStart w:id="321" w:name="_Toc12700"/>
      <w:r>
        <w:rPr>
          <w:rFonts w:hint="eastAsia" w:ascii="Times New Roman" w:hAnsi="Times New Roman"/>
          <w:sz w:val="30"/>
          <w:szCs w:val="30"/>
        </w:rPr>
        <w:t>8</w:t>
      </w:r>
      <w:r>
        <w:rPr>
          <w:rFonts w:ascii="Times New Roman" w:hAnsi="Times New Roman"/>
          <w:sz w:val="30"/>
          <w:szCs w:val="30"/>
        </w:rPr>
        <w:t>.</w:t>
      </w:r>
      <w:r>
        <w:rPr>
          <w:rFonts w:hint="eastAsia" w:ascii="Times New Roman" w:hAnsi="Times New Roman"/>
          <w:sz w:val="30"/>
          <w:szCs w:val="30"/>
        </w:rPr>
        <w:t>2建立和</w:t>
      </w:r>
      <w:r>
        <w:rPr>
          <w:rFonts w:ascii="Times New Roman" w:hAnsi="Times New Roman"/>
          <w:sz w:val="30"/>
          <w:szCs w:val="30"/>
        </w:rPr>
        <w:t>完善清洁生产管理制度</w:t>
      </w:r>
      <w:bookmarkEnd w:id="317"/>
      <w:bookmarkEnd w:id="318"/>
      <w:bookmarkEnd w:id="319"/>
      <w:bookmarkEnd w:id="320"/>
      <w:bookmarkEnd w:id="321"/>
    </w:p>
    <w:p>
      <w:pPr>
        <w:spacing w:line="360" w:lineRule="auto"/>
        <w:ind w:firstLine="482"/>
        <w:rPr>
          <w:rFonts w:ascii="宋体" w:hAnsi="宋体" w:eastAsia="宋体"/>
          <w:sz w:val="24"/>
          <w:szCs w:val="24"/>
        </w:rPr>
      </w:pPr>
      <w:r>
        <w:rPr>
          <w:rFonts w:ascii="宋体" w:hAnsi="宋体" w:eastAsia="宋体"/>
          <w:sz w:val="24"/>
          <w:szCs w:val="24"/>
        </w:rPr>
        <w:t>要将清洁生产在企业持续下去，必须建立和完善清洁生产管理制度，清洁生产管理制度包括把审核成果纳入企业的日常管理轨道、建立激励机制和保证稳定的清洁生产资金来源。</w:t>
      </w:r>
    </w:p>
    <w:p>
      <w:pPr>
        <w:pStyle w:val="4"/>
        <w:widowControl w:val="0"/>
        <w:spacing w:beforeLines="50" w:after="0" w:line="360" w:lineRule="auto"/>
        <w:rPr>
          <w:rFonts w:ascii="Times New Roman" w:hAnsi="Times New Roman" w:eastAsia="宋体" w:cs="Courier New"/>
          <w:sz w:val="24"/>
          <w:szCs w:val="24"/>
        </w:rPr>
      </w:pPr>
      <w:bookmarkStart w:id="322" w:name="_Toc25321"/>
      <w:bookmarkStart w:id="323" w:name="_Toc525138436"/>
      <w:bookmarkStart w:id="324" w:name="_Toc462057867"/>
      <w:bookmarkStart w:id="325" w:name="_Toc499903523"/>
      <w:bookmarkStart w:id="326" w:name="_Toc525138292"/>
      <w:r>
        <w:rPr>
          <w:rFonts w:hint="eastAsia" w:ascii="Times New Roman" w:hAnsi="Times New Roman" w:eastAsia="宋体" w:cs="Courier New"/>
          <w:sz w:val="24"/>
          <w:szCs w:val="24"/>
        </w:rPr>
        <w:t>8.2.1</w:t>
      </w:r>
      <w:r>
        <w:rPr>
          <w:rFonts w:ascii="Times New Roman" w:hAnsi="Times New Roman" w:eastAsia="宋体" w:cs="Courier New"/>
          <w:sz w:val="24"/>
          <w:szCs w:val="24"/>
        </w:rPr>
        <w:t>把审核成果纳入企业的日常管理</w:t>
      </w:r>
      <w:bookmarkEnd w:id="322"/>
      <w:bookmarkEnd w:id="323"/>
      <w:bookmarkEnd w:id="324"/>
      <w:bookmarkEnd w:id="325"/>
      <w:bookmarkEnd w:id="326"/>
    </w:p>
    <w:p>
      <w:pPr>
        <w:spacing w:line="360" w:lineRule="auto"/>
        <w:ind w:firstLine="482"/>
        <w:rPr>
          <w:rFonts w:ascii="Times New Roman" w:hAnsi="Times New Roman" w:eastAsia="宋体"/>
          <w:sz w:val="24"/>
          <w:szCs w:val="24"/>
        </w:rPr>
      </w:pPr>
      <w:r>
        <w:rPr>
          <w:rFonts w:ascii="Times New Roman" w:hAnsi="宋体" w:eastAsia="宋体"/>
          <w:sz w:val="24"/>
          <w:szCs w:val="24"/>
        </w:rPr>
        <w:t>清洁生产是企业全面管理体系的一个独特的、重要的、有机的组成部分。把清洁生产审核工作融入企业的整个管理体系中，特别是将清洁生产审核制度与质量管理体系、环境保护管理体系紧紧融合在一起，将大大促进企业清洁生产审核工作水平的提高，也将不断提高企业的现代化管理水平。</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1</w:t>
      </w:r>
      <w:r>
        <w:rPr>
          <w:rFonts w:ascii="Times New Roman" w:hAnsi="宋体" w:eastAsia="宋体"/>
          <w:sz w:val="24"/>
          <w:szCs w:val="24"/>
        </w:rPr>
        <w:t>）为了巩固清洁生产成效、防止走过场，公司将针对清洁生产审核过程中产生的加强管理的措施文件化，形成相应的制度；</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2</w:t>
      </w:r>
      <w:r>
        <w:rPr>
          <w:rFonts w:ascii="Times New Roman" w:hAnsi="宋体" w:eastAsia="宋体"/>
          <w:sz w:val="24"/>
          <w:szCs w:val="24"/>
        </w:rPr>
        <w:t>）将清洁生产审核过程中提出的岗位操作改进措施，写入岗位的操作规程，并要求严格执行；</w:t>
      </w:r>
    </w:p>
    <w:p>
      <w:pPr>
        <w:spacing w:line="360" w:lineRule="auto"/>
        <w:ind w:firstLine="482"/>
        <w:rPr>
          <w:rFonts w:ascii="Times New Roman" w:hAnsi="Times New Roman" w:eastAsia="宋体"/>
          <w:sz w:val="24"/>
          <w:szCs w:val="24"/>
        </w:rPr>
      </w:pPr>
      <w:r>
        <w:rPr>
          <w:rFonts w:ascii="Times New Roman" w:hAnsi="宋体" w:eastAsia="宋体"/>
          <w:sz w:val="24"/>
          <w:szCs w:val="24"/>
        </w:rPr>
        <w:t>（</w:t>
      </w:r>
      <w:r>
        <w:rPr>
          <w:rFonts w:ascii="Times New Roman" w:hAnsi="Times New Roman" w:eastAsia="宋体"/>
          <w:sz w:val="24"/>
          <w:szCs w:val="24"/>
        </w:rPr>
        <w:t>3</w:t>
      </w:r>
      <w:r>
        <w:rPr>
          <w:rFonts w:ascii="Times New Roman" w:hAnsi="宋体" w:eastAsia="宋体"/>
          <w:sz w:val="24"/>
          <w:szCs w:val="24"/>
        </w:rPr>
        <w:t>）将清洁生产审核过程中提出的工艺过程控制的改进措施，写入企业的技术规范。</w:t>
      </w:r>
    </w:p>
    <w:p>
      <w:pPr>
        <w:pStyle w:val="4"/>
        <w:widowControl w:val="0"/>
        <w:spacing w:beforeLines="50" w:after="0" w:line="360" w:lineRule="auto"/>
        <w:rPr>
          <w:rFonts w:ascii="Times New Roman" w:hAnsi="Times New Roman" w:eastAsia="宋体" w:cs="Courier New"/>
          <w:sz w:val="28"/>
          <w:szCs w:val="30"/>
        </w:rPr>
      </w:pPr>
      <w:bookmarkStart w:id="327" w:name="_Toc499903524"/>
      <w:bookmarkStart w:id="328" w:name="_Toc21065"/>
      <w:bookmarkStart w:id="329" w:name="_Toc525138437"/>
      <w:bookmarkStart w:id="330" w:name="_Toc462057868"/>
      <w:bookmarkStart w:id="331" w:name="_Toc525138293"/>
      <w:r>
        <w:rPr>
          <w:rFonts w:hint="eastAsia" w:ascii="Times New Roman" w:hAnsi="Times New Roman" w:eastAsia="宋体" w:cs="Courier New"/>
          <w:sz w:val="28"/>
          <w:szCs w:val="30"/>
        </w:rPr>
        <w:t>8.2.2</w:t>
      </w:r>
      <w:r>
        <w:rPr>
          <w:rFonts w:ascii="Times New Roman" w:hAnsi="Times New Roman" w:eastAsia="宋体" w:cs="Courier New"/>
          <w:sz w:val="28"/>
          <w:szCs w:val="30"/>
        </w:rPr>
        <w:t>建立和完善清洁生产激励机制</w:t>
      </w:r>
      <w:bookmarkEnd w:id="327"/>
      <w:bookmarkEnd w:id="328"/>
      <w:bookmarkEnd w:id="329"/>
      <w:bookmarkEnd w:id="330"/>
      <w:bookmarkEnd w:id="331"/>
    </w:p>
    <w:p>
      <w:pPr>
        <w:spacing w:line="360" w:lineRule="auto"/>
        <w:ind w:firstLine="482"/>
        <w:rPr>
          <w:rFonts w:ascii="Times New Roman" w:hAnsi="宋体" w:eastAsia="宋体"/>
          <w:sz w:val="24"/>
          <w:szCs w:val="24"/>
        </w:rPr>
      </w:pPr>
      <w:r>
        <w:rPr>
          <w:rFonts w:ascii="Times New Roman" w:hAnsi="宋体" w:eastAsia="宋体"/>
          <w:sz w:val="24"/>
          <w:szCs w:val="24"/>
        </w:rPr>
        <w:t>制定《</w:t>
      </w:r>
      <w:r>
        <w:rPr>
          <w:rFonts w:hint="eastAsia" w:ascii="Times New Roman" w:hAnsi="宋体" w:eastAsia="宋体"/>
          <w:sz w:val="24"/>
          <w:szCs w:val="24"/>
          <w:lang w:eastAsia="zh-CN"/>
        </w:rPr>
        <w:t>湖南光华荣昌汽车部件有限公司</w:t>
      </w:r>
      <w:r>
        <w:rPr>
          <w:rFonts w:ascii="Times New Roman" w:hAnsi="宋体" w:eastAsia="宋体"/>
          <w:sz w:val="24"/>
          <w:szCs w:val="24"/>
        </w:rPr>
        <w:t>清洁生产</w:t>
      </w:r>
      <w:r>
        <w:rPr>
          <w:rFonts w:hint="eastAsia" w:ascii="Times New Roman" w:hAnsi="宋体" w:eastAsia="宋体"/>
          <w:sz w:val="24"/>
          <w:szCs w:val="24"/>
        </w:rPr>
        <w:t>管理</w:t>
      </w:r>
      <w:r>
        <w:rPr>
          <w:rFonts w:ascii="Times New Roman" w:hAnsi="宋体" w:eastAsia="宋体"/>
          <w:sz w:val="24"/>
          <w:szCs w:val="24"/>
        </w:rPr>
        <w:t>办法》，主要内容为：定期开展合理化建议活动，对提出的有利于生产、安全、环保等有利于清洁生产的做法和建议，按照建议的合理程度给予不同程度的现金奖励，以调动全体职工参与清洁生产的积极性。</w:t>
      </w:r>
    </w:p>
    <w:p>
      <w:pPr>
        <w:pStyle w:val="4"/>
        <w:widowControl w:val="0"/>
        <w:spacing w:beforeLines="50" w:after="0" w:line="360" w:lineRule="auto"/>
        <w:rPr>
          <w:rFonts w:ascii="Times New Roman" w:hAnsi="Times New Roman" w:eastAsia="宋体" w:cs="Courier New"/>
          <w:sz w:val="28"/>
          <w:szCs w:val="30"/>
        </w:rPr>
      </w:pPr>
      <w:bookmarkStart w:id="332" w:name="_Toc6080"/>
      <w:bookmarkStart w:id="333" w:name="_Toc525138438"/>
      <w:bookmarkStart w:id="334" w:name="_Toc462057869"/>
      <w:bookmarkStart w:id="335" w:name="_Toc525138294"/>
      <w:bookmarkStart w:id="336" w:name="_Toc499903525"/>
      <w:r>
        <w:rPr>
          <w:rFonts w:hint="eastAsia" w:ascii="Times New Roman" w:hAnsi="Times New Roman" w:eastAsia="宋体" w:cs="Courier New"/>
          <w:sz w:val="28"/>
          <w:szCs w:val="30"/>
        </w:rPr>
        <w:t>8.2.3</w:t>
      </w:r>
      <w:r>
        <w:rPr>
          <w:rFonts w:ascii="Times New Roman" w:hAnsi="Times New Roman" w:eastAsia="宋体" w:cs="Courier New"/>
          <w:sz w:val="28"/>
          <w:szCs w:val="30"/>
        </w:rPr>
        <w:t>保证稳定的清洁生产资金来源</w:t>
      </w:r>
      <w:bookmarkEnd w:id="332"/>
      <w:bookmarkEnd w:id="333"/>
      <w:bookmarkEnd w:id="334"/>
      <w:bookmarkEnd w:id="335"/>
      <w:bookmarkEnd w:id="336"/>
    </w:p>
    <w:p>
      <w:pPr>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对清洁生产的投资和效益单独建账，规定保证实施清洁生产所产生的经济效益，全部或者部分用于清洁生产和清洁生产审核，以持续滚动地推进清洁生产。</w:t>
      </w:r>
    </w:p>
    <w:p>
      <w:pPr>
        <w:pStyle w:val="3"/>
        <w:widowControl w:val="0"/>
        <w:adjustRightInd/>
        <w:snapToGrid/>
        <w:spacing w:beforeLines="50" w:after="0" w:line="360" w:lineRule="auto"/>
        <w:rPr>
          <w:rFonts w:ascii="Times New Roman" w:hAnsi="Times New Roman"/>
          <w:sz w:val="30"/>
          <w:szCs w:val="30"/>
        </w:rPr>
      </w:pPr>
      <w:bookmarkStart w:id="337" w:name="_Toc29768"/>
      <w:bookmarkStart w:id="338" w:name="_Toc316932550"/>
      <w:bookmarkStart w:id="339" w:name="_Toc499903526"/>
      <w:bookmarkStart w:id="340" w:name="_Toc525138295"/>
      <w:bookmarkStart w:id="341" w:name="_Toc525138439"/>
      <w:r>
        <w:rPr>
          <w:rFonts w:hint="eastAsia" w:ascii="Times New Roman" w:hAnsi="Times New Roman"/>
          <w:sz w:val="30"/>
          <w:szCs w:val="30"/>
        </w:rPr>
        <w:t>8</w:t>
      </w:r>
      <w:r>
        <w:rPr>
          <w:rFonts w:ascii="Times New Roman" w:hAnsi="Times New Roman"/>
          <w:sz w:val="30"/>
          <w:szCs w:val="30"/>
        </w:rPr>
        <w:t>.3</w:t>
      </w:r>
      <w:r>
        <w:rPr>
          <w:rFonts w:asciiTheme="minorEastAsia" w:hAnsiTheme="minorEastAsia" w:eastAsiaTheme="minorEastAsia"/>
          <w:sz w:val="30"/>
          <w:szCs w:val="30"/>
        </w:rPr>
        <w:t>持续清洁生产计划</w:t>
      </w:r>
      <w:bookmarkEnd w:id="337"/>
      <w:bookmarkEnd w:id="338"/>
      <w:bookmarkEnd w:id="339"/>
      <w:bookmarkEnd w:id="340"/>
      <w:bookmarkEnd w:id="341"/>
    </w:p>
    <w:p>
      <w:pPr>
        <w:pStyle w:val="4"/>
        <w:widowControl w:val="0"/>
        <w:spacing w:beforeLines="50" w:after="0" w:line="360" w:lineRule="auto"/>
        <w:rPr>
          <w:rFonts w:ascii="Times New Roman" w:hAnsi="Times New Roman" w:eastAsia="宋体" w:cs="Courier New"/>
          <w:sz w:val="28"/>
          <w:szCs w:val="30"/>
        </w:rPr>
      </w:pPr>
      <w:bookmarkStart w:id="342" w:name="_Toc24791"/>
      <w:bookmarkStart w:id="343" w:name="_Toc497493506"/>
      <w:bookmarkStart w:id="344" w:name="_Toc525138296"/>
      <w:bookmarkStart w:id="345" w:name="_Toc525138440"/>
      <w:bookmarkStart w:id="346" w:name="_Toc499903527"/>
      <w:r>
        <w:rPr>
          <w:rFonts w:hint="eastAsia" w:ascii="Times New Roman" w:hAnsi="Times New Roman" w:eastAsia="宋体" w:cs="Courier New"/>
          <w:sz w:val="28"/>
          <w:szCs w:val="30"/>
        </w:rPr>
        <w:t>8.3.1落实尚未实施的清洁生产方案</w:t>
      </w:r>
      <w:bookmarkEnd w:id="342"/>
      <w:bookmarkEnd w:id="343"/>
      <w:bookmarkEnd w:id="344"/>
      <w:bookmarkEnd w:id="345"/>
      <w:bookmarkEnd w:id="346"/>
    </w:p>
    <w:p>
      <w:pPr>
        <w:spacing w:line="360" w:lineRule="auto"/>
        <w:ind w:firstLine="482"/>
        <w:rPr>
          <w:rFonts w:ascii="Times New Roman" w:hAnsi="宋体" w:eastAsia="宋体"/>
          <w:sz w:val="24"/>
          <w:szCs w:val="24"/>
        </w:rPr>
      </w:pPr>
      <w:bookmarkStart w:id="347" w:name="_Toc499903528"/>
      <w:bookmarkStart w:id="348" w:name="_Toc525138297"/>
      <w:bookmarkStart w:id="349" w:name="_Toc525138441"/>
      <w:r>
        <w:rPr>
          <w:rFonts w:ascii="Times New Roman" w:hAnsi="宋体" w:eastAsia="宋体"/>
          <w:sz w:val="24"/>
          <w:szCs w:val="24"/>
        </w:rPr>
        <w:t>截至目前，尚未实施完成的方案有：中高费方案“F2-</w:t>
      </w:r>
      <w:r>
        <w:rPr>
          <w:rFonts w:hint="eastAsia" w:ascii="Times New Roman" w:hAnsi="宋体" w:eastAsia="宋体"/>
          <w:sz w:val="24"/>
          <w:szCs w:val="24"/>
          <w:lang w:val="en-US" w:eastAsia="zh-CN"/>
        </w:rPr>
        <w:t>4</w:t>
      </w:r>
      <w:r>
        <w:rPr>
          <w:rFonts w:ascii="Times New Roman" w:hAnsi="宋体" w:eastAsia="宋体"/>
          <w:sz w:val="24"/>
          <w:szCs w:val="24"/>
        </w:rPr>
        <w:t>：</w:t>
      </w:r>
      <w:r>
        <w:rPr>
          <w:rFonts w:hint="eastAsia" w:ascii="Times New Roman" w:hAnsi="宋体" w:eastAsia="宋体"/>
          <w:sz w:val="24"/>
          <w:szCs w:val="24"/>
          <w:lang w:eastAsia="zh-CN"/>
        </w:rPr>
        <w:t>自动混料系统</w:t>
      </w:r>
      <w:r>
        <w:rPr>
          <w:rFonts w:ascii="Times New Roman" w:hAnsi="宋体" w:eastAsia="宋体"/>
          <w:sz w:val="24"/>
          <w:szCs w:val="24"/>
        </w:rPr>
        <w:t>”。分析方案尚未实施完成的主要原因是：从本轮审核从开始到主管部门要求报告提交的时间较短，而有些方案的实施，特别是中高费方案的实施往往需要时间，这种时间上的矛盾导致了报告提交时方案尚未实施完成。</w:t>
      </w:r>
    </w:p>
    <w:p>
      <w:pPr>
        <w:spacing w:line="360" w:lineRule="auto"/>
        <w:ind w:firstLine="482"/>
        <w:rPr>
          <w:rFonts w:ascii="Times New Roman" w:hAnsi="宋体" w:eastAsia="宋体"/>
          <w:sz w:val="24"/>
          <w:szCs w:val="24"/>
        </w:rPr>
      </w:pPr>
      <w:r>
        <w:rPr>
          <w:rFonts w:ascii="Times New Roman" w:hAnsi="宋体" w:eastAsia="宋体"/>
          <w:sz w:val="24"/>
          <w:szCs w:val="24"/>
        </w:rPr>
        <w:t xml:space="preserve">对于尚未实施完成的无低费方案，审核要求企业加快方案实施进度，争取在年底前完成。对于尚未实施完成的方案，企业已制定实施计划，详见表 </w:t>
      </w:r>
      <w:r>
        <w:rPr>
          <w:rFonts w:hint="eastAsia" w:ascii="Times New Roman" w:hAnsi="宋体" w:eastAsia="宋体"/>
          <w:sz w:val="24"/>
          <w:szCs w:val="24"/>
          <w:lang w:val="en-US" w:eastAsia="zh-CN"/>
        </w:rPr>
        <w:t>8-2</w:t>
      </w:r>
      <w:r>
        <w:rPr>
          <w:rFonts w:ascii="Times New Roman" w:hAnsi="宋体" w:eastAsia="宋体"/>
          <w:sz w:val="24"/>
          <w:szCs w:val="24"/>
        </w:rPr>
        <w:t>。</w:t>
      </w:r>
    </w:p>
    <w:p>
      <w:pPr>
        <w:spacing w:before="120"/>
        <w:jc w:val="center"/>
        <w:rPr>
          <w:rFonts w:ascii="Times New Roman" w:hAnsi="宋体" w:eastAsia="宋体"/>
          <w:b/>
          <w:sz w:val="24"/>
          <w:szCs w:val="24"/>
        </w:rPr>
      </w:pPr>
      <w:r>
        <w:rPr>
          <w:rFonts w:hint="eastAsia" w:ascii="Times New Roman" w:hAnsi="宋体" w:eastAsia="宋体"/>
          <w:b/>
          <w:sz w:val="24"/>
          <w:szCs w:val="24"/>
        </w:rPr>
        <w:t>表</w:t>
      </w:r>
      <w:r>
        <w:rPr>
          <w:rFonts w:hint="eastAsia" w:ascii="Times New Roman" w:hAnsi="宋体" w:eastAsia="宋体"/>
          <w:b/>
          <w:sz w:val="24"/>
          <w:szCs w:val="24"/>
          <w:lang w:val="en-US" w:eastAsia="zh-CN"/>
        </w:rPr>
        <w:t>8-2</w:t>
      </w:r>
      <w:r>
        <w:rPr>
          <w:rFonts w:hint="eastAsia" w:ascii="Times New Roman" w:hAnsi="宋体" w:eastAsia="宋体"/>
          <w:b/>
          <w:sz w:val="24"/>
          <w:szCs w:val="24"/>
        </w:rPr>
        <w:t xml:space="preserve">  “</w:t>
      </w:r>
      <w:r>
        <w:rPr>
          <w:rFonts w:ascii="Times New Roman" w:hAnsi="宋体" w:eastAsia="宋体"/>
          <w:b/>
          <w:sz w:val="24"/>
          <w:szCs w:val="24"/>
        </w:rPr>
        <w:t>F2-</w:t>
      </w:r>
      <w:r>
        <w:rPr>
          <w:rFonts w:hint="eastAsia" w:ascii="Times New Roman" w:hAnsi="宋体" w:eastAsia="宋体"/>
          <w:b/>
          <w:sz w:val="24"/>
          <w:szCs w:val="24"/>
          <w:lang w:val="en-US" w:eastAsia="zh-CN"/>
        </w:rPr>
        <w:t>4</w:t>
      </w:r>
      <w:r>
        <w:rPr>
          <w:rFonts w:hint="eastAsia" w:ascii="Times New Roman" w:hAnsi="宋体" w:eastAsia="宋体"/>
          <w:b/>
          <w:sz w:val="24"/>
          <w:szCs w:val="24"/>
        </w:rPr>
        <w:t>：</w:t>
      </w:r>
      <w:r>
        <w:rPr>
          <w:rFonts w:hint="eastAsia" w:ascii="Times New Roman" w:hAnsi="宋体" w:eastAsia="宋体"/>
          <w:b/>
          <w:sz w:val="24"/>
          <w:szCs w:val="24"/>
          <w:lang w:val="en-US" w:eastAsia="zh-CN"/>
        </w:rPr>
        <w:t>自动混料系统</w:t>
      </w:r>
      <w:r>
        <w:rPr>
          <w:rFonts w:ascii="Times New Roman" w:hAnsi="宋体" w:eastAsia="宋体"/>
          <w:b/>
          <w:sz w:val="24"/>
          <w:szCs w:val="24"/>
        </w:rPr>
        <w:t>”实施进度表</w:t>
      </w:r>
    </w:p>
    <w:tbl>
      <w:tblPr>
        <w:tblStyle w:val="62"/>
        <w:tblW w:w="7851"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00"/>
        <w:gridCol w:w="1226"/>
        <w:gridCol w:w="699"/>
        <w:gridCol w:w="698"/>
        <w:gridCol w:w="698"/>
        <w:gridCol w:w="698"/>
        <w:gridCol w:w="2091"/>
        <w:gridCol w:w="114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vMerge w:val="restart"/>
            <w:tcBorders>
              <w:bottom w:val="single" w:color="000000" w:sz="6" w:space="0"/>
              <w:right w:val="single" w:color="000000" w:sz="6" w:space="0"/>
            </w:tcBorders>
          </w:tcPr>
          <w:p>
            <w:pPr>
              <w:pStyle w:val="64"/>
              <w:spacing w:before="10"/>
              <w:rPr>
                <w:rFonts w:ascii="楷体"/>
                <w:b/>
                <w:sz w:val="14"/>
                <w:lang w:eastAsia="zh-CN"/>
              </w:rPr>
            </w:pPr>
          </w:p>
          <w:p>
            <w:pPr>
              <w:pStyle w:val="64"/>
              <w:spacing w:before="1" w:line="364" w:lineRule="auto"/>
              <w:ind w:left="193" w:right="170"/>
              <w:rPr>
                <w:sz w:val="21"/>
                <w:lang w:eastAsia="en-US"/>
              </w:rPr>
            </w:pPr>
            <w:r>
              <w:rPr>
                <w:sz w:val="21"/>
                <w:lang w:eastAsia="en-US"/>
              </w:rPr>
              <w:t>序号</w:t>
            </w:r>
          </w:p>
        </w:tc>
        <w:tc>
          <w:tcPr>
            <w:tcW w:w="1226" w:type="dxa"/>
            <w:vMerge w:val="restart"/>
            <w:tcBorders>
              <w:left w:val="single" w:color="000000" w:sz="6" w:space="0"/>
              <w:bottom w:val="single" w:color="000000" w:sz="6" w:space="0"/>
              <w:right w:val="single" w:color="000000" w:sz="6" w:space="0"/>
            </w:tcBorders>
          </w:tcPr>
          <w:p>
            <w:pPr>
              <w:pStyle w:val="64"/>
              <w:rPr>
                <w:rFonts w:ascii="楷体"/>
                <w:b/>
                <w:sz w:val="20"/>
                <w:lang w:eastAsia="en-US"/>
              </w:rPr>
            </w:pPr>
          </w:p>
          <w:p>
            <w:pPr>
              <w:pStyle w:val="64"/>
              <w:spacing w:before="138"/>
              <w:ind w:left="407"/>
              <w:rPr>
                <w:sz w:val="21"/>
                <w:lang w:eastAsia="en-US"/>
              </w:rPr>
            </w:pPr>
            <w:r>
              <w:rPr>
                <w:sz w:val="21"/>
                <w:lang w:eastAsia="en-US"/>
              </w:rPr>
              <w:t>内容</w:t>
            </w:r>
          </w:p>
        </w:tc>
        <w:tc>
          <w:tcPr>
            <w:tcW w:w="4884" w:type="dxa"/>
            <w:gridSpan w:val="5"/>
            <w:tcBorders>
              <w:left w:val="single" w:color="000000" w:sz="6" w:space="0"/>
              <w:bottom w:val="single" w:color="000000" w:sz="6" w:space="0"/>
              <w:right w:val="single" w:color="000000" w:sz="6" w:space="0"/>
            </w:tcBorders>
          </w:tcPr>
          <w:p>
            <w:pPr>
              <w:pStyle w:val="64"/>
              <w:spacing w:before="123"/>
              <w:ind w:right="1013"/>
              <w:jc w:val="center"/>
              <w:rPr>
                <w:rFonts w:hint="default" w:eastAsia="宋体"/>
                <w:sz w:val="21"/>
                <w:lang w:val="en-US" w:eastAsia="zh-CN"/>
              </w:rPr>
            </w:pPr>
            <w:r>
              <w:rPr>
                <w:rFonts w:ascii="Times New Roman" w:eastAsia="Times New Roman"/>
                <w:sz w:val="21"/>
                <w:lang w:eastAsia="en-US"/>
              </w:rPr>
              <w:t>2</w:t>
            </w:r>
            <w:r>
              <w:rPr>
                <w:rFonts w:hint="eastAsia"/>
                <w:sz w:val="21"/>
                <w:lang w:val="en-US" w:eastAsia="zh-CN"/>
              </w:rPr>
              <w:t>2024年</w:t>
            </w:r>
          </w:p>
        </w:tc>
        <w:tc>
          <w:tcPr>
            <w:tcW w:w="1141" w:type="dxa"/>
            <w:vMerge w:val="restart"/>
            <w:tcBorders>
              <w:left w:val="single" w:color="000000" w:sz="6" w:space="0"/>
              <w:bottom w:val="single" w:color="000000" w:sz="6" w:space="0"/>
            </w:tcBorders>
          </w:tcPr>
          <w:p>
            <w:pPr>
              <w:pStyle w:val="64"/>
              <w:spacing w:before="10"/>
              <w:rPr>
                <w:rFonts w:ascii="楷体"/>
                <w:b/>
                <w:sz w:val="14"/>
                <w:lang w:eastAsia="en-US"/>
              </w:rPr>
            </w:pPr>
          </w:p>
          <w:p>
            <w:pPr>
              <w:pStyle w:val="64"/>
              <w:spacing w:before="1" w:line="364" w:lineRule="auto"/>
              <w:ind w:left="329" w:right="72" w:hanging="212"/>
              <w:rPr>
                <w:sz w:val="21"/>
                <w:lang w:eastAsia="en-US"/>
              </w:rPr>
            </w:pPr>
            <w:r>
              <w:rPr>
                <w:sz w:val="21"/>
                <w:lang w:eastAsia="en-US"/>
              </w:rPr>
              <w:t>负责单位</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600" w:type="dxa"/>
            <w:vMerge w:val="continue"/>
            <w:tcBorders>
              <w:top w:val="nil"/>
              <w:bottom w:val="single" w:color="000000" w:sz="6" w:space="0"/>
              <w:right w:val="single" w:color="000000" w:sz="6" w:space="0"/>
            </w:tcBorders>
          </w:tcPr>
          <w:p>
            <w:pPr>
              <w:autoSpaceDE w:val="0"/>
              <w:autoSpaceDN w:val="0"/>
              <w:rPr>
                <w:kern w:val="0"/>
                <w:sz w:val="2"/>
                <w:szCs w:val="2"/>
                <w:lang w:eastAsia="en-US"/>
              </w:rPr>
            </w:pPr>
          </w:p>
        </w:tc>
        <w:tc>
          <w:tcPr>
            <w:tcW w:w="1226" w:type="dxa"/>
            <w:vMerge w:val="continue"/>
            <w:tcBorders>
              <w:top w:val="nil"/>
              <w:left w:val="single" w:color="000000" w:sz="6" w:space="0"/>
              <w:bottom w:val="single" w:color="000000" w:sz="6" w:space="0"/>
              <w:right w:val="single" w:color="000000" w:sz="6" w:space="0"/>
            </w:tcBorders>
          </w:tcPr>
          <w:p>
            <w:pPr>
              <w:autoSpaceDE w:val="0"/>
              <w:autoSpaceDN w:val="0"/>
              <w:rPr>
                <w:kern w:val="0"/>
                <w:sz w:val="2"/>
                <w:szCs w:val="2"/>
                <w:lang w:eastAsia="en-US"/>
              </w:rPr>
            </w:pPr>
          </w:p>
        </w:tc>
        <w:tc>
          <w:tcPr>
            <w:tcW w:w="699" w:type="dxa"/>
            <w:tcBorders>
              <w:top w:val="single" w:color="000000" w:sz="6" w:space="0"/>
              <w:left w:val="single" w:color="000000" w:sz="6" w:space="0"/>
              <w:bottom w:val="single" w:color="000000" w:sz="6" w:space="0"/>
              <w:right w:val="single" w:color="000000" w:sz="6" w:space="0"/>
            </w:tcBorders>
          </w:tcPr>
          <w:p>
            <w:pPr>
              <w:pStyle w:val="64"/>
              <w:spacing w:before="121"/>
              <w:ind w:left="172"/>
              <w:rPr>
                <w:sz w:val="21"/>
                <w:lang w:eastAsia="en-US"/>
              </w:rPr>
            </w:pPr>
            <w:r>
              <w:rPr>
                <w:rFonts w:hint="eastAsia" w:ascii="Times New Roman" w:eastAsia="宋体"/>
                <w:sz w:val="21"/>
                <w:lang w:val="en-US" w:eastAsia="zh-CN"/>
              </w:rPr>
              <w:t>1</w:t>
            </w:r>
            <w:r>
              <w:rPr>
                <w:sz w:val="21"/>
                <w:lang w:eastAsia="en-US"/>
              </w:rPr>
              <w:t>月</w:t>
            </w:r>
          </w:p>
        </w:tc>
        <w:tc>
          <w:tcPr>
            <w:tcW w:w="698" w:type="dxa"/>
            <w:tcBorders>
              <w:top w:val="single" w:color="000000" w:sz="6" w:space="0"/>
              <w:left w:val="single" w:color="000000" w:sz="6" w:space="0"/>
              <w:bottom w:val="single" w:color="000000" w:sz="6" w:space="0"/>
              <w:right w:val="single" w:color="000000" w:sz="6" w:space="0"/>
            </w:tcBorders>
          </w:tcPr>
          <w:p>
            <w:pPr>
              <w:pStyle w:val="64"/>
              <w:spacing w:before="121"/>
              <w:ind w:left="120"/>
              <w:rPr>
                <w:sz w:val="21"/>
                <w:lang w:eastAsia="en-US"/>
              </w:rPr>
            </w:pPr>
            <w:r>
              <w:rPr>
                <w:rFonts w:hint="eastAsia" w:ascii="Times New Roman" w:eastAsia="宋体"/>
                <w:sz w:val="21"/>
                <w:lang w:val="en-US" w:eastAsia="zh-CN"/>
              </w:rPr>
              <w:t>2</w:t>
            </w:r>
            <w:r>
              <w:rPr>
                <w:rFonts w:ascii="Times New Roman" w:eastAsia="Times New Roman"/>
                <w:sz w:val="21"/>
                <w:lang w:eastAsia="en-US"/>
              </w:rPr>
              <w:t xml:space="preserve"> </w:t>
            </w:r>
            <w:r>
              <w:rPr>
                <w:sz w:val="21"/>
                <w:lang w:eastAsia="en-US"/>
              </w:rPr>
              <w:t>月</w:t>
            </w:r>
          </w:p>
        </w:tc>
        <w:tc>
          <w:tcPr>
            <w:tcW w:w="698" w:type="dxa"/>
            <w:tcBorders>
              <w:top w:val="single" w:color="000000" w:sz="6" w:space="0"/>
              <w:left w:val="single" w:color="000000" w:sz="6" w:space="0"/>
              <w:bottom w:val="single" w:color="000000" w:sz="6" w:space="0"/>
              <w:right w:val="single" w:color="000000" w:sz="6" w:space="0"/>
            </w:tcBorders>
          </w:tcPr>
          <w:p>
            <w:pPr>
              <w:pStyle w:val="64"/>
              <w:spacing w:before="121"/>
              <w:ind w:left="122"/>
              <w:rPr>
                <w:sz w:val="21"/>
                <w:lang w:eastAsia="en-US"/>
              </w:rPr>
            </w:pPr>
            <w:r>
              <w:rPr>
                <w:rFonts w:hint="eastAsia" w:ascii="Times New Roman" w:eastAsia="宋体"/>
                <w:sz w:val="21"/>
                <w:lang w:val="en-US" w:eastAsia="zh-CN"/>
              </w:rPr>
              <w:t>3</w:t>
            </w:r>
            <w:r>
              <w:rPr>
                <w:sz w:val="21"/>
                <w:lang w:eastAsia="en-US"/>
              </w:rPr>
              <w:t>月</w:t>
            </w:r>
          </w:p>
        </w:tc>
        <w:tc>
          <w:tcPr>
            <w:tcW w:w="698" w:type="dxa"/>
            <w:tcBorders>
              <w:top w:val="single" w:color="000000" w:sz="6" w:space="0"/>
              <w:left w:val="single" w:color="000000" w:sz="6" w:space="0"/>
              <w:bottom w:val="single" w:color="000000" w:sz="6" w:space="0"/>
              <w:right w:val="single" w:color="000000" w:sz="4" w:space="0"/>
            </w:tcBorders>
          </w:tcPr>
          <w:p>
            <w:pPr>
              <w:pStyle w:val="64"/>
              <w:spacing w:before="121"/>
              <w:ind w:left="172"/>
              <w:jc w:val="center"/>
              <w:rPr>
                <w:rFonts w:hint="eastAsia" w:ascii="Times New Roman" w:hAnsi="宋体" w:eastAsia="宋体" w:cs="宋体"/>
                <w:sz w:val="21"/>
                <w:lang w:val="en-US" w:eastAsia="en-US"/>
              </w:rPr>
            </w:pPr>
            <w:r>
              <w:rPr>
                <w:rFonts w:hint="eastAsia" w:ascii="Times New Roman" w:hAnsi="宋体" w:eastAsia="宋体" w:cs="宋体"/>
                <w:sz w:val="21"/>
                <w:lang w:val="en-US" w:eastAsia="zh-CN"/>
              </w:rPr>
              <w:t>4</w:t>
            </w:r>
            <w:r>
              <w:rPr>
                <w:rFonts w:hint="eastAsia" w:ascii="Times New Roman" w:hAnsi="宋体" w:eastAsia="宋体" w:cs="宋体"/>
                <w:sz w:val="21"/>
                <w:lang w:val="en-US" w:eastAsia="en-US"/>
              </w:rPr>
              <w:t xml:space="preserve"> 月</w:t>
            </w:r>
          </w:p>
        </w:tc>
        <w:tc>
          <w:tcPr>
            <w:tcW w:w="2091" w:type="dxa"/>
            <w:tcBorders>
              <w:top w:val="single" w:color="000000" w:sz="6" w:space="0"/>
              <w:left w:val="single" w:color="000000" w:sz="4" w:space="0"/>
              <w:bottom w:val="single" w:color="000000" w:sz="6" w:space="0"/>
              <w:right w:val="single" w:color="000000" w:sz="6" w:space="0"/>
            </w:tcBorders>
          </w:tcPr>
          <w:p>
            <w:pPr>
              <w:pStyle w:val="64"/>
              <w:spacing w:before="121"/>
              <w:ind w:left="172"/>
              <w:jc w:val="center"/>
              <w:rPr>
                <w:rFonts w:hint="eastAsia" w:ascii="Times New Roman" w:hAnsi="宋体" w:eastAsia="宋体" w:cs="宋体"/>
                <w:sz w:val="21"/>
                <w:lang w:val="en-US" w:eastAsia="en-US"/>
              </w:rPr>
            </w:pPr>
            <w:r>
              <w:rPr>
                <w:rFonts w:hint="eastAsia" w:ascii="Times New Roman" w:hAnsi="宋体" w:eastAsia="宋体" w:cs="宋体"/>
                <w:sz w:val="21"/>
                <w:lang w:val="en-US" w:eastAsia="zh-CN"/>
              </w:rPr>
              <w:t>12</w:t>
            </w:r>
            <w:r>
              <w:rPr>
                <w:rFonts w:hint="eastAsia" w:ascii="Times New Roman" w:hAnsi="宋体" w:eastAsia="宋体" w:cs="宋体"/>
                <w:sz w:val="21"/>
                <w:lang w:val="en-US" w:eastAsia="en-US"/>
              </w:rPr>
              <w:t>月</w:t>
            </w:r>
          </w:p>
        </w:tc>
        <w:tc>
          <w:tcPr>
            <w:tcW w:w="1141" w:type="dxa"/>
            <w:vMerge w:val="continue"/>
            <w:tcBorders>
              <w:top w:val="nil"/>
              <w:left w:val="single" w:color="000000" w:sz="6" w:space="0"/>
              <w:bottom w:val="single" w:color="000000" w:sz="6" w:space="0"/>
            </w:tcBorders>
          </w:tcPr>
          <w:p>
            <w:pPr>
              <w:autoSpaceDE w:val="0"/>
              <w:autoSpaceDN w:val="0"/>
              <w:rPr>
                <w:kern w:val="0"/>
                <w:sz w:val="2"/>
                <w:szCs w:val="2"/>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tcBorders>
              <w:top w:val="single" w:color="000000" w:sz="6" w:space="0"/>
              <w:bottom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1</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123"/>
              <w:ind w:left="56" w:right="27"/>
              <w:jc w:val="center"/>
              <w:rPr>
                <w:sz w:val="21"/>
                <w:lang w:eastAsia="en-US"/>
              </w:rPr>
            </w:pPr>
            <w:r>
              <w:rPr>
                <w:sz w:val="21"/>
                <w:lang w:eastAsia="en-US"/>
              </w:rPr>
              <w:t>问题分析</w:t>
            </w:r>
          </w:p>
        </w:tc>
        <w:tc>
          <w:tcPr>
            <w:tcW w:w="699"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4" w:space="0"/>
            </w:tcBorders>
          </w:tcPr>
          <w:p>
            <w:pPr>
              <w:pStyle w:val="64"/>
              <w:rPr>
                <w:rFonts w:ascii="Times New Roman"/>
                <w:lang w:eastAsia="en-US"/>
              </w:rPr>
            </w:pPr>
          </w:p>
        </w:tc>
        <w:tc>
          <w:tcPr>
            <w:tcW w:w="2091" w:type="dxa"/>
            <w:tcBorders>
              <w:top w:val="single" w:color="000000" w:sz="6" w:space="0"/>
              <w:left w:val="single" w:color="000000" w:sz="4" w:space="0"/>
              <w:bottom w:val="single" w:color="000000" w:sz="6" w:space="0"/>
              <w:right w:val="single" w:color="000000" w:sz="6" w:space="0"/>
            </w:tcBorders>
          </w:tcPr>
          <w:p>
            <w:pPr>
              <w:pStyle w:val="64"/>
              <w:rPr>
                <w:rFonts w:ascii="Times New Roman"/>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123"/>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tcBorders>
              <w:top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2</w:t>
            </w:r>
          </w:p>
        </w:tc>
        <w:tc>
          <w:tcPr>
            <w:tcW w:w="1226" w:type="dxa"/>
            <w:tcBorders>
              <w:top w:val="single" w:color="000000" w:sz="6" w:space="0"/>
              <w:left w:val="single" w:color="000000" w:sz="6" w:space="0"/>
              <w:right w:val="single" w:color="000000" w:sz="6" w:space="0"/>
            </w:tcBorders>
          </w:tcPr>
          <w:p>
            <w:pPr>
              <w:pStyle w:val="64"/>
              <w:spacing w:before="61"/>
              <w:ind w:left="94" w:right="27"/>
              <w:jc w:val="center"/>
              <w:rPr>
                <w:sz w:val="21"/>
                <w:lang w:eastAsia="zh-CN"/>
              </w:rPr>
            </w:pPr>
            <w:r>
              <w:rPr>
                <w:sz w:val="21"/>
                <w:lang w:eastAsia="en-US"/>
              </w:rPr>
              <w:t>方案制定、</w:t>
            </w:r>
            <w:r>
              <w:rPr>
                <w:rFonts w:hint="eastAsia"/>
                <w:sz w:val="21"/>
                <w:lang w:eastAsia="zh-CN"/>
              </w:rPr>
              <w:t>论证</w:t>
            </w:r>
          </w:p>
        </w:tc>
        <w:tc>
          <w:tcPr>
            <w:tcW w:w="699"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auto"/>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1141" w:type="dxa"/>
            <w:tcBorders>
              <w:top w:val="single" w:color="000000" w:sz="6" w:space="0"/>
              <w:left w:val="single" w:color="000000" w:sz="6" w:space="0"/>
            </w:tcBorders>
            <w:vAlign w:val="center"/>
          </w:tcPr>
          <w:p>
            <w:pPr>
              <w:pStyle w:val="64"/>
              <w:spacing w:before="121"/>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600" w:type="dxa"/>
            <w:tcBorders>
              <w:top w:val="single" w:color="000000" w:sz="6" w:space="0"/>
              <w:bottom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3</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61"/>
              <w:ind w:left="56" w:right="27"/>
              <w:jc w:val="center"/>
              <w:rPr>
                <w:sz w:val="21"/>
                <w:lang w:eastAsia="en-US"/>
              </w:rPr>
            </w:pPr>
            <w:r>
              <w:rPr>
                <w:sz w:val="21"/>
                <w:lang w:eastAsia="en-US"/>
              </w:rPr>
              <w:t>设备选型</w:t>
            </w:r>
          </w:p>
        </w:tc>
        <w:tc>
          <w:tcPr>
            <w:tcW w:w="699"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7E7E7E"/>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shd w:val="clear" w:color="auto" w:fill="auto"/>
          </w:tcPr>
          <w:p>
            <w:pPr>
              <w:autoSpaceDE w:val="0"/>
              <w:autoSpaceDN w:val="0"/>
              <w:rPr>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121"/>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jc w:val="center"/>
        </w:trPr>
        <w:tc>
          <w:tcPr>
            <w:tcW w:w="600" w:type="dxa"/>
            <w:tcBorders>
              <w:top w:val="single" w:color="000000" w:sz="6" w:space="0"/>
              <w:bottom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4</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61"/>
              <w:ind w:left="56" w:right="27"/>
              <w:jc w:val="center"/>
              <w:rPr>
                <w:sz w:val="21"/>
                <w:lang w:eastAsia="en-US"/>
              </w:rPr>
            </w:pPr>
            <w:r>
              <w:rPr>
                <w:sz w:val="21"/>
                <w:lang w:eastAsia="en-US"/>
              </w:rPr>
              <w:t>设备安装</w:t>
            </w:r>
          </w:p>
        </w:tc>
        <w:tc>
          <w:tcPr>
            <w:tcW w:w="699"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shd w:val="clear" w:color="auto" w:fill="595959" w:themeFill="text1" w:themeFillTint="A5"/>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shd w:val="clear" w:color="auto" w:fill="auto"/>
          </w:tcPr>
          <w:p>
            <w:pPr>
              <w:pStyle w:val="64"/>
              <w:rPr>
                <w:rFonts w:ascii="Times New Roman"/>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121"/>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5" w:hRule="atLeast"/>
          <w:jc w:val="center"/>
        </w:trPr>
        <w:tc>
          <w:tcPr>
            <w:tcW w:w="600" w:type="dxa"/>
            <w:tcBorders>
              <w:top w:val="single" w:color="000000" w:sz="6" w:space="0"/>
              <w:bottom w:val="single" w:color="000000" w:sz="6" w:space="0"/>
              <w:right w:val="single" w:color="000000" w:sz="6" w:space="0"/>
            </w:tcBorders>
          </w:tcPr>
          <w:p>
            <w:pPr>
              <w:pStyle w:val="64"/>
              <w:spacing w:before="12"/>
              <w:rPr>
                <w:rFonts w:ascii="楷体"/>
                <w:b/>
                <w:sz w:val="21"/>
                <w:lang w:eastAsia="en-US"/>
              </w:rPr>
            </w:pPr>
          </w:p>
          <w:p>
            <w:pPr>
              <w:pStyle w:val="64"/>
              <w:ind w:left="21"/>
              <w:jc w:val="center"/>
              <w:rPr>
                <w:rFonts w:ascii="Times New Roman"/>
                <w:sz w:val="21"/>
                <w:lang w:eastAsia="en-US"/>
              </w:rPr>
            </w:pPr>
            <w:r>
              <w:rPr>
                <w:rFonts w:ascii="Times New Roman"/>
                <w:sz w:val="21"/>
                <w:lang w:eastAsia="en-US"/>
              </w:rPr>
              <w:t>5</w:t>
            </w:r>
          </w:p>
        </w:tc>
        <w:tc>
          <w:tcPr>
            <w:tcW w:w="1226" w:type="dxa"/>
            <w:tcBorders>
              <w:top w:val="single" w:color="000000" w:sz="6" w:space="0"/>
              <w:left w:val="single" w:color="000000" w:sz="6" w:space="0"/>
              <w:bottom w:val="single" w:color="000000" w:sz="6" w:space="0"/>
              <w:right w:val="single" w:color="000000" w:sz="6" w:space="0"/>
            </w:tcBorders>
          </w:tcPr>
          <w:p>
            <w:pPr>
              <w:pStyle w:val="64"/>
              <w:spacing w:before="1"/>
              <w:ind w:left="56" w:right="27"/>
              <w:jc w:val="center"/>
              <w:rPr>
                <w:sz w:val="21"/>
                <w:lang w:eastAsia="en-US"/>
              </w:rPr>
            </w:pPr>
            <w:r>
              <w:rPr>
                <w:sz w:val="21"/>
                <w:lang w:eastAsia="en-US"/>
              </w:rPr>
              <w:t>试车及验</w:t>
            </w:r>
          </w:p>
          <w:p>
            <w:pPr>
              <w:pStyle w:val="64"/>
              <w:spacing w:before="139"/>
              <w:ind w:left="26"/>
              <w:jc w:val="center"/>
              <w:rPr>
                <w:sz w:val="21"/>
                <w:lang w:eastAsia="en-US"/>
              </w:rPr>
            </w:pPr>
            <w:r>
              <w:rPr>
                <w:sz w:val="21"/>
                <w:lang w:eastAsia="en-US"/>
              </w:rPr>
              <w:t>收</w:t>
            </w:r>
          </w:p>
        </w:tc>
        <w:tc>
          <w:tcPr>
            <w:tcW w:w="699"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bottom w:val="single" w:color="000000" w:sz="6" w:space="0"/>
              <w:right w:val="single" w:color="000000" w:sz="6" w:space="0"/>
            </w:tcBorders>
          </w:tcPr>
          <w:p>
            <w:pPr>
              <w:pStyle w:val="64"/>
              <w:rPr>
                <w:rFonts w:ascii="Times New Roman"/>
                <w:lang w:eastAsia="en-US"/>
              </w:rPr>
            </w:pPr>
          </w:p>
        </w:tc>
        <w:tc>
          <w:tcPr>
            <w:tcW w:w="2091" w:type="dxa"/>
            <w:tcBorders>
              <w:top w:val="single" w:color="000000" w:sz="6" w:space="0"/>
              <w:left w:val="single" w:color="000000" w:sz="6" w:space="0"/>
              <w:bottom w:val="single" w:color="000000" w:sz="6" w:space="0"/>
              <w:right w:val="single" w:color="000000" w:sz="6" w:space="0"/>
            </w:tcBorders>
            <w:shd w:val="clear" w:color="auto" w:fill="7F7F7F" w:themeFill="text1" w:themeFillTint="7F"/>
          </w:tcPr>
          <w:p>
            <w:pPr>
              <w:pStyle w:val="64"/>
              <w:rPr>
                <w:rFonts w:ascii="Times New Roman"/>
                <w:lang w:eastAsia="en-US"/>
              </w:rPr>
            </w:pPr>
          </w:p>
        </w:tc>
        <w:tc>
          <w:tcPr>
            <w:tcW w:w="1141" w:type="dxa"/>
            <w:tcBorders>
              <w:top w:val="single" w:color="000000" w:sz="6" w:space="0"/>
              <w:left w:val="single" w:color="000000" w:sz="6" w:space="0"/>
              <w:bottom w:val="single" w:color="000000" w:sz="6" w:space="0"/>
            </w:tcBorders>
            <w:vAlign w:val="center"/>
          </w:tcPr>
          <w:p>
            <w:pPr>
              <w:pStyle w:val="64"/>
              <w:spacing w:before="8"/>
              <w:jc w:val="center"/>
              <w:rPr>
                <w:rFonts w:ascii="楷体"/>
                <w:b/>
                <w:sz w:val="20"/>
                <w:lang w:eastAsia="en-US"/>
              </w:rPr>
            </w:pPr>
          </w:p>
          <w:p>
            <w:pPr>
              <w:pStyle w:val="64"/>
              <w:ind w:right="72"/>
              <w:jc w:val="center"/>
              <w:rPr>
                <w:sz w:val="21"/>
                <w:lang w:eastAsia="en-US"/>
              </w:rPr>
            </w:pPr>
            <w:r>
              <w:rPr>
                <w:sz w:val="21"/>
                <w:lang w:eastAsia="en-US"/>
              </w:rPr>
              <w:t>生产部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jc w:val="center"/>
        </w:trPr>
        <w:tc>
          <w:tcPr>
            <w:tcW w:w="600" w:type="dxa"/>
            <w:tcBorders>
              <w:top w:val="single" w:color="000000" w:sz="6" w:space="0"/>
              <w:right w:val="single" w:color="000000" w:sz="6" w:space="0"/>
            </w:tcBorders>
          </w:tcPr>
          <w:p>
            <w:pPr>
              <w:pStyle w:val="64"/>
              <w:spacing w:before="137"/>
              <w:ind w:left="21"/>
              <w:jc w:val="center"/>
              <w:rPr>
                <w:rFonts w:ascii="Times New Roman"/>
                <w:sz w:val="21"/>
                <w:lang w:eastAsia="en-US"/>
              </w:rPr>
            </w:pPr>
            <w:r>
              <w:rPr>
                <w:rFonts w:ascii="Times New Roman"/>
                <w:sz w:val="21"/>
                <w:lang w:eastAsia="en-US"/>
              </w:rPr>
              <w:t>6</w:t>
            </w:r>
          </w:p>
        </w:tc>
        <w:tc>
          <w:tcPr>
            <w:tcW w:w="1226" w:type="dxa"/>
            <w:tcBorders>
              <w:top w:val="single" w:color="000000" w:sz="6" w:space="0"/>
              <w:left w:val="single" w:color="000000" w:sz="6" w:space="0"/>
              <w:right w:val="single" w:color="000000" w:sz="6" w:space="0"/>
            </w:tcBorders>
          </w:tcPr>
          <w:p>
            <w:pPr>
              <w:pStyle w:val="64"/>
              <w:spacing w:before="123"/>
              <w:ind w:left="56" w:right="27"/>
              <w:jc w:val="center"/>
              <w:rPr>
                <w:sz w:val="21"/>
                <w:lang w:eastAsia="en-US"/>
              </w:rPr>
            </w:pPr>
            <w:r>
              <w:rPr>
                <w:sz w:val="21"/>
                <w:lang w:eastAsia="en-US"/>
              </w:rPr>
              <w:t>正常运行</w:t>
            </w:r>
          </w:p>
        </w:tc>
        <w:tc>
          <w:tcPr>
            <w:tcW w:w="699"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right w:val="single" w:color="000000" w:sz="6" w:space="0"/>
            </w:tcBorders>
          </w:tcPr>
          <w:p>
            <w:pPr>
              <w:pStyle w:val="64"/>
              <w:rPr>
                <w:rFonts w:ascii="Times New Roman"/>
                <w:lang w:eastAsia="en-US"/>
              </w:rPr>
            </w:pPr>
          </w:p>
        </w:tc>
        <w:tc>
          <w:tcPr>
            <w:tcW w:w="698" w:type="dxa"/>
            <w:tcBorders>
              <w:top w:val="single" w:color="000000" w:sz="6" w:space="0"/>
              <w:left w:val="single" w:color="000000" w:sz="6" w:space="0"/>
              <w:right w:val="single" w:color="000000" w:sz="6" w:space="0"/>
            </w:tcBorders>
          </w:tcPr>
          <w:p>
            <w:pPr>
              <w:pStyle w:val="64"/>
              <w:rPr>
                <w:rFonts w:ascii="Times New Roman"/>
                <w:lang w:eastAsia="en-US"/>
              </w:rPr>
            </w:pPr>
          </w:p>
        </w:tc>
        <w:tc>
          <w:tcPr>
            <w:tcW w:w="2091" w:type="dxa"/>
            <w:tcBorders>
              <w:top w:val="single" w:color="000000" w:sz="6" w:space="0"/>
              <w:left w:val="single" w:color="000000" w:sz="6" w:space="0"/>
              <w:right w:val="single" w:color="000000" w:sz="6" w:space="0"/>
            </w:tcBorders>
            <w:shd w:val="clear" w:color="auto" w:fill="7F7F7F" w:themeFill="text1" w:themeFillTint="7F"/>
          </w:tcPr>
          <w:p>
            <w:pPr>
              <w:pStyle w:val="64"/>
              <w:rPr>
                <w:rFonts w:ascii="Times New Roman"/>
                <w:lang w:eastAsia="en-US"/>
              </w:rPr>
            </w:pPr>
          </w:p>
        </w:tc>
        <w:tc>
          <w:tcPr>
            <w:tcW w:w="1141" w:type="dxa"/>
            <w:tcBorders>
              <w:top w:val="single" w:color="000000" w:sz="6" w:space="0"/>
              <w:left w:val="single" w:color="000000" w:sz="6" w:space="0"/>
            </w:tcBorders>
            <w:vAlign w:val="center"/>
          </w:tcPr>
          <w:p>
            <w:pPr>
              <w:pStyle w:val="64"/>
              <w:spacing w:before="123"/>
              <w:ind w:right="72"/>
              <w:jc w:val="center"/>
              <w:rPr>
                <w:sz w:val="21"/>
                <w:lang w:eastAsia="en-US"/>
              </w:rPr>
            </w:pPr>
            <w:r>
              <w:rPr>
                <w:sz w:val="21"/>
                <w:lang w:eastAsia="en-US"/>
              </w:rPr>
              <w:t>生产部</w:t>
            </w:r>
          </w:p>
        </w:tc>
      </w:tr>
    </w:tbl>
    <w:p>
      <w:pPr>
        <w:pStyle w:val="4"/>
        <w:spacing w:before="0" w:after="0" w:line="360" w:lineRule="auto"/>
        <w:rPr>
          <w:rFonts w:ascii="Times New Roman" w:hAnsi="Times New Roman" w:eastAsia="宋体" w:cs="Courier New"/>
          <w:sz w:val="28"/>
          <w:szCs w:val="30"/>
        </w:rPr>
      </w:pPr>
      <w:bookmarkStart w:id="350" w:name="_Toc14821"/>
      <w:r>
        <w:rPr>
          <w:rFonts w:hint="eastAsia" w:ascii="Times New Roman" w:hAnsi="Times New Roman" w:eastAsia="宋体" w:cs="Courier New"/>
          <w:sz w:val="28"/>
          <w:szCs w:val="30"/>
        </w:rPr>
        <w:t>8.3.2下一轮清洁生产计划</w:t>
      </w:r>
      <w:bookmarkEnd w:id="347"/>
      <w:bookmarkEnd w:id="348"/>
      <w:bookmarkEnd w:id="349"/>
      <w:bookmarkEnd w:id="350"/>
    </w:p>
    <w:p>
      <w:pPr>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清洁生产审核是一个循序进行的过程，在本</w:t>
      </w:r>
      <w:r>
        <w:rPr>
          <w:rFonts w:hint="eastAsia" w:ascii="Times New Roman" w:hAnsi="Times New Roman" w:eastAsia="宋体"/>
          <w:sz w:val="24"/>
          <w:szCs w:val="24"/>
          <w:lang w:val="en-US" w:eastAsia="zh-CN"/>
        </w:rPr>
        <w:t>次</w:t>
      </w:r>
      <w:r>
        <w:rPr>
          <w:rFonts w:hint="eastAsia" w:ascii="Times New Roman" w:hAnsi="Times New Roman" w:eastAsia="宋体"/>
          <w:sz w:val="24"/>
          <w:szCs w:val="24"/>
        </w:rPr>
        <w:t>审核完成之后，在一定的时间内要继续开展下一轮的清洁生产审核，为此，</w:t>
      </w:r>
      <w:r>
        <w:rPr>
          <w:rFonts w:hint="eastAsia" w:ascii="Times New Roman" w:hAnsi="宋体" w:eastAsia="宋体"/>
          <w:sz w:val="24"/>
          <w:szCs w:val="24"/>
          <w:lang w:eastAsia="zh-CN"/>
        </w:rPr>
        <w:t>湖南光华荣昌汽车部件有限公司</w:t>
      </w:r>
      <w:r>
        <w:rPr>
          <w:rFonts w:ascii="Times New Roman" w:hAnsi="Times New Roman" w:eastAsia="宋体"/>
          <w:sz w:val="24"/>
          <w:szCs w:val="24"/>
        </w:rPr>
        <w:t>特制定了如下持续清洁生产计划。</w:t>
      </w:r>
    </w:p>
    <w:p>
      <w:pPr>
        <w:spacing w:before="120"/>
        <w:jc w:val="center"/>
        <w:rPr>
          <w:rFonts w:ascii="Times New Roman" w:hAnsi="Times New Roman" w:eastAsia="宋体"/>
          <w:b/>
          <w:sz w:val="24"/>
          <w:szCs w:val="24"/>
        </w:rPr>
      </w:pPr>
      <w:r>
        <w:rPr>
          <w:rFonts w:hint="eastAsia" w:ascii="Times New Roman" w:hAnsi="Times New Roman" w:eastAsia="宋体"/>
          <w:b/>
          <w:sz w:val="24"/>
          <w:szCs w:val="24"/>
        </w:rPr>
        <w:t>表8-</w:t>
      </w:r>
      <w:r>
        <w:rPr>
          <w:rFonts w:hint="eastAsia" w:ascii="Times New Roman" w:hAnsi="Times New Roman" w:eastAsia="宋体"/>
          <w:b/>
          <w:sz w:val="24"/>
          <w:szCs w:val="24"/>
          <w:lang w:val="en-US" w:eastAsia="zh-CN"/>
        </w:rPr>
        <w:t>3</w:t>
      </w:r>
      <w:r>
        <w:rPr>
          <w:rFonts w:hint="eastAsia" w:ascii="Times New Roman" w:hAnsi="Times New Roman" w:eastAsia="宋体"/>
          <w:b/>
          <w:sz w:val="24"/>
          <w:szCs w:val="24"/>
        </w:rPr>
        <w:t xml:space="preserve">  持续清洁生产计划</w:t>
      </w:r>
    </w:p>
    <w:tbl>
      <w:tblPr>
        <w:tblStyle w:val="27"/>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55"/>
        <w:gridCol w:w="4328"/>
        <w:gridCol w:w="1733"/>
        <w:gridCol w:w="11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0" w:hRule="atLeast"/>
          <w:tblHeader/>
        </w:trPr>
        <w:tc>
          <w:tcPr>
            <w:tcW w:w="1555" w:type="dxa"/>
            <w:vAlign w:val="center"/>
          </w:tcPr>
          <w:p>
            <w:pPr>
              <w:spacing w:beforeLines="20" w:afterLines="20"/>
              <w:jc w:val="center"/>
              <w:rPr>
                <w:rFonts w:ascii="Times New Roman" w:hAnsi="Times New Roman" w:eastAsia="宋体"/>
                <w:b/>
                <w:szCs w:val="20"/>
              </w:rPr>
            </w:pPr>
            <w:r>
              <w:rPr>
                <w:rFonts w:ascii="Times New Roman" w:hAnsi="宋体" w:eastAsia="宋体"/>
                <w:b/>
                <w:szCs w:val="20"/>
              </w:rPr>
              <w:t>名称</w:t>
            </w:r>
          </w:p>
        </w:tc>
        <w:tc>
          <w:tcPr>
            <w:tcW w:w="4328" w:type="dxa"/>
            <w:vAlign w:val="center"/>
          </w:tcPr>
          <w:p>
            <w:pPr>
              <w:spacing w:beforeLines="20" w:afterLines="20"/>
              <w:jc w:val="center"/>
              <w:rPr>
                <w:rFonts w:ascii="Times New Roman" w:hAnsi="Times New Roman" w:eastAsia="宋体"/>
                <w:b/>
                <w:szCs w:val="20"/>
              </w:rPr>
            </w:pPr>
            <w:r>
              <w:rPr>
                <w:rFonts w:ascii="Times New Roman" w:hAnsi="宋体" w:eastAsia="宋体"/>
                <w:b/>
                <w:szCs w:val="20"/>
              </w:rPr>
              <w:t>主要内容</w:t>
            </w:r>
          </w:p>
        </w:tc>
        <w:tc>
          <w:tcPr>
            <w:tcW w:w="1733" w:type="dxa"/>
            <w:vAlign w:val="center"/>
          </w:tcPr>
          <w:p>
            <w:pPr>
              <w:spacing w:beforeLines="20" w:afterLines="20"/>
              <w:jc w:val="center"/>
              <w:rPr>
                <w:rFonts w:ascii="Times New Roman" w:hAnsi="Times New Roman" w:eastAsia="宋体"/>
                <w:b/>
                <w:szCs w:val="20"/>
              </w:rPr>
            </w:pPr>
            <w:r>
              <w:rPr>
                <w:rFonts w:ascii="Times New Roman" w:hAnsi="宋体" w:eastAsia="宋体"/>
                <w:b/>
                <w:szCs w:val="20"/>
              </w:rPr>
              <w:t>实施时间</w:t>
            </w:r>
          </w:p>
        </w:tc>
        <w:tc>
          <w:tcPr>
            <w:tcW w:w="1104" w:type="dxa"/>
            <w:vAlign w:val="center"/>
          </w:tcPr>
          <w:p>
            <w:pPr>
              <w:spacing w:beforeLines="20" w:afterLines="20"/>
              <w:jc w:val="center"/>
              <w:rPr>
                <w:rFonts w:ascii="Times New Roman" w:hAnsi="Times New Roman" w:eastAsia="宋体"/>
                <w:b/>
                <w:szCs w:val="20"/>
              </w:rPr>
            </w:pPr>
            <w:r>
              <w:rPr>
                <w:rFonts w:ascii="Times New Roman" w:hAnsi="宋体" w:eastAsia="宋体"/>
                <w:b/>
                <w:szCs w:val="20"/>
              </w:rPr>
              <w:t>负责部门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555" w:type="dxa"/>
            <w:vMerge w:val="restart"/>
            <w:vAlign w:val="center"/>
          </w:tcPr>
          <w:p>
            <w:pPr>
              <w:spacing w:beforeLines="20" w:afterLines="20"/>
              <w:jc w:val="center"/>
              <w:rPr>
                <w:rFonts w:ascii="Times New Roman" w:hAnsi="Times New Roman" w:eastAsia="宋体"/>
                <w:szCs w:val="20"/>
              </w:rPr>
            </w:pPr>
            <w:r>
              <w:rPr>
                <w:rFonts w:ascii="Times New Roman" w:hAnsi="宋体" w:eastAsia="宋体"/>
                <w:szCs w:val="20"/>
              </w:rPr>
              <w:t>下一轮清洁生产审核工作计划</w:t>
            </w:r>
          </w:p>
        </w:tc>
        <w:tc>
          <w:tcPr>
            <w:tcW w:w="4328" w:type="dxa"/>
            <w:vAlign w:val="center"/>
          </w:tcPr>
          <w:p>
            <w:pPr>
              <w:spacing w:beforeLines="20" w:afterLines="20"/>
              <w:rPr>
                <w:rFonts w:ascii="Times New Roman" w:hAnsi="Times New Roman" w:eastAsia="宋体"/>
                <w:kern w:val="18"/>
                <w:szCs w:val="20"/>
              </w:rPr>
            </w:pPr>
            <w:r>
              <w:rPr>
                <w:rFonts w:ascii="Times New Roman" w:hAnsi="宋体" w:eastAsia="宋体"/>
                <w:kern w:val="18"/>
                <w:szCs w:val="20"/>
              </w:rPr>
              <w:t>继续征集清洁生产无</w:t>
            </w:r>
            <w:r>
              <w:rPr>
                <w:rFonts w:ascii="Times New Roman" w:hAnsi="Times New Roman" w:eastAsia="宋体"/>
                <w:kern w:val="18"/>
                <w:szCs w:val="20"/>
              </w:rPr>
              <w:t>/</w:t>
            </w:r>
            <w:r>
              <w:rPr>
                <w:rFonts w:ascii="Times New Roman" w:hAnsi="宋体" w:eastAsia="宋体"/>
                <w:kern w:val="18"/>
                <w:szCs w:val="20"/>
              </w:rPr>
              <w:t>低费方案、中</w:t>
            </w:r>
            <w:r>
              <w:rPr>
                <w:rFonts w:ascii="Times New Roman" w:hAnsi="Times New Roman" w:eastAsia="宋体"/>
                <w:kern w:val="18"/>
                <w:szCs w:val="20"/>
              </w:rPr>
              <w:t>/</w:t>
            </w:r>
            <w:r>
              <w:rPr>
                <w:rFonts w:ascii="Times New Roman" w:hAnsi="宋体" w:eastAsia="宋体"/>
                <w:kern w:val="18"/>
                <w:szCs w:val="20"/>
              </w:rPr>
              <w:t>高费方案；安排落实清洁生产专项资金</w:t>
            </w:r>
          </w:p>
        </w:tc>
        <w:tc>
          <w:tcPr>
            <w:tcW w:w="1733"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长期执行</w:t>
            </w:r>
          </w:p>
        </w:tc>
        <w:tc>
          <w:tcPr>
            <w:tcW w:w="1104" w:type="dxa"/>
            <w:vMerge w:val="restart"/>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清洁生产办公室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trPr>
        <w:tc>
          <w:tcPr>
            <w:tcW w:w="1555" w:type="dxa"/>
            <w:vMerge w:val="continue"/>
            <w:vAlign w:val="center"/>
          </w:tcPr>
          <w:p>
            <w:pPr>
              <w:spacing w:beforeLines="20" w:afterLines="20"/>
              <w:jc w:val="center"/>
              <w:rPr>
                <w:rFonts w:ascii="Times New Roman" w:hAnsi="Times New Roman" w:eastAsia="宋体"/>
                <w:szCs w:val="20"/>
              </w:rPr>
            </w:pPr>
          </w:p>
        </w:tc>
        <w:tc>
          <w:tcPr>
            <w:tcW w:w="4328" w:type="dxa"/>
            <w:vAlign w:val="center"/>
          </w:tcPr>
          <w:p>
            <w:pPr>
              <w:spacing w:beforeLines="20" w:afterLines="20"/>
              <w:rPr>
                <w:rFonts w:ascii="Times New Roman" w:hAnsi="Times New Roman" w:eastAsia="宋体"/>
                <w:kern w:val="18"/>
                <w:szCs w:val="20"/>
              </w:rPr>
            </w:pPr>
            <w:r>
              <w:rPr>
                <w:rFonts w:ascii="Times New Roman" w:hAnsi="宋体" w:eastAsia="宋体"/>
                <w:kern w:val="18"/>
                <w:szCs w:val="20"/>
              </w:rPr>
              <w:t>落实清洁生产岗位责任制，保证清洁生产持续开展</w:t>
            </w:r>
          </w:p>
        </w:tc>
        <w:tc>
          <w:tcPr>
            <w:tcW w:w="1733"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长期执行</w:t>
            </w:r>
          </w:p>
        </w:tc>
        <w:tc>
          <w:tcPr>
            <w:tcW w:w="1104" w:type="dxa"/>
            <w:vMerge w:val="continue"/>
            <w:vAlign w:val="center"/>
          </w:tcPr>
          <w:p>
            <w:pPr>
              <w:spacing w:beforeLines="20" w:afterLines="20"/>
              <w:jc w:val="center"/>
              <w:rPr>
                <w:rFonts w:ascii="Times New Roman" w:hAnsi="Times New Roman" w:eastAsia="宋体"/>
                <w:kern w:val="18"/>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4" w:hRule="atLeast"/>
        </w:trPr>
        <w:tc>
          <w:tcPr>
            <w:tcW w:w="1555" w:type="dxa"/>
            <w:vMerge w:val="continue"/>
            <w:vAlign w:val="center"/>
          </w:tcPr>
          <w:p>
            <w:pPr>
              <w:spacing w:beforeLines="20" w:afterLines="20"/>
              <w:jc w:val="center"/>
              <w:rPr>
                <w:rFonts w:ascii="Times New Roman" w:hAnsi="Times New Roman" w:eastAsia="宋体"/>
                <w:szCs w:val="20"/>
              </w:rPr>
            </w:pPr>
          </w:p>
        </w:tc>
        <w:tc>
          <w:tcPr>
            <w:tcW w:w="4328" w:type="dxa"/>
            <w:vAlign w:val="center"/>
          </w:tcPr>
          <w:p>
            <w:pPr>
              <w:spacing w:beforeLines="20" w:afterLines="20"/>
              <w:rPr>
                <w:rFonts w:ascii="Times New Roman" w:hAnsi="Times New Roman" w:eastAsia="宋体"/>
                <w:kern w:val="18"/>
                <w:szCs w:val="20"/>
              </w:rPr>
            </w:pPr>
            <w:r>
              <w:rPr>
                <w:rFonts w:ascii="Times New Roman" w:hAnsi="宋体" w:eastAsia="宋体"/>
                <w:kern w:val="18"/>
                <w:szCs w:val="20"/>
              </w:rPr>
              <w:t>加强对外交流，学习借鉴国内外同行业清洁生产先进经验，扩大清洁生产知识</w:t>
            </w:r>
          </w:p>
        </w:tc>
        <w:tc>
          <w:tcPr>
            <w:tcW w:w="1733"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长期执行</w:t>
            </w:r>
          </w:p>
        </w:tc>
        <w:tc>
          <w:tcPr>
            <w:tcW w:w="1104" w:type="dxa"/>
            <w:vMerge w:val="continue"/>
            <w:vAlign w:val="center"/>
          </w:tcPr>
          <w:p>
            <w:pPr>
              <w:spacing w:beforeLines="20" w:afterLines="20"/>
              <w:jc w:val="center"/>
              <w:rPr>
                <w:rFonts w:ascii="Times New Roman" w:hAnsi="Times New Roman" w:eastAsia="宋体"/>
                <w:kern w:val="18"/>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1555" w:type="dxa"/>
            <w:vMerge w:val="continue"/>
            <w:vAlign w:val="center"/>
          </w:tcPr>
          <w:p>
            <w:pPr>
              <w:spacing w:beforeLines="20" w:afterLines="20"/>
              <w:jc w:val="center"/>
              <w:rPr>
                <w:rFonts w:ascii="Times New Roman" w:hAnsi="Times New Roman" w:eastAsia="宋体"/>
                <w:szCs w:val="20"/>
              </w:rPr>
            </w:pPr>
          </w:p>
        </w:tc>
        <w:tc>
          <w:tcPr>
            <w:tcW w:w="4328" w:type="dxa"/>
            <w:vAlign w:val="center"/>
          </w:tcPr>
          <w:p>
            <w:pPr>
              <w:spacing w:beforeLines="20" w:afterLines="20"/>
              <w:rPr>
                <w:rFonts w:ascii="Times New Roman" w:hAnsi="Times New Roman" w:eastAsia="宋体"/>
                <w:kern w:val="18"/>
                <w:szCs w:val="20"/>
              </w:rPr>
            </w:pPr>
            <w:r>
              <w:rPr>
                <w:rFonts w:ascii="Times New Roman" w:hAnsi="宋体" w:eastAsia="宋体"/>
                <w:kern w:val="18"/>
                <w:szCs w:val="20"/>
              </w:rPr>
              <w:t>开始下一轮审核工作，确定下一轮清洁生产审核重点</w:t>
            </w:r>
          </w:p>
        </w:tc>
        <w:tc>
          <w:tcPr>
            <w:tcW w:w="1733" w:type="dxa"/>
            <w:vAlign w:val="center"/>
          </w:tcPr>
          <w:p>
            <w:pPr>
              <w:spacing w:beforeLines="20" w:afterLines="20"/>
              <w:jc w:val="center"/>
              <w:rPr>
                <w:rFonts w:ascii="Times New Roman" w:hAnsi="Times New Roman" w:eastAsia="宋体"/>
                <w:kern w:val="18"/>
                <w:szCs w:val="20"/>
              </w:rPr>
            </w:pPr>
            <w:r>
              <w:rPr>
                <w:rFonts w:ascii="Times New Roman" w:hAnsi="Times New Roman" w:eastAsia="宋体"/>
                <w:kern w:val="18"/>
                <w:szCs w:val="20"/>
              </w:rPr>
              <w:t>202</w:t>
            </w:r>
            <w:r>
              <w:rPr>
                <w:rFonts w:hint="eastAsia" w:ascii="Times New Roman" w:hAnsi="Times New Roman" w:eastAsia="宋体"/>
                <w:kern w:val="18"/>
                <w:szCs w:val="20"/>
                <w:lang w:val="en-US" w:eastAsia="zh-CN"/>
              </w:rPr>
              <w:t>7</w:t>
            </w:r>
            <w:r>
              <w:rPr>
                <w:rFonts w:ascii="Times New Roman" w:hAnsi="宋体" w:eastAsia="宋体"/>
                <w:kern w:val="18"/>
                <w:szCs w:val="20"/>
              </w:rPr>
              <w:t>年</w:t>
            </w:r>
          </w:p>
        </w:tc>
        <w:tc>
          <w:tcPr>
            <w:tcW w:w="1104" w:type="dxa"/>
            <w:vMerge w:val="continue"/>
            <w:vAlign w:val="center"/>
          </w:tcPr>
          <w:p>
            <w:pPr>
              <w:spacing w:beforeLines="20" w:afterLines="20"/>
              <w:jc w:val="center"/>
              <w:rPr>
                <w:rFonts w:ascii="Times New Roman" w:hAnsi="Times New Roman" w:eastAsia="宋体"/>
                <w:kern w:val="18"/>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1555" w:type="dxa"/>
            <w:vAlign w:val="center"/>
          </w:tcPr>
          <w:p>
            <w:pPr>
              <w:spacing w:beforeLines="20" w:afterLines="20"/>
              <w:jc w:val="center"/>
              <w:rPr>
                <w:rFonts w:ascii="Times New Roman" w:hAnsi="Times New Roman" w:eastAsia="宋体"/>
                <w:szCs w:val="20"/>
              </w:rPr>
            </w:pPr>
            <w:r>
              <w:rPr>
                <w:rFonts w:ascii="Times New Roman" w:hAnsi="宋体" w:eastAsia="宋体"/>
                <w:szCs w:val="20"/>
              </w:rPr>
              <w:t>清洁生产新技术的研究与开发计划</w:t>
            </w:r>
          </w:p>
        </w:tc>
        <w:tc>
          <w:tcPr>
            <w:tcW w:w="4328" w:type="dxa"/>
            <w:vAlign w:val="center"/>
          </w:tcPr>
          <w:p>
            <w:pPr>
              <w:spacing w:beforeLines="20" w:afterLines="20"/>
              <w:rPr>
                <w:rFonts w:ascii="Times New Roman" w:hAnsi="Times New Roman" w:eastAsia="宋体"/>
                <w:kern w:val="18"/>
                <w:szCs w:val="20"/>
              </w:rPr>
            </w:pPr>
            <w:r>
              <w:rPr>
                <w:rFonts w:ascii="Times New Roman" w:hAnsi="宋体" w:eastAsia="宋体"/>
                <w:kern w:val="18"/>
                <w:szCs w:val="20"/>
              </w:rPr>
              <w:t>根据本轮审核发现的问题，不断研发新的清洁生产技术，实现进一步节能、降耗、减污、增效</w:t>
            </w:r>
          </w:p>
        </w:tc>
        <w:tc>
          <w:tcPr>
            <w:tcW w:w="1733"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长期执行</w:t>
            </w:r>
          </w:p>
        </w:tc>
        <w:tc>
          <w:tcPr>
            <w:tcW w:w="1104"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清洁生产办公室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1555" w:type="dxa"/>
            <w:vAlign w:val="center"/>
          </w:tcPr>
          <w:p>
            <w:pPr>
              <w:spacing w:beforeLines="20" w:afterLines="20"/>
              <w:jc w:val="center"/>
              <w:rPr>
                <w:rFonts w:ascii="Times New Roman" w:hAnsi="Times New Roman" w:eastAsia="宋体"/>
                <w:szCs w:val="20"/>
              </w:rPr>
            </w:pPr>
            <w:r>
              <w:rPr>
                <w:rFonts w:ascii="Times New Roman" w:hAnsi="宋体" w:eastAsia="宋体"/>
                <w:szCs w:val="20"/>
              </w:rPr>
              <w:t>员工清洁生产</w:t>
            </w:r>
          </w:p>
          <w:p>
            <w:pPr>
              <w:spacing w:beforeLines="20" w:afterLines="20"/>
              <w:jc w:val="center"/>
              <w:rPr>
                <w:rFonts w:ascii="Times New Roman" w:hAnsi="Times New Roman" w:eastAsia="宋体"/>
                <w:szCs w:val="20"/>
              </w:rPr>
            </w:pPr>
            <w:r>
              <w:rPr>
                <w:rFonts w:ascii="Times New Roman" w:hAnsi="宋体" w:eastAsia="宋体"/>
                <w:szCs w:val="20"/>
              </w:rPr>
              <w:t>培训计划</w:t>
            </w:r>
          </w:p>
        </w:tc>
        <w:tc>
          <w:tcPr>
            <w:tcW w:w="4328" w:type="dxa"/>
            <w:vAlign w:val="center"/>
          </w:tcPr>
          <w:p>
            <w:pPr>
              <w:spacing w:beforeLines="20" w:afterLines="20"/>
              <w:rPr>
                <w:rFonts w:ascii="Times New Roman" w:hAnsi="Times New Roman" w:eastAsia="宋体"/>
                <w:szCs w:val="20"/>
              </w:rPr>
            </w:pPr>
            <w:r>
              <w:rPr>
                <w:rFonts w:ascii="Times New Roman" w:hAnsi="Times New Roman" w:eastAsia="宋体"/>
                <w:szCs w:val="20"/>
              </w:rPr>
              <w:t>1</w:t>
            </w:r>
            <w:r>
              <w:rPr>
                <w:rFonts w:ascii="Times New Roman" w:hAnsi="宋体" w:eastAsia="宋体"/>
                <w:szCs w:val="20"/>
              </w:rPr>
              <w:t>、对职工讲解清洁生产基本概念、方法，清洁生产的背景及发展趋势，提高职工清洁生产方法理论水平；</w:t>
            </w:r>
          </w:p>
          <w:p>
            <w:pPr>
              <w:spacing w:beforeLines="20" w:afterLines="20"/>
              <w:rPr>
                <w:rFonts w:ascii="Times New Roman" w:hAnsi="Times New Roman" w:eastAsia="宋体"/>
                <w:szCs w:val="20"/>
              </w:rPr>
            </w:pPr>
            <w:r>
              <w:rPr>
                <w:rFonts w:ascii="Times New Roman" w:hAnsi="Times New Roman" w:eastAsia="宋体"/>
                <w:szCs w:val="20"/>
              </w:rPr>
              <w:t>2</w:t>
            </w:r>
            <w:r>
              <w:rPr>
                <w:rFonts w:ascii="Times New Roman" w:hAnsi="宋体" w:eastAsia="宋体"/>
                <w:szCs w:val="20"/>
              </w:rPr>
              <w:t>、同时结合自身实际和已取得的清洁生产成果，培养职工发现、分析、解决问题的能力</w:t>
            </w:r>
          </w:p>
        </w:tc>
        <w:tc>
          <w:tcPr>
            <w:tcW w:w="1733"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每半年一次</w:t>
            </w:r>
          </w:p>
        </w:tc>
        <w:tc>
          <w:tcPr>
            <w:tcW w:w="1104" w:type="dxa"/>
            <w:vAlign w:val="center"/>
          </w:tcPr>
          <w:p>
            <w:pPr>
              <w:spacing w:beforeLines="20" w:afterLines="20"/>
              <w:jc w:val="center"/>
              <w:rPr>
                <w:rFonts w:ascii="Times New Roman" w:hAnsi="Times New Roman" w:eastAsia="宋体"/>
                <w:kern w:val="18"/>
                <w:szCs w:val="20"/>
              </w:rPr>
            </w:pPr>
            <w:r>
              <w:rPr>
                <w:rFonts w:ascii="Times New Roman" w:hAnsi="宋体" w:eastAsia="宋体"/>
                <w:kern w:val="18"/>
                <w:szCs w:val="20"/>
              </w:rPr>
              <w:t>清洁生产办公室</w:t>
            </w:r>
          </w:p>
        </w:tc>
      </w:tr>
    </w:tbl>
    <w:p>
      <w:pPr>
        <w:widowControl/>
        <w:jc w:val="left"/>
      </w:pPr>
      <w:r>
        <w:br w:type="page"/>
      </w:r>
    </w:p>
    <w:p>
      <w:pPr>
        <w:pStyle w:val="2"/>
        <w:widowControl w:val="0"/>
        <w:adjustRightInd/>
        <w:snapToGrid/>
        <w:spacing w:beforeLines="50" w:after="0" w:line="360" w:lineRule="auto"/>
        <w:ind w:firstLine="199" w:firstLineChars="55"/>
        <w:jc w:val="center"/>
        <w:rPr>
          <w:rFonts w:cs="Times New Roman" w:asciiTheme="minorEastAsia" w:hAnsiTheme="minorEastAsia" w:eastAsiaTheme="minorEastAsia"/>
          <w:color w:val="000000" w:themeColor="text1"/>
          <w:sz w:val="36"/>
          <w:szCs w:val="36"/>
        </w:rPr>
      </w:pPr>
      <w:bookmarkStart w:id="351" w:name="_Toc8957"/>
      <w:bookmarkStart w:id="352" w:name="_Toc525138442"/>
      <w:bookmarkStart w:id="353" w:name="_Toc499903529"/>
      <w:bookmarkStart w:id="354" w:name="_Toc525138298"/>
      <w:r>
        <w:rPr>
          <w:rFonts w:hint="eastAsia" w:cs="Times New Roman" w:asciiTheme="minorEastAsia" w:hAnsiTheme="minorEastAsia" w:eastAsiaTheme="minorEastAsia"/>
          <w:color w:val="000000" w:themeColor="text1"/>
          <w:sz w:val="36"/>
          <w:szCs w:val="36"/>
        </w:rPr>
        <w:t>九、结 论</w:t>
      </w:r>
      <w:bookmarkEnd w:id="351"/>
      <w:bookmarkEnd w:id="352"/>
      <w:bookmarkEnd w:id="353"/>
      <w:bookmarkEnd w:id="354"/>
    </w:p>
    <w:p>
      <w:pPr>
        <w:pStyle w:val="3"/>
        <w:widowControl w:val="0"/>
        <w:adjustRightInd/>
        <w:snapToGrid/>
        <w:spacing w:beforeLines="50" w:after="0" w:line="360" w:lineRule="auto"/>
        <w:rPr>
          <w:rFonts w:ascii="Times New Roman" w:hAnsi="Times New Roman"/>
          <w:sz w:val="30"/>
          <w:szCs w:val="30"/>
        </w:rPr>
      </w:pPr>
      <w:bookmarkStart w:id="355" w:name="_Toc22937"/>
      <w:bookmarkStart w:id="356" w:name="_Toc525138443"/>
      <w:bookmarkStart w:id="357" w:name="_Toc499903530"/>
      <w:bookmarkStart w:id="358" w:name="_Toc525138299"/>
      <w:r>
        <w:rPr>
          <w:rFonts w:hint="eastAsia" w:ascii="Times New Roman" w:hAnsi="Times New Roman"/>
          <w:sz w:val="30"/>
          <w:szCs w:val="30"/>
        </w:rPr>
        <w:t>9</w:t>
      </w:r>
      <w:r>
        <w:rPr>
          <w:rFonts w:ascii="Times New Roman" w:hAnsi="Times New Roman"/>
          <w:sz w:val="30"/>
          <w:szCs w:val="30"/>
        </w:rPr>
        <w:t>.1清洁生产</w:t>
      </w:r>
      <w:r>
        <w:rPr>
          <w:rFonts w:hint="eastAsia" w:ascii="Times New Roman" w:hAnsi="Times New Roman"/>
          <w:sz w:val="30"/>
          <w:szCs w:val="30"/>
        </w:rPr>
        <w:t>审核工作总结</w:t>
      </w:r>
      <w:bookmarkEnd w:id="355"/>
      <w:bookmarkEnd w:id="356"/>
      <w:bookmarkEnd w:id="357"/>
      <w:bookmarkEnd w:id="358"/>
    </w:p>
    <w:p>
      <w:pPr>
        <w:spacing w:line="360" w:lineRule="auto"/>
        <w:ind w:firstLine="482"/>
        <w:rPr>
          <w:rFonts w:hint="eastAsia" w:ascii="Times New Roman" w:hAnsi="Times New Roman" w:eastAsia="宋体"/>
          <w:sz w:val="24"/>
          <w:szCs w:val="24"/>
        </w:rPr>
      </w:pPr>
      <w:r>
        <w:rPr>
          <w:rFonts w:hint="eastAsia" w:ascii="Times New Roman" w:hAnsi="Times New Roman" w:eastAsia="宋体"/>
          <w:sz w:val="24"/>
          <w:szCs w:val="24"/>
        </w:rPr>
        <w:t xml:space="preserve">本轮审核提出 </w:t>
      </w:r>
      <w:r>
        <w:rPr>
          <w:rFonts w:hint="eastAsia" w:ascii="Times New Roman" w:hAnsi="Times New Roman" w:eastAsia="宋体"/>
          <w:sz w:val="24"/>
          <w:szCs w:val="24"/>
          <w:lang w:val="en-US" w:eastAsia="zh-CN"/>
        </w:rPr>
        <w:t>11</w:t>
      </w:r>
      <w:r>
        <w:rPr>
          <w:rFonts w:hint="eastAsia" w:ascii="Times New Roman" w:hAnsi="Times New Roman" w:eastAsia="宋体"/>
          <w:sz w:val="24"/>
          <w:szCs w:val="24"/>
        </w:rPr>
        <w:t>个方案，其中无</w:t>
      </w:r>
      <w:r>
        <w:rPr>
          <w:rFonts w:ascii="Times New Roman" w:hAnsi="Times New Roman" w:eastAsia="宋体"/>
          <w:sz w:val="24"/>
          <w:szCs w:val="24"/>
        </w:rPr>
        <w:t>/</w:t>
      </w:r>
      <w:r>
        <w:rPr>
          <w:rFonts w:hint="eastAsia" w:ascii="Times New Roman" w:hAnsi="Times New Roman" w:eastAsia="宋体"/>
          <w:sz w:val="24"/>
          <w:szCs w:val="24"/>
        </w:rPr>
        <w:t xml:space="preserve">低费方案 </w:t>
      </w:r>
      <w:r>
        <w:rPr>
          <w:rFonts w:hint="eastAsia" w:ascii="Times New Roman" w:hAnsi="Times New Roman" w:eastAsia="宋体"/>
          <w:sz w:val="24"/>
          <w:szCs w:val="24"/>
          <w:lang w:val="en-US" w:eastAsia="zh-CN"/>
        </w:rPr>
        <w:t>9</w:t>
      </w:r>
      <w:r>
        <w:rPr>
          <w:rFonts w:ascii="Times New Roman" w:hAnsi="Times New Roman" w:eastAsia="宋体"/>
          <w:sz w:val="24"/>
          <w:szCs w:val="24"/>
        </w:rPr>
        <w:t xml:space="preserve"> </w:t>
      </w:r>
      <w:r>
        <w:rPr>
          <w:rFonts w:hint="eastAsia" w:ascii="Times New Roman" w:hAnsi="Times New Roman" w:eastAsia="宋体"/>
          <w:sz w:val="24"/>
          <w:szCs w:val="24"/>
        </w:rPr>
        <w:t>个，中</w:t>
      </w:r>
      <w:r>
        <w:rPr>
          <w:rFonts w:ascii="Times New Roman" w:hAnsi="Times New Roman" w:eastAsia="宋体"/>
          <w:sz w:val="24"/>
          <w:szCs w:val="24"/>
        </w:rPr>
        <w:t>/</w:t>
      </w:r>
      <w:r>
        <w:rPr>
          <w:rFonts w:hint="eastAsia" w:ascii="Times New Roman" w:hAnsi="Times New Roman" w:eastAsia="宋体"/>
          <w:sz w:val="24"/>
          <w:szCs w:val="24"/>
        </w:rPr>
        <w:t xml:space="preserve">高费方案 </w:t>
      </w:r>
      <w:r>
        <w:rPr>
          <w:rFonts w:hint="eastAsia" w:ascii="Times New Roman" w:hAnsi="Times New Roman" w:eastAsia="宋体"/>
          <w:sz w:val="24"/>
          <w:szCs w:val="24"/>
          <w:lang w:val="en-US" w:eastAsia="zh-CN"/>
        </w:rPr>
        <w:t>2</w:t>
      </w:r>
      <w:r>
        <w:rPr>
          <w:rFonts w:hint="eastAsia" w:ascii="Times New Roman" w:hAnsi="Times New Roman" w:eastAsia="宋体"/>
          <w:sz w:val="24"/>
          <w:szCs w:val="24"/>
        </w:rPr>
        <w:t>个，共需投资约总投资</w:t>
      </w:r>
      <w:r>
        <w:rPr>
          <w:rFonts w:hint="eastAsia" w:ascii="Times New Roman" w:hAnsi="Times New Roman" w:eastAsia="宋体"/>
          <w:sz w:val="24"/>
          <w:szCs w:val="24"/>
          <w:lang w:val="en-US" w:eastAsia="zh-CN"/>
        </w:rPr>
        <w:t>33.4</w:t>
      </w:r>
      <w:r>
        <w:rPr>
          <w:rFonts w:hint="eastAsia" w:ascii="Times New Roman" w:hAnsi="Times New Roman" w:eastAsia="宋体"/>
          <w:sz w:val="24"/>
          <w:szCs w:val="24"/>
        </w:rPr>
        <w:t xml:space="preserve">万元。目前已实施 </w:t>
      </w:r>
      <w:r>
        <w:rPr>
          <w:rFonts w:hint="eastAsia" w:ascii="Times New Roman" w:hAnsi="Times New Roman" w:eastAsia="宋体"/>
          <w:sz w:val="24"/>
          <w:szCs w:val="24"/>
          <w:lang w:val="en-US" w:eastAsia="zh-CN"/>
        </w:rPr>
        <w:t>9</w:t>
      </w:r>
      <w:r>
        <w:rPr>
          <w:rFonts w:hint="eastAsia" w:ascii="Times New Roman" w:hAnsi="Times New Roman" w:eastAsia="宋体"/>
          <w:sz w:val="24"/>
          <w:szCs w:val="24"/>
        </w:rPr>
        <w:t xml:space="preserve">个无低费方案，无低费方案实施率 </w:t>
      </w:r>
      <w:r>
        <w:rPr>
          <w:rFonts w:hint="eastAsia" w:ascii="Times New Roman" w:hAnsi="Times New Roman" w:eastAsia="宋体"/>
          <w:sz w:val="24"/>
          <w:szCs w:val="24"/>
          <w:lang w:val="en-US" w:eastAsia="zh-CN"/>
        </w:rPr>
        <w:t>100</w:t>
      </w:r>
      <w:r>
        <w:rPr>
          <w:rFonts w:ascii="Times New Roman" w:hAnsi="Times New Roman" w:eastAsia="宋体"/>
          <w:sz w:val="24"/>
          <w:szCs w:val="24"/>
        </w:rPr>
        <w:t>%</w:t>
      </w:r>
      <w:r>
        <w:rPr>
          <w:rFonts w:hint="eastAsia" w:ascii="Times New Roman" w:hAnsi="Times New Roman" w:eastAsia="宋体"/>
          <w:sz w:val="24"/>
          <w:szCs w:val="24"/>
        </w:rPr>
        <w:t>，中高费方案已实施完成</w:t>
      </w:r>
      <w:r>
        <w:rPr>
          <w:rFonts w:hint="eastAsia" w:ascii="Times New Roman" w:hAnsi="Times New Roman" w:eastAsia="宋体"/>
          <w:sz w:val="24"/>
          <w:szCs w:val="24"/>
          <w:lang w:val="en-US" w:eastAsia="zh-CN"/>
        </w:rPr>
        <w:t>1个</w:t>
      </w:r>
      <w:r>
        <w:rPr>
          <w:rFonts w:hint="eastAsia" w:ascii="Times New Roman" w:hAnsi="Times New Roman" w:eastAsia="宋体"/>
          <w:sz w:val="24"/>
          <w:szCs w:val="24"/>
        </w:rPr>
        <w:t xml:space="preserve">，中高费方案实施率 </w:t>
      </w:r>
      <w:r>
        <w:rPr>
          <w:rFonts w:hint="eastAsia" w:ascii="Times New Roman" w:hAnsi="Times New Roman" w:eastAsia="宋体"/>
          <w:sz w:val="24"/>
          <w:szCs w:val="24"/>
          <w:lang w:val="en-US" w:eastAsia="zh-CN"/>
        </w:rPr>
        <w:t>50</w:t>
      </w:r>
      <w:r>
        <w:rPr>
          <w:rFonts w:ascii="Times New Roman" w:hAnsi="Times New Roman" w:eastAsia="宋体"/>
          <w:sz w:val="24"/>
          <w:szCs w:val="24"/>
        </w:rPr>
        <w:t>%</w:t>
      </w:r>
      <w:r>
        <w:rPr>
          <w:rFonts w:hint="eastAsia" w:ascii="Times New Roman" w:hAnsi="Times New Roman" w:eastAsia="宋体"/>
          <w:sz w:val="24"/>
          <w:szCs w:val="24"/>
        </w:rPr>
        <w:t>。已实施方案总投资</w:t>
      </w:r>
      <w:r>
        <w:rPr>
          <w:rFonts w:hint="eastAsia" w:ascii="Times New Roman" w:hAnsi="Times New Roman" w:eastAsia="宋体"/>
          <w:sz w:val="24"/>
          <w:szCs w:val="24"/>
          <w:lang w:val="en-US" w:eastAsia="zh-CN"/>
        </w:rPr>
        <w:t>13.4</w:t>
      </w:r>
      <w:r>
        <w:rPr>
          <w:rFonts w:hint="eastAsia" w:ascii="Times New Roman" w:hAnsi="Times New Roman" w:eastAsia="宋体"/>
          <w:sz w:val="24"/>
          <w:szCs w:val="24"/>
        </w:rPr>
        <w:t>万元</w:t>
      </w:r>
      <w:r>
        <w:rPr>
          <w:rFonts w:ascii="Times New Roman" w:hAnsi="Times New Roman" w:eastAsia="宋体"/>
          <w:sz w:val="24"/>
          <w:szCs w:val="24"/>
        </w:rPr>
        <w:t>，方案全实施后，</w:t>
      </w:r>
      <w:bookmarkStart w:id="359" w:name="_Toc499903531"/>
      <w:bookmarkStart w:id="360" w:name="_Toc525142439"/>
      <w:bookmarkStart w:id="361" w:name="_Toc424416211"/>
      <w:r>
        <w:rPr>
          <w:rFonts w:ascii="Times New Roman" w:hAnsi="宋体" w:eastAsia="宋体"/>
          <w:sz w:val="24"/>
          <w:szCs w:val="24"/>
        </w:rPr>
        <w:t>年节电</w:t>
      </w:r>
      <w:r>
        <w:rPr>
          <w:rFonts w:hint="eastAsia" w:ascii="Times New Roman" w:hAnsi="宋体" w:eastAsia="宋体"/>
          <w:sz w:val="24"/>
          <w:szCs w:val="24"/>
          <w:lang w:val="en-US" w:eastAsia="zh-CN"/>
        </w:rPr>
        <w:t>23000</w:t>
      </w:r>
      <w:r>
        <w:rPr>
          <w:rFonts w:ascii="Times New Roman" w:hAnsi="宋体" w:eastAsia="宋体"/>
          <w:sz w:val="24"/>
          <w:szCs w:val="24"/>
        </w:rPr>
        <w:t>kWh，</w:t>
      </w:r>
      <w:r>
        <w:rPr>
          <w:rFonts w:hint="eastAsia" w:ascii="Times New Roman" w:hAnsi="宋体" w:eastAsia="宋体"/>
          <w:sz w:val="24"/>
          <w:szCs w:val="24"/>
          <w:lang w:val="en-US" w:eastAsia="zh-CN"/>
        </w:rPr>
        <w:t>降低生产故障率、提高生产效率，降低能耗</w:t>
      </w:r>
      <w:r>
        <w:rPr>
          <w:rFonts w:ascii="Times New Roman" w:hAnsi="宋体" w:eastAsia="宋体"/>
          <w:sz w:val="24"/>
          <w:szCs w:val="24"/>
        </w:rPr>
        <w:t>。除去方案实施后暂无法核算的间接经济效益，年直接经济效益可达</w:t>
      </w:r>
      <w:r>
        <w:rPr>
          <w:rFonts w:hint="eastAsia" w:ascii="Times New Roman" w:hAnsi="宋体" w:eastAsia="宋体"/>
          <w:sz w:val="24"/>
          <w:szCs w:val="24"/>
          <w:lang w:val="en-US" w:eastAsia="zh-CN"/>
        </w:rPr>
        <w:t>26.765</w:t>
      </w:r>
      <w:r>
        <w:rPr>
          <w:rFonts w:ascii="Times New Roman" w:hAnsi="宋体" w:eastAsia="宋体"/>
          <w:sz w:val="24"/>
          <w:szCs w:val="24"/>
        </w:rPr>
        <w:t>万元</w:t>
      </w:r>
      <w:r>
        <w:rPr>
          <w:rFonts w:hint="eastAsia" w:ascii="Times New Roman" w:hAnsi="宋体" w:eastAsia="宋体"/>
          <w:sz w:val="24"/>
          <w:szCs w:val="24"/>
          <w:lang w:eastAsia="zh-CN"/>
        </w:rPr>
        <w:t>。</w:t>
      </w:r>
    </w:p>
    <w:p>
      <w:pPr>
        <w:spacing w:line="360" w:lineRule="auto"/>
        <w:ind w:firstLine="482"/>
        <w:rPr>
          <w:rFonts w:ascii="Times New Roman" w:hAnsi="Times New Roman" w:eastAsia="宋体"/>
          <w:sz w:val="24"/>
          <w:szCs w:val="24"/>
        </w:rPr>
      </w:pPr>
      <w:r>
        <w:rPr>
          <w:rFonts w:hint="eastAsia" w:ascii="Times New Roman" w:hAnsi="Times New Roman" w:eastAsia="宋体"/>
          <w:sz w:val="24"/>
          <w:szCs w:val="24"/>
        </w:rPr>
        <w:t>综上所述，本轮审核方案全实施后，</w:t>
      </w:r>
      <w:r>
        <w:rPr>
          <w:rFonts w:ascii="Times New Roman" w:hAnsi="宋体" w:eastAsia="宋体"/>
          <w:sz w:val="24"/>
          <w:szCs w:val="24"/>
        </w:rPr>
        <w:t>年节电</w:t>
      </w:r>
      <w:r>
        <w:rPr>
          <w:rFonts w:hint="eastAsia" w:ascii="Times New Roman" w:hAnsi="宋体" w:eastAsia="宋体"/>
          <w:sz w:val="24"/>
          <w:szCs w:val="24"/>
          <w:lang w:val="en-US" w:eastAsia="zh-CN"/>
        </w:rPr>
        <w:t>16.63万</w:t>
      </w:r>
      <w:r>
        <w:rPr>
          <w:rFonts w:ascii="Times New Roman" w:hAnsi="宋体" w:eastAsia="宋体"/>
          <w:sz w:val="24"/>
          <w:szCs w:val="24"/>
        </w:rPr>
        <w:t>kWh，</w:t>
      </w:r>
      <w:r>
        <w:rPr>
          <w:rFonts w:hint="eastAsia" w:ascii="Times New Roman" w:hAnsi="宋体" w:eastAsia="宋体"/>
          <w:sz w:val="24"/>
          <w:szCs w:val="24"/>
          <w:lang w:eastAsia="zh-CN"/>
        </w:rPr>
        <w:t>减排粉尘</w:t>
      </w:r>
      <w:r>
        <w:rPr>
          <w:rFonts w:hint="eastAsia" w:ascii="Times New Roman" w:hAnsi="宋体" w:eastAsia="宋体"/>
          <w:sz w:val="24"/>
          <w:szCs w:val="24"/>
          <w:lang w:val="en-US" w:eastAsia="zh-CN"/>
        </w:rPr>
        <w:t>9t</w:t>
      </w:r>
      <w:r>
        <w:rPr>
          <w:rFonts w:hint="eastAsia" w:ascii="Times New Roman" w:hAnsi="宋体" w:eastAsia="宋体"/>
          <w:sz w:val="24"/>
          <w:szCs w:val="24"/>
        </w:rPr>
        <w:t>，</w:t>
      </w:r>
      <w:r>
        <w:rPr>
          <w:rFonts w:hint="eastAsia" w:ascii="Times New Roman" w:hAnsi="宋体" w:eastAsia="宋体"/>
          <w:sz w:val="24"/>
          <w:szCs w:val="24"/>
          <w:lang w:val="en-US" w:eastAsia="zh-CN"/>
        </w:rPr>
        <w:t>降低生产故障率，提高生产效率，</w:t>
      </w:r>
      <w:r>
        <w:rPr>
          <w:rFonts w:ascii="Times New Roman" w:hAnsi="宋体" w:eastAsia="宋体"/>
          <w:sz w:val="24"/>
          <w:szCs w:val="24"/>
        </w:rPr>
        <w:t>除去方案实施后暂无法核算的间接经济效益，年直接经济效益可达</w:t>
      </w:r>
      <w:r>
        <w:rPr>
          <w:rFonts w:hint="eastAsia" w:ascii="Times New Roman" w:hAnsi="宋体" w:eastAsia="宋体"/>
          <w:sz w:val="24"/>
          <w:szCs w:val="24"/>
          <w:lang w:val="en-US" w:eastAsia="zh-CN"/>
        </w:rPr>
        <w:t>60.535</w:t>
      </w:r>
      <w:r>
        <w:rPr>
          <w:rFonts w:ascii="Times New Roman" w:hAnsi="宋体" w:eastAsia="宋体"/>
          <w:sz w:val="24"/>
          <w:szCs w:val="24"/>
        </w:rPr>
        <w:t>万元</w:t>
      </w:r>
      <w:r>
        <w:rPr>
          <w:rFonts w:hint="eastAsia" w:ascii="Times New Roman" w:hAnsi="Times New Roman" w:eastAsia="宋体"/>
          <w:sz w:val="24"/>
          <w:szCs w:val="24"/>
        </w:rPr>
        <w:t>； 实现了“节能、减排、降耗、增效”的目标。</w:t>
      </w:r>
    </w:p>
    <w:p>
      <w:pPr>
        <w:pStyle w:val="3"/>
        <w:widowControl w:val="0"/>
        <w:adjustRightInd/>
        <w:snapToGrid/>
        <w:spacing w:beforeLines="50" w:after="0" w:line="360" w:lineRule="auto"/>
        <w:rPr>
          <w:rFonts w:ascii="Times New Roman" w:hAnsi="Times New Roman"/>
          <w:sz w:val="30"/>
          <w:szCs w:val="30"/>
        </w:rPr>
      </w:pPr>
      <w:bookmarkStart w:id="362" w:name="_Toc13322"/>
      <w:r>
        <w:rPr>
          <w:rFonts w:hint="eastAsia" w:ascii="Times New Roman" w:hAnsi="Times New Roman"/>
          <w:sz w:val="30"/>
          <w:szCs w:val="30"/>
        </w:rPr>
        <w:t>9</w:t>
      </w:r>
      <w:r>
        <w:rPr>
          <w:rFonts w:ascii="Times New Roman" w:hAnsi="Times New Roman"/>
          <w:sz w:val="30"/>
          <w:szCs w:val="30"/>
        </w:rPr>
        <w:t>.2审核前后产排污变化情况</w:t>
      </w:r>
      <w:bookmarkEnd w:id="359"/>
      <w:bookmarkEnd w:id="360"/>
      <w:bookmarkEnd w:id="361"/>
      <w:bookmarkEnd w:id="362"/>
    </w:p>
    <w:p>
      <w:pPr>
        <w:pStyle w:val="42"/>
        <w:ind w:firstLine="480" w:firstLineChars="200"/>
        <w:jc w:val="both"/>
        <w:rPr>
          <w:rFonts w:hAnsi="Times New Roman" w:eastAsia="宋体"/>
          <w:szCs w:val="24"/>
        </w:rPr>
      </w:pPr>
      <w:r>
        <w:rPr>
          <w:rFonts w:hAnsi="Times New Roman" w:eastAsia="宋体"/>
          <w:szCs w:val="24"/>
        </w:rPr>
        <w:t>企业在生产过程中会产生一定的</w:t>
      </w:r>
      <w:r>
        <w:rPr>
          <w:rFonts w:hint="eastAsia" w:hAnsi="Times New Roman" w:eastAsia="宋体"/>
          <w:szCs w:val="24"/>
        </w:rPr>
        <w:t>废气粉尘</w:t>
      </w:r>
      <w:r>
        <w:rPr>
          <w:rFonts w:hAnsi="Times New Roman" w:eastAsia="宋体"/>
          <w:szCs w:val="24"/>
        </w:rPr>
        <w:t>、</w:t>
      </w:r>
      <w:r>
        <w:rPr>
          <w:rFonts w:hint="eastAsia" w:hAnsi="Times New Roman" w:eastAsia="宋体"/>
          <w:szCs w:val="24"/>
        </w:rPr>
        <w:t>废水、</w:t>
      </w:r>
      <w:r>
        <w:rPr>
          <w:rFonts w:hAnsi="Times New Roman" w:eastAsia="宋体"/>
          <w:szCs w:val="24"/>
        </w:rPr>
        <w:t>噪声和固废排放，其中最为主要的是</w:t>
      </w:r>
      <w:r>
        <w:rPr>
          <w:rFonts w:hint="eastAsia" w:hAnsi="Times New Roman" w:eastAsia="宋体"/>
          <w:szCs w:val="24"/>
          <w:lang w:val="en-US" w:eastAsia="zh-CN"/>
        </w:rPr>
        <w:t>焊接烟尘</w:t>
      </w:r>
      <w:r>
        <w:rPr>
          <w:rFonts w:hint="eastAsia" w:hAnsi="Times New Roman" w:eastAsia="宋体"/>
          <w:szCs w:val="24"/>
        </w:rPr>
        <w:t>和</w:t>
      </w:r>
      <w:r>
        <w:rPr>
          <w:rFonts w:hint="eastAsia" w:hAnsi="Times New Roman" w:eastAsia="宋体"/>
          <w:szCs w:val="24"/>
          <w:lang w:val="en-US" w:eastAsia="zh-CN"/>
        </w:rPr>
        <w:t>浇注废气</w:t>
      </w:r>
      <w:r>
        <w:rPr>
          <w:rFonts w:hint="eastAsia" w:hAnsi="Times New Roman" w:eastAsia="宋体"/>
          <w:szCs w:val="24"/>
        </w:rPr>
        <w:t>。</w:t>
      </w:r>
      <w:r>
        <w:rPr>
          <w:rFonts w:hAnsi="Times New Roman" w:eastAsia="宋体"/>
          <w:szCs w:val="24"/>
        </w:rPr>
        <w:t>通过本轮审核，企业的产污排污状况主要变化如下：</w:t>
      </w:r>
    </w:p>
    <w:p>
      <w:pPr>
        <w:pStyle w:val="42"/>
        <w:ind w:firstLine="360" w:firstLineChars="150"/>
        <w:jc w:val="both"/>
        <w:rPr>
          <w:rFonts w:hAnsi="Times New Roman" w:eastAsia="宋体"/>
          <w:szCs w:val="24"/>
        </w:rPr>
      </w:pPr>
      <w:r>
        <w:rPr>
          <w:rFonts w:hint="eastAsia" w:hAnsi="Times New Roman" w:eastAsia="宋体"/>
          <w:szCs w:val="24"/>
        </w:rPr>
        <w:t>（1）优化车间布局，将不同物品分区堆放，改善车间环境，便于物品合理领用及管理，从而改善车间环境，减少废弃物产生与排放；</w:t>
      </w:r>
    </w:p>
    <w:p>
      <w:pPr>
        <w:pStyle w:val="42"/>
        <w:ind w:firstLine="360" w:firstLineChars="150"/>
        <w:jc w:val="both"/>
        <w:rPr>
          <w:rFonts w:hAnsi="Times New Roman" w:eastAsia="宋体"/>
          <w:szCs w:val="24"/>
        </w:rPr>
      </w:pPr>
      <w:r>
        <w:rPr>
          <w:rFonts w:hint="eastAsia" w:hAnsi="Times New Roman" w:eastAsia="宋体"/>
          <w:szCs w:val="24"/>
        </w:rPr>
        <w:t>（2）为员工配备了口罩等劳保用品，减轻了废气粉尘对员工身心的影响；</w:t>
      </w:r>
    </w:p>
    <w:p>
      <w:pPr>
        <w:pStyle w:val="42"/>
        <w:ind w:firstLine="360" w:firstLineChars="150"/>
        <w:jc w:val="both"/>
        <w:rPr>
          <w:rFonts w:hAnsi="Times New Roman" w:eastAsia="宋体"/>
          <w:szCs w:val="24"/>
        </w:rPr>
      </w:pPr>
      <w:r>
        <w:rPr>
          <w:rFonts w:hint="eastAsia" w:hAnsi="Times New Roman" w:eastAsia="宋体"/>
          <w:szCs w:val="24"/>
        </w:rPr>
        <w:t>（3）为员工进行清洁生产和相关环境方面的知识培训，提高了员工清洁生产和环保意识；</w:t>
      </w:r>
    </w:p>
    <w:p>
      <w:pPr>
        <w:pStyle w:val="42"/>
        <w:ind w:firstLine="360" w:firstLineChars="150"/>
        <w:jc w:val="both"/>
        <w:rPr>
          <w:rFonts w:hint="eastAsia" w:ascii="Times New Roman" w:hAnsi="Times New Roman"/>
          <w:sz w:val="30"/>
          <w:szCs w:val="30"/>
        </w:rPr>
      </w:pPr>
      <w:r>
        <w:rPr>
          <w:rFonts w:hint="eastAsia" w:hAnsi="Times New Roman" w:eastAsia="宋体"/>
          <w:szCs w:val="24"/>
        </w:rPr>
        <w:t>（</w:t>
      </w:r>
      <w:r>
        <w:rPr>
          <w:rFonts w:hint="eastAsia" w:hAnsi="Times New Roman" w:eastAsia="宋体"/>
          <w:szCs w:val="24"/>
          <w:lang w:val="en-US" w:eastAsia="zh-CN"/>
        </w:rPr>
        <w:t>4</w:t>
      </w:r>
      <w:r>
        <w:rPr>
          <w:rFonts w:hint="eastAsia" w:hAnsi="Times New Roman" w:eastAsia="宋体"/>
          <w:szCs w:val="24"/>
        </w:rPr>
        <w:t>）</w:t>
      </w:r>
      <w:r>
        <w:rPr>
          <w:rFonts w:hint="eastAsia" w:hAnsi="Times New Roman" w:eastAsia="宋体"/>
          <w:szCs w:val="24"/>
          <w:lang w:val="en-US" w:eastAsia="zh-CN"/>
        </w:rPr>
        <w:t>年减排粉尘9t/a</w:t>
      </w:r>
      <w:r>
        <w:rPr>
          <w:rFonts w:hint="eastAsia" w:hAnsi="Times New Roman" w:eastAsia="宋体"/>
          <w:szCs w:val="24"/>
        </w:rPr>
        <w:t>。</w:t>
      </w:r>
      <w:bookmarkStart w:id="363" w:name="_Toc525142440"/>
      <w:bookmarkStart w:id="364" w:name="_Toc499903532"/>
    </w:p>
    <w:p>
      <w:pPr>
        <w:pStyle w:val="3"/>
        <w:widowControl w:val="0"/>
        <w:adjustRightInd/>
        <w:snapToGrid/>
        <w:spacing w:beforeLines="50" w:after="0" w:line="360" w:lineRule="auto"/>
        <w:rPr>
          <w:rFonts w:hint="eastAsia" w:ascii="Times New Roman" w:hAnsi="Times New Roman"/>
          <w:sz w:val="30"/>
          <w:szCs w:val="30"/>
        </w:rPr>
        <w:sectPr>
          <w:pgSz w:w="11906" w:h="16838"/>
          <w:pgMar w:top="1440" w:right="1800" w:bottom="1440" w:left="1800" w:header="964" w:footer="992" w:gutter="0"/>
          <w:cols w:space="425" w:num="1"/>
          <w:docGrid w:type="lines" w:linePitch="312" w:charSpace="0"/>
        </w:sectPr>
      </w:pPr>
    </w:p>
    <w:p>
      <w:pPr>
        <w:pStyle w:val="3"/>
        <w:widowControl w:val="0"/>
        <w:adjustRightInd/>
        <w:snapToGrid/>
        <w:spacing w:beforeLines="50" w:after="0" w:line="360" w:lineRule="auto"/>
        <w:rPr>
          <w:rFonts w:hAnsi="楷体" w:eastAsia="楷体"/>
          <w:b/>
          <w:szCs w:val="24"/>
        </w:rPr>
      </w:pPr>
      <w:bookmarkStart w:id="365" w:name="_Toc28188"/>
      <w:r>
        <w:rPr>
          <w:rFonts w:hint="eastAsia" w:ascii="Times New Roman" w:hAnsi="Times New Roman"/>
          <w:sz w:val="30"/>
          <w:szCs w:val="30"/>
        </w:rPr>
        <w:t>9.3</w:t>
      </w:r>
      <w:r>
        <w:rPr>
          <w:rFonts w:ascii="Times New Roman" w:hAnsi="Times New Roman"/>
          <w:sz w:val="30"/>
          <w:szCs w:val="30"/>
        </w:rPr>
        <w:t>审核目标完成情况</w:t>
      </w:r>
      <w:bookmarkEnd w:id="363"/>
      <w:bookmarkEnd w:id="364"/>
      <w:bookmarkEnd w:id="365"/>
    </w:p>
    <w:p>
      <w:pPr>
        <w:pStyle w:val="42"/>
        <w:ind w:firstLine="361" w:firstLineChars="150"/>
        <w:rPr>
          <w:rFonts w:hAnsi="楷体" w:eastAsia="楷体"/>
          <w:b/>
          <w:szCs w:val="24"/>
        </w:rPr>
      </w:pPr>
      <w:r>
        <w:rPr>
          <w:rFonts w:hAnsi="楷体" w:eastAsia="楷体"/>
          <w:b/>
          <w:szCs w:val="24"/>
        </w:rPr>
        <w:t>表</w:t>
      </w:r>
      <w:r>
        <w:rPr>
          <w:rFonts w:hAnsi="Times New Roman" w:eastAsia="楷体"/>
          <w:b/>
          <w:szCs w:val="24"/>
        </w:rPr>
        <w:t xml:space="preserve">9-1 </w:t>
      </w:r>
      <w:r>
        <w:rPr>
          <w:rFonts w:hAnsi="楷体" w:eastAsia="楷体"/>
          <w:b/>
          <w:szCs w:val="24"/>
        </w:rPr>
        <w:t>清洁生产审核目标预期完成情况</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1"/>
        <w:gridCol w:w="1685"/>
        <w:gridCol w:w="899"/>
        <w:gridCol w:w="962"/>
        <w:gridCol w:w="993"/>
        <w:gridCol w:w="749"/>
        <w:gridCol w:w="899"/>
        <w:gridCol w:w="1045"/>
        <w:gridCol w:w="7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2" w:hRule="exact"/>
          <w:jc w:val="center"/>
        </w:trPr>
        <w:tc>
          <w:tcPr>
            <w:tcW w:w="531" w:type="dxa"/>
            <w:vMerge w:val="restart"/>
            <w:noWrap w:val="0"/>
            <w:vAlign w:val="center"/>
          </w:tcPr>
          <w:p>
            <w:pPr>
              <w:pStyle w:val="44"/>
              <w:snapToGrid w:val="0"/>
              <w:rPr>
                <w:szCs w:val="21"/>
              </w:rPr>
            </w:pPr>
            <w:r>
              <w:rPr>
                <w:szCs w:val="21"/>
              </w:rPr>
              <w:t>序号</w:t>
            </w:r>
          </w:p>
        </w:tc>
        <w:tc>
          <w:tcPr>
            <w:tcW w:w="1685" w:type="dxa"/>
            <w:vMerge w:val="restart"/>
            <w:noWrap w:val="0"/>
            <w:vAlign w:val="center"/>
          </w:tcPr>
          <w:p>
            <w:pPr>
              <w:pStyle w:val="44"/>
              <w:snapToGrid w:val="0"/>
              <w:rPr>
                <w:szCs w:val="21"/>
              </w:rPr>
            </w:pPr>
            <w:r>
              <w:rPr>
                <w:szCs w:val="21"/>
              </w:rPr>
              <w:t>项    目</w:t>
            </w:r>
          </w:p>
        </w:tc>
        <w:tc>
          <w:tcPr>
            <w:tcW w:w="899" w:type="dxa"/>
            <w:vMerge w:val="restart"/>
            <w:noWrap w:val="0"/>
            <w:vAlign w:val="center"/>
          </w:tcPr>
          <w:p>
            <w:pPr>
              <w:pStyle w:val="44"/>
              <w:snapToGrid w:val="0"/>
              <w:rPr>
                <w:szCs w:val="21"/>
              </w:rPr>
            </w:pPr>
            <w:r>
              <w:rPr>
                <w:szCs w:val="21"/>
              </w:rPr>
              <w:t>现状</w:t>
            </w:r>
          </w:p>
        </w:tc>
        <w:tc>
          <w:tcPr>
            <w:tcW w:w="2704" w:type="dxa"/>
            <w:gridSpan w:val="3"/>
            <w:noWrap w:val="0"/>
            <w:vAlign w:val="center"/>
          </w:tcPr>
          <w:p>
            <w:pPr>
              <w:pStyle w:val="44"/>
              <w:snapToGrid w:val="0"/>
              <w:rPr>
                <w:szCs w:val="21"/>
              </w:rPr>
            </w:pPr>
            <w:r>
              <w:rPr>
                <w:szCs w:val="21"/>
              </w:rPr>
              <w:t>近期目标</w:t>
            </w:r>
          </w:p>
          <w:p>
            <w:pPr>
              <w:pStyle w:val="44"/>
              <w:snapToGrid w:val="0"/>
              <w:rPr>
                <w:szCs w:val="21"/>
              </w:rPr>
            </w:pPr>
            <w:r>
              <w:rPr>
                <w:szCs w:val="21"/>
              </w:rPr>
              <w:t>（</w:t>
            </w:r>
            <w:r>
              <w:rPr>
                <w:rFonts w:hint="eastAsia"/>
                <w:szCs w:val="21"/>
                <w:lang w:val="en-US" w:eastAsia="zh-CN"/>
              </w:rPr>
              <w:t>2024</w:t>
            </w:r>
            <w:r>
              <w:rPr>
                <w:szCs w:val="21"/>
              </w:rPr>
              <w:t>年）</w:t>
            </w:r>
          </w:p>
        </w:tc>
        <w:tc>
          <w:tcPr>
            <w:tcW w:w="2703" w:type="dxa"/>
            <w:gridSpan w:val="3"/>
            <w:noWrap w:val="0"/>
            <w:vAlign w:val="center"/>
          </w:tcPr>
          <w:p>
            <w:pPr>
              <w:pStyle w:val="44"/>
              <w:snapToGrid w:val="0"/>
              <w:rPr>
                <w:szCs w:val="21"/>
              </w:rPr>
            </w:pPr>
            <w:r>
              <w:rPr>
                <w:szCs w:val="21"/>
              </w:rPr>
              <w:t>远期目标</w:t>
            </w:r>
          </w:p>
          <w:p>
            <w:pPr>
              <w:pStyle w:val="44"/>
              <w:snapToGrid w:val="0"/>
              <w:rPr>
                <w:szCs w:val="21"/>
              </w:rPr>
            </w:pPr>
            <w:r>
              <w:rPr>
                <w:szCs w:val="21"/>
              </w:rPr>
              <w:t>(20</w:t>
            </w:r>
            <w:r>
              <w:rPr>
                <w:rFonts w:hint="eastAsia"/>
                <w:szCs w:val="21"/>
                <w:lang w:val="en-US" w:eastAsia="zh-CN"/>
              </w:rPr>
              <w:t>25年</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3" w:hRule="exact"/>
          <w:jc w:val="center"/>
        </w:trPr>
        <w:tc>
          <w:tcPr>
            <w:tcW w:w="531" w:type="dxa"/>
            <w:vMerge w:val="continue"/>
            <w:noWrap w:val="0"/>
            <w:vAlign w:val="center"/>
          </w:tcPr>
          <w:p>
            <w:pPr>
              <w:widowControl/>
              <w:adjustRightInd w:val="0"/>
              <w:snapToGrid w:val="0"/>
              <w:ind w:firstLine="420"/>
              <w:jc w:val="center"/>
              <w:rPr>
                <w:kern w:val="18"/>
                <w:sz w:val="21"/>
                <w:szCs w:val="21"/>
              </w:rPr>
            </w:pPr>
          </w:p>
        </w:tc>
        <w:tc>
          <w:tcPr>
            <w:tcW w:w="1685" w:type="dxa"/>
            <w:vMerge w:val="continue"/>
            <w:noWrap w:val="0"/>
            <w:vAlign w:val="center"/>
          </w:tcPr>
          <w:p>
            <w:pPr>
              <w:widowControl/>
              <w:adjustRightInd w:val="0"/>
              <w:snapToGrid w:val="0"/>
              <w:ind w:firstLine="420"/>
              <w:jc w:val="center"/>
              <w:rPr>
                <w:kern w:val="18"/>
                <w:sz w:val="21"/>
                <w:szCs w:val="21"/>
              </w:rPr>
            </w:pPr>
          </w:p>
        </w:tc>
        <w:tc>
          <w:tcPr>
            <w:tcW w:w="899" w:type="dxa"/>
            <w:vMerge w:val="continue"/>
            <w:noWrap w:val="0"/>
            <w:vAlign w:val="center"/>
          </w:tcPr>
          <w:p>
            <w:pPr>
              <w:widowControl/>
              <w:adjustRightInd w:val="0"/>
              <w:snapToGrid w:val="0"/>
              <w:ind w:firstLine="420"/>
              <w:jc w:val="center"/>
              <w:rPr>
                <w:kern w:val="18"/>
                <w:sz w:val="21"/>
                <w:szCs w:val="21"/>
              </w:rPr>
            </w:pPr>
          </w:p>
        </w:tc>
        <w:tc>
          <w:tcPr>
            <w:tcW w:w="962" w:type="dxa"/>
            <w:noWrap w:val="0"/>
            <w:vAlign w:val="center"/>
          </w:tcPr>
          <w:p>
            <w:pPr>
              <w:pStyle w:val="44"/>
              <w:snapToGrid w:val="0"/>
              <w:rPr>
                <w:szCs w:val="21"/>
              </w:rPr>
            </w:pPr>
            <w:r>
              <w:rPr>
                <w:szCs w:val="21"/>
              </w:rPr>
              <w:t>目标值</w:t>
            </w:r>
          </w:p>
        </w:tc>
        <w:tc>
          <w:tcPr>
            <w:tcW w:w="993" w:type="dxa"/>
            <w:noWrap w:val="0"/>
            <w:vAlign w:val="center"/>
          </w:tcPr>
          <w:p>
            <w:pPr>
              <w:pStyle w:val="44"/>
              <w:snapToGrid w:val="0"/>
              <w:rPr>
                <w:szCs w:val="21"/>
              </w:rPr>
            </w:pPr>
            <w:r>
              <w:rPr>
                <w:szCs w:val="21"/>
              </w:rPr>
              <w:t>实际值</w:t>
            </w:r>
          </w:p>
        </w:tc>
        <w:tc>
          <w:tcPr>
            <w:tcW w:w="749" w:type="dxa"/>
            <w:noWrap w:val="0"/>
            <w:vAlign w:val="center"/>
          </w:tcPr>
          <w:p>
            <w:pPr>
              <w:pStyle w:val="44"/>
              <w:snapToGrid w:val="0"/>
              <w:rPr>
                <w:szCs w:val="21"/>
              </w:rPr>
            </w:pPr>
            <w:r>
              <w:rPr>
                <w:szCs w:val="21"/>
              </w:rPr>
              <w:t>完成情况</w:t>
            </w:r>
          </w:p>
        </w:tc>
        <w:tc>
          <w:tcPr>
            <w:tcW w:w="899" w:type="dxa"/>
            <w:noWrap w:val="0"/>
            <w:vAlign w:val="center"/>
          </w:tcPr>
          <w:p>
            <w:pPr>
              <w:pStyle w:val="44"/>
              <w:snapToGrid w:val="0"/>
              <w:rPr>
                <w:szCs w:val="21"/>
              </w:rPr>
            </w:pPr>
            <w:r>
              <w:rPr>
                <w:szCs w:val="21"/>
              </w:rPr>
              <w:t>目标值</w:t>
            </w:r>
          </w:p>
        </w:tc>
        <w:tc>
          <w:tcPr>
            <w:tcW w:w="1045" w:type="dxa"/>
            <w:noWrap w:val="0"/>
            <w:vAlign w:val="center"/>
          </w:tcPr>
          <w:p>
            <w:pPr>
              <w:pStyle w:val="44"/>
              <w:snapToGrid w:val="0"/>
              <w:rPr>
                <w:szCs w:val="21"/>
              </w:rPr>
            </w:pPr>
            <w:r>
              <w:rPr>
                <w:szCs w:val="21"/>
              </w:rPr>
              <w:t>实际值</w:t>
            </w:r>
          </w:p>
        </w:tc>
        <w:tc>
          <w:tcPr>
            <w:tcW w:w="759" w:type="dxa"/>
            <w:noWrap w:val="0"/>
            <w:vAlign w:val="center"/>
          </w:tcPr>
          <w:p>
            <w:pPr>
              <w:pStyle w:val="44"/>
              <w:snapToGrid w:val="0"/>
              <w:rPr>
                <w:szCs w:val="21"/>
              </w:rPr>
            </w:pPr>
            <w:r>
              <w:rPr>
                <w:szCs w:val="21"/>
              </w:rPr>
              <w:t>完成情况情况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531" w:type="dxa"/>
            <w:noWrap w:val="0"/>
            <w:vAlign w:val="center"/>
          </w:tcPr>
          <w:p>
            <w:pPr>
              <w:pStyle w:val="44"/>
              <w:snapToGrid w:val="0"/>
              <w:rPr>
                <w:szCs w:val="21"/>
              </w:rPr>
            </w:pPr>
            <w:r>
              <w:rPr>
                <w:szCs w:val="21"/>
              </w:rPr>
              <w:t>1</w:t>
            </w:r>
          </w:p>
        </w:tc>
        <w:tc>
          <w:tcPr>
            <w:tcW w:w="1685" w:type="dxa"/>
            <w:noWrap w:val="0"/>
            <w:vAlign w:val="center"/>
          </w:tcPr>
          <w:p>
            <w:pPr>
              <w:pStyle w:val="44"/>
              <w:snapToGrid w:val="0"/>
              <w:jc w:val="center"/>
              <w:rPr>
                <w:szCs w:val="21"/>
              </w:rPr>
            </w:pPr>
            <w:r>
              <w:rPr>
                <w:rFonts w:hint="eastAsia" w:ascii="宋体"/>
                <w:szCs w:val="21"/>
              </w:rPr>
              <w:t>降低单位产品电耗</w:t>
            </w:r>
          </w:p>
        </w:tc>
        <w:tc>
          <w:tcPr>
            <w:tcW w:w="899" w:type="dxa"/>
            <w:noWrap w:val="0"/>
            <w:vAlign w:val="center"/>
          </w:tcPr>
          <w:p>
            <w:pPr>
              <w:spacing w:beforeLines="20" w:afterLines="20"/>
              <w:jc w:val="center"/>
              <w:textAlignment w:val="center"/>
              <w:rPr>
                <w:rFonts w:hint="default" w:eastAsiaTheme="minorEastAsia"/>
                <w:szCs w:val="21"/>
                <w:lang w:val="en-US" w:eastAsia="zh-CN"/>
              </w:rPr>
            </w:pPr>
            <w:r>
              <w:rPr>
                <w:rFonts w:hint="eastAsia" w:ascii="Times New Roman" w:hAnsi="Times New Roman" w:cs="Times New Roman"/>
                <w:sz w:val="21"/>
                <w:szCs w:val="21"/>
                <w:lang w:val="en-US" w:eastAsia="zh-CN"/>
              </w:rPr>
              <w:t>10.69</w:t>
            </w:r>
          </w:p>
        </w:tc>
        <w:tc>
          <w:tcPr>
            <w:tcW w:w="962" w:type="dxa"/>
            <w:noWrap w:val="0"/>
            <w:vAlign w:val="center"/>
          </w:tcPr>
          <w:p>
            <w:pPr>
              <w:spacing w:beforeLines="20" w:afterLines="20"/>
              <w:jc w:val="center"/>
              <w:textAlignment w:val="center"/>
              <w:rPr>
                <w:rFonts w:hint="default" w:eastAsiaTheme="minorEastAsia"/>
                <w:szCs w:val="21"/>
                <w:lang w:val="en-US" w:eastAsia="zh-CN"/>
              </w:rPr>
            </w:pPr>
            <w:r>
              <w:rPr>
                <w:rFonts w:hint="eastAsia" w:ascii="Times New Roman" w:hAnsi="Times New Roman" w:cs="Times New Roman"/>
                <w:sz w:val="21"/>
                <w:szCs w:val="21"/>
                <w:lang w:val="en-US" w:eastAsia="zh-CN"/>
              </w:rPr>
              <w:t>10.6</w:t>
            </w:r>
          </w:p>
        </w:tc>
        <w:tc>
          <w:tcPr>
            <w:tcW w:w="993"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10.6</w:t>
            </w:r>
          </w:p>
        </w:tc>
        <w:tc>
          <w:tcPr>
            <w:tcW w:w="749" w:type="dxa"/>
            <w:noWrap w:val="0"/>
            <w:vAlign w:val="center"/>
          </w:tcPr>
          <w:p>
            <w:pPr>
              <w:pStyle w:val="44"/>
              <w:snapToGrid w:val="0"/>
              <w:jc w:val="center"/>
              <w:rPr>
                <w:szCs w:val="21"/>
              </w:rPr>
            </w:pPr>
            <w:r>
              <w:rPr>
                <w:szCs w:val="21"/>
              </w:rPr>
              <w:t>完成</w:t>
            </w:r>
          </w:p>
        </w:tc>
        <w:tc>
          <w:tcPr>
            <w:tcW w:w="899"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10.5</w:t>
            </w:r>
            <w:r>
              <w:rPr>
                <w:rFonts w:ascii="Times New Roman" w:hAnsi="Times New Roman" w:cs="Times New Roman" w:eastAsiaTheme="minorEastAsia"/>
                <w:sz w:val="21"/>
                <w:szCs w:val="21"/>
              </w:rPr>
              <w:t xml:space="preserve"> </w:t>
            </w:r>
          </w:p>
        </w:tc>
        <w:tc>
          <w:tcPr>
            <w:tcW w:w="1045" w:type="dxa"/>
            <w:noWrap w:val="0"/>
            <w:vAlign w:val="center"/>
          </w:tcPr>
          <w:p>
            <w:pPr>
              <w:jc w:val="center"/>
              <w:rPr>
                <w:rFonts w:hint="default" w:eastAsiaTheme="minorEastAsia"/>
                <w:szCs w:val="21"/>
                <w:lang w:val="en-US" w:eastAsia="zh-CN"/>
              </w:rPr>
            </w:pPr>
            <w:r>
              <w:rPr>
                <w:rFonts w:hint="eastAsia" w:ascii="Times New Roman" w:hAnsi="Times New Roman" w:cs="Times New Roman"/>
                <w:sz w:val="21"/>
                <w:szCs w:val="21"/>
                <w:lang w:val="en-US" w:eastAsia="zh-CN"/>
              </w:rPr>
              <w:t>10.08</w:t>
            </w:r>
          </w:p>
        </w:tc>
        <w:tc>
          <w:tcPr>
            <w:tcW w:w="759" w:type="dxa"/>
            <w:noWrap w:val="0"/>
            <w:vAlign w:val="center"/>
          </w:tcPr>
          <w:p>
            <w:pPr>
              <w:pStyle w:val="44"/>
              <w:snapToGrid w:val="0"/>
              <w:jc w:val="center"/>
              <w:rPr>
                <w:szCs w:val="21"/>
              </w:rPr>
            </w:pPr>
            <w:r>
              <w:rPr>
                <w:szCs w:val="21"/>
              </w:rPr>
              <w:t>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2" w:hRule="atLeast"/>
          <w:jc w:val="center"/>
        </w:trPr>
        <w:tc>
          <w:tcPr>
            <w:tcW w:w="531" w:type="dxa"/>
            <w:noWrap w:val="0"/>
            <w:vAlign w:val="center"/>
          </w:tcPr>
          <w:p>
            <w:pPr>
              <w:pStyle w:val="44"/>
              <w:snapToGrid w:val="0"/>
              <w:rPr>
                <w:szCs w:val="21"/>
              </w:rPr>
            </w:pPr>
            <w:r>
              <w:rPr>
                <w:rFonts w:hint="eastAsia"/>
                <w:szCs w:val="21"/>
              </w:rPr>
              <w:t>2</w:t>
            </w:r>
          </w:p>
        </w:tc>
        <w:tc>
          <w:tcPr>
            <w:tcW w:w="1685" w:type="dxa"/>
            <w:noWrap w:val="0"/>
            <w:vAlign w:val="center"/>
          </w:tcPr>
          <w:p>
            <w:pPr>
              <w:pStyle w:val="44"/>
              <w:snapToGrid w:val="0"/>
              <w:jc w:val="center"/>
              <w:rPr>
                <w:szCs w:val="21"/>
              </w:rPr>
            </w:pPr>
            <w:r>
              <w:rPr>
                <w:rFonts w:hint="eastAsia" w:ascii="宋体"/>
                <w:szCs w:val="21"/>
              </w:rPr>
              <w:t>固体废弃物再生利用率</w:t>
            </w:r>
          </w:p>
        </w:tc>
        <w:tc>
          <w:tcPr>
            <w:tcW w:w="899" w:type="dxa"/>
            <w:noWrap w:val="0"/>
            <w:vAlign w:val="center"/>
          </w:tcPr>
          <w:p>
            <w:pPr>
              <w:pStyle w:val="44"/>
              <w:snapToGrid w:val="0"/>
              <w:rPr>
                <w:rFonts w:hint="eastAsia"/>
                <w:kern w:val="0"/>
                <w:szCs w:val="21"/>
              </w:rPr>
            </w:pPr>
            <w:r>
              <w:rPr>
                <w:rFonts w:hint="eastAsia"/>
                <w:kern w:val="0"/>
                <w:szCs w:val="21"/>
                <w:lang w:val="en-US" w:eastAsia="zh-CN"/>
              </w:rPr>
              <w:t>0</w:t>
            </w:r>
          </w:p>
        </w:tc>
        <w:tc>
          <w:tcPr>
            <w:tcW w:w="962" w:type="dxa"/>
            <w:noWrap w:val="0"/>
            <w:vAlign w:val="center"/>
          </w:tcPr>
          <w:p>
            <w:pPr>
              <w:pStyle w:val="44"/>
              <w:snapToGrid w:val="0"/>
              <w:rPr>
                <w:rFonts w:hint="default" w:eastAsiaTheme="minorEastAsia"/>
                <w:szCs w:val="21"/>
                <w:lang w:val="en-US" w:eastAsia="zh-CN"/>
              </w:rPr>
            </w:pPr>
            <w:r>
              <w:rPr>
                <w:rFonts w:hint="eastAsia"/>
                <w:szCs w:val="21"/>
                <w:lang w:val="en-US" w:eastAsia="zh-CN"/>
              </w:rPr>
              <w:t>80%</w:t>
            </w:r>
          </w:p>
        </w:tc>
        <w:tc>
          <w:tcPr>
            <w:tcW w:w="993" w:type="dxa"/>
            <w:noWrap w:val="0"/>
            <w:vAlign w:val="center"/>
          </w:tcPr>
          <w:p>
            <w:pPr>
              <w:pStyle w:val="44"/>
              <w:snapToGrid w:val="0"/>
              <w:rPr>
                <w:rFonts w:hint="default" w:eastAsiaTheme="minorEastAsia"/>
                <w:szCs w:val="21"/>
                <w:lang w:val="en-US" w:eastAsia="zh-CN"/>
              </w:rPr>
            </w:pPr>
            <w:r>
              <w:rPr>
                <w:rFonts w:hint="eastAsia"/>
                <w:szCs w:val="21"/>
                <w:lang w:val="en-US" w:eastAsia="zh-CN"/>
              </w:rPr>
              <w:t>95%</w:t>
            </w:r>
          </w:p>
        </w:tc>
        <w:tc>
          <w:tcPr>
            <w:tcW w:w="749" w:type="dxa"/>
            <w:noWrap w:val="0"/>
            <w:vAlign w:val="center"/>
          </w:tcPr>
          <w:p>
            <w:pPr>
              <w:pStyle w:val="44"/>
              <w:snapToGrid w:val="0"/>
              <w:jc w:val="center"/>
              <w:rPr>
                <w:szCs w:val="21"/>
              </w:rPr>
            </w:pPr>
            <w:r>
              <w:rPr>
                <w:szCs w:val="21"/>
              </w:rPr>
              <w:t>完成</w:t>
            </w:r>
          </w:p>
        </w:tc>
        <w:tc>
          <w:tcPr>
            <w:tcW w:w="899" w:type="dxa"/>
            <w:noWrap w:val="0"/>
            <w:vAlign w:val="center"/>
          </w:tcPr>
          <w:p>
            <w:pPr>
              <w:pStyle w:val="44"/>
              <w:snapToGrid w:val="0"/>
              <w:rPr>
                <w:rFonts w:hint="default" w:eastAsiaTheme="minorEastAsia"/>
                <w:szCs w:val="21"/>
                <w:lang w:val="en-US" w:eastAsia="zh-CN"/>
              </w:rPr>
            </w:pPr>
            <w:r>
              <w:rPr>
                <w:rFonts w:hint="eastAsia"/>
                <w:szCs w:val="21"/>
                <w:lang w:val="en-US" w:eastAsia="zh-CN"/>
              </w:rPr>
              <w:t>90%</w:t>
            </w:r>
          </w:p>
        </w:tc>
        <w:tc>
          <w:tcPr>
            <w:tcW w:w="1045" w:type="dxa"/>
            <w:noWrap w:val="0"/>
            <w:vAlign w:val="center"/>
          </w:tcPr>
          <w:p>
            <w:pPr>
              <w:pStyle w:val="44"/>
              <w:snapToGrid w:val="0"/>
              <w:rPr>
                <w:rFonts w:hint="default" w:eastAsiaTheme="minorEastAsia"/>
                <w:szCs w:val="21"/>
                <w:lang w:val="en-US" w:eastAsia="zh-CN"/>
              </w:rPr>
            </w:pPr>
            <w:r>
              <w:rPr>
                <w:rFonts w:hint="eastAsia"/>
                <w:szCs w:val="21"/>
                <w:lang w:val="en-US" w:eastAsia="zh-CN"/>
              </w:rPr>
              <w:t>95%</w:t>
            </w:r>
          </w:p>
        </w:tc>
        <w:tc>
          <w:tcPr>
            <w:tcW w:w="759" w:type="dxa"/>
            <w:noWrap w:val="0"/>
            <w:vAlign w:val="center"/>
          </w:tcPr>
          <w:p>
            <w:pPr>
              <w:pStyle w:val="44"/>
              <w:snapToGrid w:val="0"/>
              <w:jc w:val="center"/>
              <w:rPr>
                <w:szCs w:val="21"/>
              </w:rPr>
            </w:pPr>
            <w:r>
              <w:rPr>
                <w:szCs w:val="21"/>
              </w:rPr>
              <w:t>完成</w:t>
            </w:r>
          </w:p>
        </w:tc>
      </w:tr>
    </w:tbl>
    <w:p>
      <w:pPr>
        <w:pStyle w:val="42"/>
        <w:ind w:firstLine="480" w:firstLineChars="200"/>
        <w:jc w:val="left"/>
        <w:rPr>
          <w:rFonts w:hAnsi="Times New Roman" w:eastAsia="宋体"/>
          <w:szCs w:val="24"/>
        </w:rPr>
      </w:pPr>
      <w:r>
        <w:rPr>
          <w:rFonts w:hAnsi="Times New Roman" w:eastAsia="宋体"/>
          <w:szCs w:val="24"/>
        </w:rPr>
        <w:t>由上表可知，</w:t>
      </w:r>
      <w:r>
        <w:rPr>
          <w:rFonts w:hint="eastAsia" w:hAnsi="Times New Roman" w:eastAsia="宋体"/>
          <w:szCs w:val="24"/>
        </w:rPr>
        <w:t>通过本轮清洁生产方案的实施，可以达到设定的近期</w:t>
      </w:r>
      <w:r>
        <w:rPr>
          <w:rFonts w:hint="eastAsia" w:hAnsi="Times New Roman" w:eastAsia="宋体"/>
          <w:szCs w:val="24"/>
          <w:lang w:val="en-US" w:eastAsia="zh-CN"/>
        </w:rPr>
        <w:t>远期</w:t>
      </w:r>
      <w:r>
        <w:rPr>
          <w:rFonts w:hint="eastAsia" w:hAnsi="Times New Roman" w:eastAsia="宋体"/>
          <w:szCs w:val="24"/>
        </w:rPr>
        <w:t>所有清洁生产目标，</w:t>
      </w:r>
      <w:r>
        <w:rPr>
          <w:rFonts w:hAnsi="Times New Roman" w:eastAsia="宋体"/>
          <w:szCs w:val="24"/>
        </w:rPr>
        <w:t>清洁生产</w:t>
      </w:r>
      <w:r>
        <w:rPr>
          <w:rFonts w:hint="eastAsia" w:hAnsi="Times New Roman" w:eastAsia="宋体"/>
          <w:szCs w:val="24"/>
        </w:rPr>
        <w:t>效果明显</w:t>
      </w:r>
      <w:r>
        <w:rPr>
          <w:rFonts w:hAnsi="Times New Roman" w:eastAsia="宋体"/>
          <w:szCs w:val="24"/>
        </w:rPr>
        <w:t>。</w:t>
      </w:r>
    </w:p>
    <w:p>
      <w:pPr>
        <w:pStyle w:val="3"/>
        <w:widowControl w:val="0"/>
        <w:adjustRightInd/>
        <w:snapToGrid/>
        <w:spacing w:beforeLines="50" w:after="0" w:line="360" w:lineRule="auto"/>
        <w:rPr>
          <w:rFonts w:ascii="Times New Roman" w:hAnsi="Times New Roman"/>
          <w:sz w:val="30"/>
          <w:szCs w:val="30"/>
        </w:rPr>
      </w:pPr>
      <w:bookmarkStart w:id="366" w:name="_Toc525142441"/>
      <w:bookmarkStart w:id="367" w:name="_Toc22309"/>
      <w:bookmarkStart w:id="368" w:name="_Toc499903533"/>
      <w:r>
        <w:rPr>
          <w:rFonts w:hint="eastAsia" w:ascii="Times New Roman" w:hAnsi="Times New Roman"/>
          <w:sz w:val="30"/>
          <w:szCs w:val="30"/>
        </w:rPr>
        <w:t>9.4审核后企业清洁生产</w:t>
      </w:r>
      <w:r>
        <w:rPr>
          <w:rFonts w:ascii="Times New Roman" w:hAnsi="Times New Roman"/>
          <w:sz w:val="30"/>
          <w:szCs w:val="30"/>
        </w:rPr>
        <w:t>水平</w:t>
      </w:r>
      <w:r>
        <w:rPr>
          <w:rFonts w:hint="eastAsia" w:ascii="Times New Roman" w:hAnsi="Times New Roman"/>
          <w:sz w:val="30"/>
          <w:szCs w:val="30"/>
        </w:rPr>
        <w:t>评价</w:t>
      </w:r>
      <w:bookmarkEnd w:id="366"/>
      <w:bookmarkEnd w:id="367"/>
      <w:bookmarkEnd w:id="368"/>
    </w:p>
    <w:p>
      <w:pPr>
        <w:spacing w:after="0" w:line="360" w:lineRule="auto"/>
        <w:ind w:firstLine="480" w:firstLineChars="200"/>
        <w:rPr>
          <w:rFonts w:ascii="Times New Roman" w:hAnsi="Times New Roman" w:eastAsia="宋体" w:cs="Times New Roman"/>
          <w:kern w:val="2"/>
          <w:sz w:val="24"/>
          <w:szCs w:val="24"/>
        </w:rPr>
      </w:pPr>
      <w:bookmarkStart w:id="369" w:name="_Toc525142442"/>
      <w:bookmarkStart w:id="370" w:name="_Toc500373008"/>
      <w:r>
        <w:rPr>
          <w:rFonts w:ascii="Times New Roman" w:hAnsi="Times New Roman" w:eastAsia="宋体" w:cs="Times New Roman"/>
          <w:kern w:val="2"/>
          <w:sz w:val="24"/>
          <w:szCs w:val="24"/>
        </w:rPr>
        <w:t>结合企业自身实际，审核人员来对</w:t>
      </w:r>
      <w:r>
        <w:rPr>
          <w:rFonts w:hint="eastAsia" w:ascii="Times New Roman" w:hAnsi="Times New Roman" w:eastAsia="宋体" w:cs="Times New Roman"/>
          <w:kern w:val="2"/>
          <w:sz w:val="24"/>
          <w:szCs w:val="24"/>
          <w:lang w:eastAsia="zh-CN"/>
        </w:rPr>
        <w:t>湖南光华荣昌汽车部件有限公司</w:t>
      </w:r>
      <w:r>
        <w:rPr>
          <w:rFonts w:ascii="Times New Roman" w:hAnsi="Times New Roman" w:eastAsia="宋体" w:cs="Times New Roman"/>
          <w:kern w:val="2"/>
          <w:sz w:val="24"/>
          <w:szCs w:val="24"/>
        </w:rPr>
        <w:t>现阶段清洁生产水平进行了综合评价。</w:t>
      </w:r>
    </w:p>
    <w:p>
      <w:pPr>
        <w:spacing w:after="0" w:line="360" w:lineRule="auto"/>
        <w:ind w:firstLine="480" w:firstLineChars="200"/>
        <w:jc w:val="center"/>
        <w:rPr>
          <w:rFonts w:ascii="Times New Roman" w:hAnsi="Times New Roman" w:eastAsia="宋体" w:cs="Times New Roman"/>
          <w:kern w:val="2"/>
          <w:sz w:val="24"/>
          <w:szCs w:val="24"/>
        </w:rPr>
      </w:pPr>
      <w:r>
        <w:rPr>
          <w:rFonts w:ascii="Times New Roman" w:hAnsi="Times New Roman" w:eastAsia="宋体" w:cs="Times New Roman"/>
          <w:kern w:val="2"/>
          <w:sz w:val="24"/>
          <w:szCs w:val="24"/>
        </w:rPr>
        <w:t>表</w:t>
      </w:r>
      <w:r>
        <w:rPr>
          <w:rFonts w:hint="eastAsia" w:ascii="Times New Roman" w:hAnsi="Times New Roman" w:eastAsia="宋体" w:cs="Times New Roman"/>
          <w:kern w:val="2"/>
          <w:sz w:val="24"/>
          <w:szCs w:val="24"/>
          <w:lang w:val="en-US" w:eastAsia="zh-CN"/>
        </w:rPr>
        <w:t>9-2</w:t>
      </w:r>
      <w:r>
        <w:rPr>
          <w:rFonts w:hint="eastAsia" w:ascii="Times New Roman" w:hAnsi="Times New Roman" w:eastAsia="宋体" w:cs="Times New Roman"/>
          <w:kern w:val="2"/>
          <w:sz w:val="24"/>
          <w:szCs w:val="24"/>
        </w:rPr>
        <w:t xml:space="preserve"> </w:t>
      </w:r>
      <w:r>
        <w:rPr>
          <w:rFonts w:ascii="Times New Roman" w:hAnsi="Times New Roman" w:eastAsia="宋体" w:cs="Times New Roman"/>
          <w:kern w:val="2"/>
          <w:sz w:val="24"/>
          <w:szCs w:val="24"/>
        </w:rPr>
        <w:t>企业清洁生产定量评价指标项目</w:t>
      </w:r>
    </w:p>
    <w:tbl>
      <w:tblPr>
        <w:tblStyle w:val="27"/>
        <w:tblW w:w="8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626"/>
        <w:gridCol w:w="2187"/>
        <w:gridCol w:w="899"/>
        <w:gridCol w:w="555"/>
        <w:gridCol w:w="992"/>
        <w:gridCol w:w="992"/>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Align w:val="center"/>
          </w:tcPr>
          <w:p>
            <w:pPr>
              <w:pStyle w:val="45"/>
              <w:rPr>
                <w:rFonts w:ascii="宋体"/>
                <w:b/>
                <w:bCs/>
                <w:kern w:val="0"/>
                <w:szCs w:val="21"/>
              </w:rPr>
            </w:pPr>
            <w:r>
              <w:rPr>
                <w:rFonts w:hint="eastAsia" w:ascii="宋体"/>
                <w:b/>
                <w:bCs/>
                <w:szCs w:val="21"/>
              </w:rPr>
              <w:t>一级指标</w:t>
            </w:r>
          </w:p>
        </w:tc>
        <w:tc>
          <w:tcPr>
            <w:tcW w:w="626" w:type="dxa"/>
            <w:vAlign w:val="center"/>
          </w:tcPr>
          <w:p>
            <w:pPr>
              <w:pStyle w:val="45"/>
              <w:rPr>
                <w:rFonts w:ascii="宋体"/>
                <w:b/>
                <w:bCs/>
                <w:kern w:val="0"/>
                <w:szCs w:val="21"/>
              </w:rPr>
            </w:pPr>
            <w:r>
              <w:rPr>
                <w:rFonts w:hint="eastAsia" w:ascii="宋体"/>
                <w:b/>
                <w:bCs/>
                <w:szCs w:val="21"/>
              </w:rPr>
              <w:t>权重值</w:t>
            </w:r>
          </w:p>
        </w:tc>
        <w:tc>
          <w:tcPr>
            <w:tcW w:w="2187" w:type="dxa"/>
            <w:vAlign w:val="center"/>
          </w:tcPr>
          <w:p>
            <w:pPr>
              <w:pStyle w:val="45"/>
              <w:rPr>
                <w:rFonts w:ascii="宋体"/>
                <w:b/>
                <w:bCs/>
                <w:kern w:val="0"/>
                <w:szCs w:val="21"/>
              </w:rPr>
            </w:pPr>
            <w:r>
              <w:rPr>
                <w:rFonts w:hint="eastAsia" w:ascii="宋体"/>
                <w:b/>
                <w:bCs/>
                <w:szCs w:val="21"/>
              </w:rPr>
              <w:t>二级指标</w:t>
            </w:r>
          </w:p>
        </w:tc>
        <w:tc>
          <w:tcPr>
            <w:tcW w:w="899" w:type="dxa"/>
            <w:vAlign w:val="center"/>
          </w:tcPr>
          <w:p>
            <w:pPr>
              <w:pStyle w:val="45"/>
              <w:rPr>
                <w:rFonts w:ascii="宋体"/>
                <w:b/>
                <w:bCs/>
                <w:kern w:val="0"/>
                <w:szCs w:val="21"/>
              </w:rPr>
            </w:pPr>
            <w:r>
              <w:rPr>
                <w:rFonts w:hint="eastAsia" w:ascii="宋体"/>
                <w:b/>
                <w:bCs/>
                <w:szCs w:val="21"/>
              </w:rPr>
              <w:t>单位</w:t>
            </w:r>
          </w:p>
        </w:tc>
        <w:tc>
          <w:tcPr>
            <w:tcW w:w="555" w:type="dxa"/>
            <w:vAlign w:val="center"/>
          </w:tcPr>
          <w:p>
            <w:pPr>
              <w:pStyle w:val="45"/>
              <w:rPr>
                <w:rFonts w:ascii="宋体" w:eastAsia="宋体"/>
                <w:b/>
                <w:bCs/>
                <w:kern w:val="0"/>
                <w:szCs w:val="21"/>
              </w:rPr>
            </w:pPr>
            <w:r>
              <w:rPr>
                <w:rFonts w:hint="eastAsia" w:ascii="宋体"/>
                <w:b/>
                <w:bCs/>
                <w:szCs w:val="21"/>
              </w:rPr>
              <w:t>权重</w:t>
            </w:r>
          </w:p>
          <w:p>
            <w:pPr>
              <w:pStyle w:val="45"/>
              <w:rPr>
                <w:rFonts w:ascii="宋体"/>
                <w:b/>
                <w:bCs/>
                <w:kern w:val="0"/>
                <w:szCs w:val="21"/>
              </w:rPr>
            </w:pPr>
            <w:r>
              <w:rPr>
                <w:rFonts w:hint="eastAsia" w:ascii="宋体"/>
                <w:b/>
                <w:bCs/>
                <w:szCs w:val="21"/>
              </w:rPr>
              <w:t>分值</w:t>
            </w:r>
          </w:p>
        </w:tc>
        <w:tc>
          <w:tcPr>
            <w:tcW w:w="992" w:type="dxa"/>
            <w:vAlign w:val="center"/>
          </w:tcPr>
          <w:p>
            <w:pPr>
              <w:pStyle w:val="45"/>
              <w:rPr>
                <w:rFonts w:ascii="宋体" w:eastAsia="宋体"/>
                <w:b/>
                <w:bCs/>
                <w:kern w:val="0"/>
                <w:szCs w:val="21"/>
              </w:rPr>
            </w:pPr>
            <w:r>
              <w:rPr>
                <w:rFonts w:hint="eastAsia" w:ascii="宋体"/>
                <w:b/>
                <w:bCs/>
                <w:szCs w:val="21"/>
              </w:rPr>
              <w:t>评价</w:t>
            </w:r>
          </w:p>
          <w:p>
            <w:pPr>
              <w:pStyle w:val="45"/>
              <w:rPr>
                <w:rFonts w:ascii="宋体"/>
                <w:b/>
                <w:bCs/>
                <w:kern w:val="0"/>
                <w:szCs w:val="21"/>
              </w:rPr>
            </w:pPr>
            <w:r>
              <w:rPr>
                <w:rFonts w:hint="eastAsia" w:ascii="宋体"/>
                <w:b/>
                <w:bCs/>
                <w:szCs w:val="21"/>
              </w:rPr>
              <w:t>基准值</w:t>
            </w:r>
          </w:p>
        </w:tc>
        <w:tc>
          <w:tcPr>
            <w:tcW w:w="992" w:type="dxa"/>
            <w:vAlign w:val="center"/>
          </w:tcPr>
          <w:p>
            <w:pPr>
              <w:pStyle w:val="45"/>
              <w:rPr>
                <w:rFonts w:ascii="宋体"/>
                <w:b/>
                <w:bCs/>
                <w:kern w:val="0"/>
                <w:szCs w:val="21"/>
              </w:rPr>
            </w:pPr>
            <w:r>
              <w:rPr>
                <w:rFonts w:hint="eastAsia" w:ascii="宋体"/>
                <w:b/>
                <w:bCs/>
                <w:szCs w:val="21"/>
              </w:rPr>
              <w:t>实际值</w:t>
            </w:r>
          </w:p>
        </w:tc>
        <w:tc>
          <w:tcPr>
            <w:tcW w:w="992" w:type="dxa"/>
            <w:vAlign w:val="center"/>
          </w:tcPr>
          <w:p>
            <w:pPr>
              <w:pStyle w:val="45"/>
              <w:rPr>
                <w:rFonts w:ascii="宋体"/>
                <w:b/>
                <w:bCs/>
                <w:kern w:val="0"/>
                <w:szCs w:val="21"/>
              </w:rPr>
            </w:pPr>
            <w:r>
              <w:rPr>
                <w:rFonts w:hint="eastAsia" w:ascii="宋体"/>
                <w:b/>
                <w:bCs/>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（一）资源与能源消耗指标</w:t>
            </w:r>
          </w:p>
        </w:tc>
        <w:tc>
          <w:tcPr>
            <w:tcW w:w="626" w:type="dxa"/>
            <w:vMerge w:val="restart"/>
            <w:vAlign w:val="center"/>
          </w:tcPr>
          <w:p>
            <w:pPr>
              <w:pStyle w:val="45"/>
              <w:rPr>
                <w:rFonts w:ascii="宋体"/>
                <w:kern w:val="0"/>
                <w:szCs w:val="21"/>
              </w:rPr>
            </w:pPr>
            <w:r>
              <w:rPr>
                <w:rFonts w:hint="eastAsia" w:ascii="宋体"/>
                <w:szCs w:val="21"/>
              </w:rPr>
              <w:t>30</w:t>
            </w:r>
          </w:p>
        </w:tc>
        <w:tc>
          <w:tcPr>
            <w:tcW w:w="2187" w:type="dxa"/>
            <w:vAlign w:val="center"/>
          </w:tcPr>
          <w:p>
            <w:pPr>
              <w:pStyle w:val="45"/>
              <w:rPr>
                <w:rFonts w:ascii="宋体"/>
                <w:kern w:val="0"/>
                <w:szCs w:val="21"/>
              </w:rPr>
            </w:pPr>
            <w:r>
              <w:rPr>
                <w:rFonts w:hint="eastAsia" w:ascii="宋体"/>
                <w:szCs w:val="21"/>
              </w:rPr>
              <w:t>原辅材料利用率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98</w:t>
            </w:r>
          </w:p>
        </w:tc>
        <w:tc>
          <w:tcPr>
            <w:tcW w:w="992" w:type="dxa"/>
            <w:vAlign w:val="center"/>
          </w:tcPr>
          <w:p>
            <w:pPr>
              <w:pStyle w:val="45"/>
              <w:rPr>
                <w:rFonts w:ascii="宋体"/>
                <w:szCs w:val="21"/>
              </w:rPr>
            </w:pPr>
            <w:r>
              <w:rPr>
                <w:rFonts w:hint="eastAsia" w:ascii="宋体"/>
                <w:szCs w:val="21"/>
              </w:rPr>
              <w:t>96</w:t>
            </w:r>
          </w:p>
        </w:tc>
        <w:tc>
          <w:tcPr>
            <w:tcW w:w="992" w:type="dxa"/>
            <w:vAlign w:val="center"/>
          </w:tcPr>
          <w:p>
            <w:pPr>
              <w:pStyle w:val="45"/>
              <w:rPr>
                <w:rFonts w:ascii="宋体" w:eastAsia="宋体"/>
                <w:kern w:val="2"/>
                <w:szCs w:val="21"/>
              </w:rPr>
            </w:pPr>
            <w:r>
              <w:rPr>
                <w:rFonts w:hint="eastAsia" w:ascii="宋体"/>
                <w:szCs w:val="21"/>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单位产品新鲜水耗</w:t>
            </w:r>
          </w:p>
        </w:tc>
        <w:tc>
          <w:tcPr>
            <w:tcW w:w="899" w:type="dxa"/>
            <w:vAlign w:val="center"/>
          </w:tcPr>
          <w:p>
            <w:pPr>
              <w:pStyle w:val="45"/>
              <w:rPr>
                <w:rFonts w:ascii="宋体"/>
                <w:kern w:val="0"/>
                <w:szCs w:val="21"/>
              </w:rPr>
            </w:pPr>
            <w:r>
              <w:rPr>
                <w:rFonts w:hint="eastAsia" w:ascii="宋体"/>
                <w:szCs w:val="21"/>
              </w:rPr>
              <w:t>m</w:t>
            </w:r>
            <w:r>
              <w:rPr>
                <w:rFonts w:hint="eastAsia" w:ascii="宋体"/>
                <w:szCs w:val="21"/>
                <w:vertAlign w:val="superscript"/>
              </w:rPr>
              <w:t>3</w:t>
            </w:r>
            <w:r>
              <w:rPr>
                <w:rFonts w:hint="eastAsia" w:ascii="宋体"/>
                <w:szCs w:val="21"/>
              </w:rPr>
              <w:t>/t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0.30</w:t>
            </w:r>
          </w:p>
        </w:tc>
        <w:tc>
          <w:tcPr>
            <w:tcW w:w="992" w:type="dxa"/>
            <w:vAlign w:val="center"/>
          </w:tcPr>
          <w:p>
            <w:pPr>
              <w:pStyle w:val="45"/>
              <w:rPr>
                <w:rFonts w:hint="default" w:ascii="宋体" w:eastAsia="宋体"/>
                <w:kern w:val="2"/>
                <w:szCs w:val="21"/>
                <w:lang w:val="en-US" w:eastAsia="zh-CN"/>
              </w:rPr>
            </w:pPr>
            <w:r>
              <w:rPr>
                <w:rFonts w:hint="eastAsia" w:ascii="宋体" w:eastAsia="宋体"/>
                <w:szCs w:val="21"/>
                <w:lang w:val="en-US" w:eastAsia="zh-CN"/>
              </w:rPr>
              <w:t>0.01</w:t>
            </w:r>
          </w:p>
        </w:tc>
        <w:tc>
          <w:tcPr>
            <w:tcW w:w="992" w:type="dxa"/>
            <w:vAlign w:val="center"/>
          </w:tcPr>
          <w:p>
            <w:pPr>
              <w:pStyle w:val="45"/>
              <w:rPr>
                <w:rFonts w:hint="default" w:ascii="宋体" w:eastAsia="宋体"/>
                <w:kern w:val="2"/>
                <w:szCs w:val="21"/>
                <w:lang w:val="en-US" w:eastAsia="zh-CN"/>
              </w:rPr>
            </w:pPr>
            <w:r>
              <w:rPr>
                <w:rFonts w:hint="eastAsia" w:ascii="宋体" w:eastAsia="宋体"/>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单位产品电能消耗</w:t>
            </w:r>
          </w:p>
        </w:tc>
        <w:tc>
          <w:tcPr>
            <w:tcW w:w="899" w:type="dxa"/>
            <w:vAlign w:val="center"/>
          </w:tcPr>
          <w:p>
            <w:pPr>
              <w:pStyle w:val="45"/>
              <w:rPr>
                <w:rFonts w:ascii="宋体"/>
                <w:kern w:val="0"/>
                <w:szCs w:val="21"/>
              </w:rPr>
            </w:pPr>
            <w:r>
              <w:rPr>
                <w:rFonts w:hint="eastAsia" w:ascii="宋体"/>
                <w:szCs w:val="21"/>
              </w:rPr>
              <w:t>kwh/t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350</w:t>
            </w:r>
          </w:p>
        </w:tc>
        <w:tc>
          <w:tcPr>
            <w:tcW w:w="992" w:type="dxa"/>
            <w:vAlign w:val="center"/>
          </w:tcPr>
          <w:p>
            <w:pPr>
              <w:pStyle w:val="45"/>
              <w:rPr>
                <w:rFonts w:hint="default" w:ascii="宋体" w:eastAsia="宋体"/>
                <w:kern w:val="2"/>
                <w:szCs w:val="21"/>
                <w:lang w:val="en-US" w:eastAsia="zh-CN"/>
              </w:rPr>
            </w:pPr>
            <w:r>
              <w:rPr>
                <w:rFonts w:hint="eastAsia" w:ascii="宋体" w:eastAsia="宋体"/>
                <w:szCs w:val="21"/>
                <w:lang w:val="en-US" w:eastAsia="zh-CN"/>
              </w:rPr>
              <w:t>10.08</w:t>
            </w:r>
          </w:p>
        </w:tc>
        <w:tc>
          <w:tcPr>
            <w:tcW w:w="992" w:type="dxa"/>
            <w:vAlign w:val="center"/>
          </w:tcPr>
          <w:p>
            <w:pPr>
              <w:pStyle w:val="45"/>
              <w:rPr>
                <w:rFonts w:ascii="宋体" w:eastAsia="宋体"/>
                <w:kern w:val="2"/>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（二）污染物产生指标</w:t>
            </w:r>
          </w:p>
        </w:tc>
        <w:tc>
          <w:tcPr>
            <w:tcW w:w="626" w:type="dxa"/>
            <w:vMerge w:val="restart"/>
            <w:vAlign w:val="center"/>
          </w:tcPr>
          <w:p>
            <w:pPr>
              <w:pStyle w:val="45"/>
              <w:rPr>
                <w:rFonts w:ascii="宋体"/>
                <w:kern w:val="0"/>
                <w:szCs w:val="21"/>
              </w:rPr>
            </w:pPr>
            <w:r>
              <w:rPr>
                <w:rFonts w:hint="eastAsia" w:ascii="宋体"/>
                <w:szCs w:val="21"/>
              </w:rPr>
              <w:t>20</w:t>
            </w:r>
          </w:p>
        </w:tc>
        <w:tc>
          <w:tcPr>
            <w:tcW w:w="2187" w:type="dxa"/>
            <w:vAlign w:val="center"/>
          </w:tcPr>
          <w:p>
            <w:pPr>
              <w:pStyle w:val="45"/>
              <w:rPr>
                <w:rFonts w:ascii="宋体"/>
                <w:kern w:val="0"/>
                <w:szCs w:val="21"/>
              </w:rPr>
            </w:pPr>
            <w:r>
              <w:rPr>
                <w:rFonts w:hint="eastAsia" w:ascii="宋体"/>
                <w:szCs w:val="21"/>
              </w:rPr>
              <w:t>颗粒物浓度</w:t>
            </w:r>
          </w:p>
        </w:tc>
        <w:tc>
          <w:tcPr>
            <w:tcW w:w="899" w:type="dxa"/>
            <w:vAlign w:val="center"/>
          </w:tcPr>
          <w:p>
            <w:pPr>
              <w:pStyle w:val="45"/>
              <w:rPr>
                <w:rFonts w:ascii="宋体"/>
                <w:kern w:val="0"/>
                <w:szCs w:val="21"/>
              </w:rPr>
            </w:pPr>
            <w:r>
              <w:rPr>
                <w:rFonts w:hint="eastAsia" w:ascii="宋体"/>
                <w:szCs w:val="21"/>
              </w:rPr>
              <w:t>mg/m</w:t>
            </w:r>
            <w:r>
              <w:rPr>
                <w:rFonts w:hint="eastAsia" w:ascii="宋体"/>
                <w:szCs w:val="21"/>
                <w:vertAlign w:val="superscript"/>
              </w:rPr>
              <w:t>3</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ascii="Arial" w:hAnsi="Arial" w:cs="Arial"/>
                <w:color w:val="333333"/>
                <w:szCs w:val="21"/>
                <w:shd w:val="clear" w:color="auto" w:fill="FFFFFF"/>
              </w:rPr>
              <w:t>≤</w:t>
            </w:r>
            <w:r>
              <w:rPr>
                <w:rFonts w:hint="eastAsia" w:ascii="宋体"/>
                <w:szCs w:val="21"/>
              </w:rPr>
              <w:t>1</w:t>
            </w:r>
          </w:p>
        </w:tc>
        <w:tc>
          <w:tcPr>
            <w:tcW w:w="992" w:type="dxa"/>
            <w:vAlign w:val="center"/>
          </w:tcPr>
          <w:p>
            <w:pPr>
              <w:pStyle w:val="45"/>
              <w:rPr>
                <w:rFonts w:hint="default" w:ascii="宋体" w:eastAsiaTheme="minorEastAsia"/>
                <w:kern w:val="2"/>
                <w:szCs w:val="21"/>
                <w:lang w:val="en-US" w:eastAsia="zh-CN"/>
              </w:rPr>
            </w:pPr>
            <w:r>
              <w:rPr>
                <w:rFonts w:hint="eastAsia" w:ascii="宋体"/>
                <w:szCs w:val="21"/>
              </w:rPr>
              <w:t>0.</w:t>
            </w:r>
            <w:r>
              <w:rPr>
                <w:rFonts w:hint="eastAsia" w:ascii="宋体"/>
                <w:szCs w:val="21"/>
                <w:lang w:val="en-US" w:eastAsia="zh-CN"/>
              </w:rPr>
              <w:t>002</w:t>
            </w:r>
          </w:p>
        </w:tc>
        <w:tc>
          <w:tcPr>
            <w:tcW w:w="992" w:type="dxa"/>
            <w:vAlign w:val="center"/>
          </w:tcPr>
          <w:p>
            <w:pPr>
              <w:pStyle w:val="45"/>
              <w:rPr>
                <w:rFonts w:ascii="宋体" w:eastAsia="宋体"/>
                <w:kern w:val="2"/>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非甲烷总烃浓度</w:t>
            </w:r>
          </w:p>
        </w:tc>
        <w:tc>
          <w:tcPr>
            <w:tcW w:w="899" w:type="dxa"/>
            <w:vAlign w:val="center"/>
          </w:tcPr>
          <w:p>
            <w:pPr>
              <w:pStyle w:val="45"/>
              <w:rPr>
                <w:rFonts w:ascii="宋体"/>
                <w:kern w:val="0"/>
                <w:szCs w:val="21"/>
              </w:rPr>
            </w:pPr>
            <w:r>
              <w:rPr>
                <w:rFonts w:hint="eastAsia" w:ascii="宋体"/>
                <w:szCs w:val="21"/>
              </w:rPr>
              <w:t>mg/m</w:t>
            </w:r>
            <w:r>
              <w:rPr>
                <w:rFonts w:hint="eastAsia" w:ascii="宋体"/>
                <w:szCs w:val="21"/>
                <w:vertAlign w:val="superscript"/>
              </w:rPr>
              <w:t>3</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ascii="Arial" w:hAnsi="Arial" w:cs="Arial"/>
                <w:color w:val="333333"/>
                <w:szCs w:val="21"/>
                <w:shd w:val="clear" w:color="auto" w:fill="FFFFFF"/>
              </w:rPr>
              <w:t>≤</w:t>
            </w:r>
            <w:r>
              <w:rPr>
                <w:rFonts w:hint="eastAsia" w:ascii="宋体"/>
                <w:szCs w:val="21"/>
              </w:rPr>
              <w:t>4</w:t>
            </w:r>
          </w:p>
        </w:tc>
        <w:tc>
          <w:tcPr>
            <w:tcW w:w="992" w:type="dxa"/>
            <w:vAlign w:val="center"/>
          </w:tcPr>
          <w:p>
            <w:pPr>
              <w:pStyle w:val="45"/>
              <w:rPr>
                <w:rFonts w:hint="default" w:ascii="宋体" w:eastAsia="宋体"/>
                <w:kern w:val="2"/>
                <w:szCs w:val="21"/>
                <w:lang w:val="en-US" w:eastAsia="zh-CN"/>
              </w:rPr>
            </w:pPr>
            <w:r>
              <w:rPr>
                <w:rFonts w:hint="eastAsia" w:ascii="宋体" w:eastAsia="宋体"/>
                <w:kern w:val="2"/>
                <w:szCs w:val="21"/>
                <w:lang w:val="en-US" w:eastAsia="zh-CN"/>
              </w:rPr>
              <w:t>1.16</w:t>
            </w:r>
          </w:p>
        </w:tc>
        <w:tc>
          <w:tcPr>
            <w:tcW w:w="992" w:type="dxa"/>
            <w:vAlign w:val="center"/>
          </w:tcPr>
          <w:p>
            <w:pPr>
              <w:pStyle w:val="45"/>
              <w:rPr>
                <w:rFonts w:ascii="宋体"/>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（三）产品特征指标</w:t>
            </w:r>
          </w:p>
        </w:tc>
        <w:tc>
          <w:tcPr>
            <w:tcW w:w="626" w:type="dxa"/>
            <w:vMerge w:val="restart"/>
            <w:vAlign w:val="center"/>
          </w:tcPr>
          <w:p>
            <w:pPr>
              <w:pStyle w:val="45"/>
              <w:rPr>
                <w:rFonts w:ascii="宋体"/>
                <w:kern w:val="0"/>
                <w:szCs w:val="21"/>
              </w:rPr>
            </w:pPr>
            <w:r>
              <w:rPr>
                <w:rFonts w:hint="eastAsia" w:ascii="宋体"/>
                <w:szCs w:val="21"/>
              </w:rPr>
              <w:t>30</w:t>
            </w:r>
          </w:p>
        </w:tc>
        <w:tc>
          <w:tcPr>
            <w:tcW w:w="2187" w:type="dxa"/>
            <w:vAlign w:val="center"/>
          </w:tcPr>
          <w:p>
            <w:pPr>
              <w:pStyle w:val="45"/>
              <w:rPr>
                <w:rFonts w:ascii="宋体"/>
                <w:kern w:val="0"/>
                <w:szCs w:val="21"/>
              </w:rPr>
            </w:pPr>
            <w:r>
              <w:rPr>
                <w:rFonts w:hint="eastAsia" w:ascii="宋体"/>
                <w:szCs w:val="21"/>
              </w:rPr>
              <w:t>一次物理性能合格率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98</w:t>
            </w:r>
          </w:p>
        </w:tc>
        <w:tc>
          <w:tcPr>
            <w:tcW w:w="992" w:type="dxa"/>
            <w:vAlign w:val="center"/>
          </w:tcPr>
          <w:p>
            <w:pPr>
              <w:pStyle w:val="45"/>
              <w:rPr>
                <w:rFonts w:ascii="宋体" w:eastAsia="宋体"/>
                <w:kern w:val="2"/>
                <w:szCs w:val="21"/>
              </w:rPr>
            </w:pPr>
            <w:r>
              <w:rPr>
                <w:rFonts w:hint="eastAsia" w:ascii="宋体"/>
                <w:szCs w:val="21"/>
              </w:rPr>
              <w:t>95.13</w:t>
            </w:r>
          </w:p>
        </w:tc>
        <w:tc>
          <w:tcPr>
            <w:tcW w:w="992" w:type="dxa"/>
            <w:vAlign w:val="center"/>
          </w:tcPr>
          <w:p>
            <w:pPr>
              <w:pStyle w:val="45"/>
              <w:rPr>
                <w:rFonts w:ascii="宋体"/>
                <w:szCs w:val="21"/>
              </w:rPr>
            </w:pPr>
            <w:r>
              <w:rPr>
                <w:rFonts w:hint="eastAsia" w:ascii="宋体"/>
                <w:szCs w:val="21"/>
              </w:rPr>
              <w:t>5.82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一次外观合格率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95</w:t>
            </w:r>
          </w:p>
        </w:tc>
        <w:tc>
          <w:tcPr>
            <w:tcW w:w="992" w:type="dxa"/>
            <w:vAlign w:val="center"/>
          </w:tcPr>
          <w:p>
            <w:pPr>
              <w:pStyle w:val="45"/>
              <w:rPr>
                <w:rFonts w:ascii="宋体"/>
                <w:szCs w:val="21"/>
              </w:rPr>
            </w:pPr>
            <w:r>
              <w:rPr>
                <w:rFonts w:hint="eastAsia" w:ascii="宋体"/>
                <w:szCs w:val="21"/>
              </w:rPr>
              <w:t>97.77</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产品异形率</w:t>
            </w:r>
          </w:p>
        </w:tc>
        <w:tc>
          <w:tcPr>
            <w:tcW w:w="899" w:type="dxa"/>
            <w:vAlign w:val="center"/>
          </w:tcPr>
          <w:p>
            <w:pPr>
              <w:pStyle w:val="45"/>
              <w:rPr>
                <w:rFonts w:ascii="宋体"/>
                <w:kern w:val="0"/>
                <w:szCs w:val="21"/>
              </w:rPr>
            </w:pPr>
            <w:r>
              <w:rPr>
                <w:rFonts w:hint="eastAsia" w:ascii="宋体"/>
                <w:szCs w:val="21"/>
              </w:rPr>
              <w:t>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ascii="Arial" w:hAnsi="Arial" w:cs="Arial"/>
                <w:color w:val="333333"/>
                <w:szCs w:val="21"/>
                <w:shd w:val="clear" w:color="auto" w:fill="FFFFFF"/>
              </w:rPr>
              <w:t>≤</w:t>
            </w:r>
            <w:r>
              <w:rPr>
                <w:rFonts w:hint="eastAsia" w:ascii="宋体"/>
                <w:szCs w:val="21"/>
              </w:rPr>
              <w:t>0.5</w:t>
            </w:r>
          </w:p>
        </w:tc>
        <w:tc>
          <w:tcPr>
            <w:tcW w:w="992" w:type="dxa"/>
            <w:vAlign w:val="center"/>
          </w:tcPr>
          <w:p>
            <w:pPr>
              <w:pStyle w:val="45"/>
              <w:rPr>
                <w:rFonts w:ascii="宋体"/>
                <w:szCs w:val="21"/>
              </w:rPr>
            </w:pPr>
            <w:r>
              <w:rPr>
                <w:rFonts w:hint="eastAsia" w:ascii="宋体"/>
                <w:szCs w:val="21"/>
              </w:rPr>
              <w:t>0.5</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产品灰分</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21</w:t>
            </w:r>
          </w:p>
        </w:tc>
        <w:tc>
          <w:tcPr>
            <w:tcW w:w="992" w:type="dxa"/>
            <w:vAlign w:val="center"/>
          </w:tcPr>
          <w:p>
            <w:pPr>
              <w:pStyle w:val="45"/>
              <w:rPr>
                <w:rFonts w:hint="default" w:ascii="宋体" w:eastAsiaTheme="minorEastAsia"/>
                <w:szCs w:val="21"/>
                <w:lang w:val="en-US" w:eastAsia="zh-CN"/>
              </w:rPr>
            </w:pPr>
            <w:r>
              <w:rPr>
                <w:rFonts w:hint="eastAsia" w:ascii="宋体"/>
                <w:szCs w:val="21"/>
                <w:lang w:val="en-US" w:eastAsia="zh-CN"/>
              </w:rPr>
              <w:t>--</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产品拉伸强度</w:t>
            </w:r>
          </w:p>
        </w:tc>
        <w:tc>
          <w:tcPr>
            <w:tcW w:w="899" w:type="dxa"/>
            <w:vAlign w:val="center"/>
          </w:tcPr>
          <w:p>
            <w:pPr>
              <w:pStyle w:val="45"/>
              <w:rPr>
                <w:rFonts w:ascii="宋体"/>
                <w:kern w:val="0"/>
                <w:szCs w:val="21"/>
              </w:rPr>
            </w:pPr>
            <w:r>
              <w:rPr>
                <w:rFonts w:hint="eastAsia" w:ascii="宋体"/>
                <w:szCs w:val="21"/>
              </w:rPr>
              <w:t>MPa</w:t>
            </w:r>
            <w:r>
              <w:rPr>
                <w:rFonts w:hint="eastAsia" w:ascii="宋体"/>
                <w:szCs w:val="21"/>
                <w:vertAlign w:val="superscript"/>
              </w:rPr>
              <w:t>3</w:t>
            </w:r>
          </w:p>
        </w:tc>
        <w:tc>
          <w:tcPr>
            <w:tcW w:w="555" w:type="dxa"/>
            <w:vAlign w:val="center"/>
          </w:tcPr>
          <w:p>
            <w:pPr>
              <w:pStyle w:val="45"/>
              <w:rPr>
                <w:rFonts w:ascii="宋体"/>
                <w:kern w:val="0"/>
                <w:szCs w:val="21"/>
              </w:rPr>
            </w:pPr>
            <w:r>
              <w:rPr>
                <w:rFonts w:hint="eastAsia" w:ascii="宋体"/>
                <w:szCs w:val="21"/>
              </w:rPr>
              <w:t>6</w:t>
            </w:r>
          </w:p>
        </w:tc>
        <w:tc>
          <w:tcPr>
            <w:tcW w:w="992" w:type="dxa"/>
            <w:vAlign w:val="center"/>
          </w:tcPr>
          <w:p>
            <w:pPr>
              <w:pStyle w:val="45"/>
              <w:rPr>
                <w:rFonts w:ascii="宋体"/>
                <w:kern w:val="0"/>
                <w:szCs w:val="21"/>
              </w:rPr>
            </w:pPr>
            <w:r>
              <w:rPr>
                <w:rFonts w:hint="eastAsia" w:ascii="宋体"/>
                <w:szCs w:val="21"/>
              </w:rPr>
              <w:t>120</w:t>
            </w:r>
          </w:p>
        </w:tc>
        <w:tc>
          <w:tcPr>
            <w:tcW w:w="992" w:type="dxa"/>
            <w:vAlign w:val="center"/>
          </w:tcPr>
          <w:p>
            <w:pPr>
              <w:pStyle w:val="45"/>
              <w:rPr>
                <w:rFonts w:ascii="宋体"/>
                <w:szCs w:val="21"/>
              </w:rPr>
            </w:pPr>
            <w:r>
              <w:rPr>
                <w:rFonts w:hint="eastAsia" w:ascii="宋体"/>
                <w:szCs w:val="21"/>
              </w:rPr>
              <w:t>120</w:t>
            </w:r>
          </w:p>
        </w:tc>
        <w:tc>
          <w:tcPr>
            <w:tcW w:w="992" w:type="dxa"/>
            <w:vAlign w:val="center"/>
          </w:tcPr>
          <w:p>
            <w:pPr>
              <w:pStyle w:val="45"/>
              <w:rPr>
                <w:rFonts w:ascii="宋体"/>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restart"/>
            <w:vAlign w:val="center"/>
          </w:tcPr>
          <w:p>
            <w:pPr>
              <w:pStyle w:val="45"/>
              <w:rPr>
                <w:rFonts w:ascii="宋体"/>
                <w:kern w:val="0"/>
                <w:szCs w:val="21"/>
              </w:rPr>
            </w:pPr>
            <w:r>
              <w:rPr>
                <w:rFonts w:hint="eastAsia" w:ascii="宋体"/>
                <w:szCs w:val="21"/>
              </w:rPr>
              <w:t>（四）资源综合利用指标</w:t>
            </w:r>
          </w:p>
        </w:tc>
        <w:tc>
          <w:tcPr>
            <w:tcW w:w="626" w:type="dxa"/>
            <w:vMerge w:val="restart"/>
            <w:vAlign w:val="center"/>
          </w:tcPr>
          <w:p>
            <w:pPr>
              <w:pStyle w:val="45"/>
              <w:rPr>
                <w:rFonts w:ascii="宋体"/>
                <w:kern w:val="0"/>
                <w:szCs w:val="21"/>
              </w:rPr>
            </w:pPr>
            <w:r>
              <w:rPr>
                <w:rFonts w:hint="eastAsia" w:ascii="宋体"/>
                <w:szCs w:val="21"/>
              </w:rPr>
              <w:t>20</w:t>
            </w:r>
          </w:p>
        </w:tc>
        <w:tc>
          <w:tcPr>
            <w:tcW w:w="2187" w:type="dxa"/>
            <w:vAlign w:val="center"/>
          </w:tcPr>
          <w:p>
            <w:pPr>
              <w:pStyle w:val="45"/>
              <w:rPr>
                <w:rFonts w:ascii="宋体"/>
                <w:kern w:val="0"/>
                <w:szCs w:val="21"/>
              </w:rPr>
            </w:pPr>
            <w:r>
              <w:rPr>
                <w:rFonts w:hint="eastAsia" w:ascii="宋体"/>
                <w:szCs w:val="21"/>
              </w:rPr>
              <w:t>全厂生产用水重复利用率指标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95</w:t>
            </w:r>
          </w:p>
        </w:tc>
        <w:tc>
          <w:tcPr>
            <w:tcW w:w="992" w:type="dxa"/>
            <w:vAlign w:val="center"/>
          </w:tcPr>
          <w:p>
            <w:pPr>
              <w:pStyle w:val="45"/>
              <w:rPr>
                <w:rFonts w:hint="default" w:ascii="宋体" w:eastAsiaTheme="minorEastAsia"/>
                <w:szCs w:val="21"/>
                <w:lang w:val="en-US" w:eastAsia="zh-CN"/>
              </w:rPr>
            </w:pPr>
            <w:r>
              <w:rPr>
                <w:rFonts w:hint="eastAsia" w:ascii="宋体"/>
                <w:szCs w:val="21"/>
                <w:lang w:val="en-US" w:eastAsia="zh-CN"/>
              </w:rPr>
              <w:t>99</w:t>
            </w:r>
          </w:p>
        </w:tc>
        <w:tc>
          <w:tcPr>
            <w:tcW w:w="992" w:type="dxa"/>
            <w:vAlign w:val="center"/>
          </w:tcPr>
          <w:p>
            <w:pPr>
              <w:pStyle w:val="45"/>
              <w:rPr>
                <w:rFonts w:ascii="宋体"/>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1" w:type="dxa"/>
            <w:vMerge w:val="continue"/>
            <w:vAlign w:val="center"/>
          </w:tcPr>
          <w:p>
            <w:pPr>
              <w:widowControl/>
              <w:jc w:val="center"/>
              <w:rPr>
                <w:rFonts w:ascii="宋体" w:eastAsia="宋体"/>
                <w:kern w:val="0"/>
                <w:szCs w:val="21"/>
              </w:rPr>
            </w:pPr>
          </w:p>
        </w:tc>
        <w:tc>
          <w:tcPr>
            <w:tcW w:w="626" w:type="dxa"/>
            <w:vMerge w:val="continue"/>
            <w:vAlign w:val="center"/>
          </w:tcPr>
          <w:p>
            <w:pPr>
              <w:widowControl/>
              <w:jc w:val="center"/>
              <w:rPr>
                <w:rFonts w:ascii="宋体" w:eastAsia="宋体"/>
                <w:kern w:val="0"/>
                <w:szCs w:val="21"/>
              </w:rPr>
            </w:pPr>
          </w:p>
        </w:tc>
        <w:tc>
          <w:tcPr>
            <w:tcW w:w="2187" w:type="dxa"/>
            <w:vAlign w:val="center"/>
          </w:tcPr>
          <w:p>
            <w:pPr>
              <w:pStyle w:val="45"/>
              <w:rPr>
                <w:rFonts w:ascii="宋体"/>
                <w:kern w:val="0"/>
                <w:szCs w:val="21"/>
              </w:rPr>
            </w:pPr>
            <w:r>
              <w:rPr>
                <w:rFonts w:hint="eastAsia" w:ascii="宋体"/>
                <w:szCs w:val="21"/>
              </w:rPr>
              <w:t>固体废弃物再生利用率指标</w:t>
            </w:r>
          </w:p>
        </w:tc>
        <w:tc>
          <w:tcPr>
            <w:tcW w:w="899" w:type="dxa"/>
            <w:vAlign w:val="center"/>
          </w:tcPr>
          <w:p>
            <w:pPr>
              <w:pStyle w:val="45"/>
              <w:rPr>
                <w:rFonts w:ascii="宋体"/>
                <w:kern w:val="0"/>
                <w:szCs w:val="21"/>
              </w:rPr>
            </w:pPr>
            <w:r>
              <w:rPr>
                <w:rFonts w:hint="eastAsia" w:ascii="宋体"/>
                <w:szCs w:val="21"/>
              </w:rPr>
              <w:t>%</w:t>
            </w:r>
          </w:p>
        </w:tc>
        <w:tc>
          <w:tcPr>
            <w:tcW w:w="555" w:type="dxa"/>
            <w:vAlign w:val="center"/>
          </w:tcPr>
          <w:p>
            <w:pPr>
              <w:pStyle w:val="45"/>
              <w:rPr>
                <w:rFonts w:ascii="宋体"/>
                <w:kern w:val="0"/>
                <w:szCs w:val="21"/>
              </w:rPr>
            </w:pPr>
            <w:r>
              <w:rPr>
                <w:rFonts w:hint="eastAsia" w:ascii="宋体"/>
                <w:szCs w:val="21"/>
              </w:rPr>
              <w:t>10</w:t>
            </w:r>
          </w:p>
        </w:tc>
        <w:tc>
          <w:tcPr>
            <w:tcW w:w="992" w:type="dxa"/>
            <w:vAlign w:val="center"/>
          </w:tcPr>
          <w:p>
            <w:pPr>
              <w:pStyle w:val="45"/>
              <w:rPr>
                <w:rFonts w:ascii="宋体"/>
                <w:kern w:val="0"/>
                <w:szCs w:val="21"/>
              </w:rPr>
            </w:pPr>
            <w:r>
              <w:rPr>
                <w:rFonts w:hint="eastAsia" w:ascii="宋体"/>
                <w:szCs w:val="21"/>
              </w:rPr>
              <w:t>90</w:t>
            </w:r>
          </w:p>
        </w:tc>
        <w:tc>
          <w:tcPr>
            <w:tcW w:w="992" w:type="dxa"/>
            <w:vAlign w:val="center"/>
          </w:tcPr>
          <w:p>
            <w:pPr>
              <w:pStyle w:val="45"/>
              <w:rPr>
                <w:rFonts w:hint="default" w:ascii="宋体" w:eastAsiaTheme="minorEastAsia"/>
                <w:szCs w:val="21"/>
                <w:lang w:val="en-US" w:eastAsia="zh-CN"/>
              </w:rPr>
            </w:pPr>
            <w:r>
              <w:rPr>
                <w:rFonts w:hint="eastAsia" w:ascii="宋体"/>
                <w:szCs w:val="21"/>
                <w:lang w:val="en-US" w:eastAsia="zh-CN"/>
              </w:rPr>
              <w:t>95</w:t>
            </w:r>
          </w:p>
        </w:tc>
        <w:tc>
          <w:tcPr>
            <w:tcW w:w="992" w:type="dxa"/>
            <w:vAlign w:val="center"/>
          </w:tcPr>
          <w:p>
            <w:pPr>
              <w:pStyle w:val="45"/>
              <w:rPr>
                <w:rFonts w:hint="default" w:ascii="宋体" w:eastAsiaTheme="minorEastAsia"/>
                <w:szCs w:val="21"/>
                <w:lang w:val="en-US" w:eastAsia="zh-CN"/>
              </w:rPr>
            </w:pPr>
            <w:r>
              <w:rPr>
                <w:rFonts w:hint="eastAsia" w:ascii="宋体"/>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72" w:type="dxa"/>
            <w:gridSpan w:val="7"/>
            <w:vAlign w:val="center"/>
          </w:tcPr>
          <w:p>
            <w:pPr>
              <w:pStyle w:val="45"/>
              <w:rPr>
                <w:rFonts w:ascii="宋体"/>
                <w:kern w:val="0"/>
                <w:szCs w:val="21"/>
              </w:rPr>
            </w:pPr>
            <w:r>
              <w:rPr>
                <w:rFonts w:hint="eastAsia" w:ascii="宋体"/>
                <w:szCs w:val="21"/>
              </w:rPr>
              <w:t>总分</w:t>
            </w:r>
          </w:p>
        </w:tc>
        <w:tc>
          <w:tcPr>
            <w:tcW w:w="992" w:type="dxa"/>
            <w:vAlign w:val="center"/>
          </w:tcPr>
          <w:p>
            <w:pPr>
              <w:pStyle w:val="45"/>
              <w:rPr>
                <w:rFonts w:hint="default" w:ascii="宋体" w:eastAsiaTheme="minorEastAsia"/>
                <w:kern w:val="0"/>
                <w:szCs w:val="21"/>
                <w:lang w:val="en-US" w:eastAsia="zh-CN"/>
              </w:rPr>
            </w:pPr>
            <w:r>
              <w:rPr>
                <w:rFonts w:hint="eastAsia" w:ascii="宋体"/>
                <w:kern w:val="0"/>
                <w:szCs w:val="21"/>
                <w:lang w:val="en-US" w:eastAsia="zh-CN"/>
              </w:rPr>
              <w:t>99.62</w:t>
            </w:r>
          </w:p>
        </w:tc>
      </w:tr>
    </w:tbl>
    <w:p>
      <w:pPr>
        <w:pStyle w:val="82"/>
        <w:snapToGrid w:val="0"/>
        <w:spacing w:line="360" w:lineRule="auto"/>
        <w:jc w:val="center"/>
        <w:rPr>
          <w:rFonts w:ascii="Times New Roman" w:hAnsi="宋体" w:cs="Times New Roman"/>
          <w:kern w:val="2"/>
        </w:rPr>
      </w:pPr>
      <w:r>
        <w:rPr>
          <w:rFonts w:ascii="Times New Roman" w:hAnsi="宋体" w:cs="Times New Roman"/>
          <w:kern w:val="2"/>
        </w:rPr>
        <w:t>表</w:t>
      </w:r>
      <w:r>
        <w:rPr>
          <w:rFonts w:hint="eastAsia" w:ascii="Times New Roman" w:hAnsi="宋体" w:cs="Times New Roman"/>
          <w:kern w:val="2"/>
          <w:lang w:val="en-US" w:eastAsia="zh-CN"/>
        </w:rPr>
        <w:t>9-3</w:t>
      </w:r>
      <w:r>
        <w:rPr>
          <w:rFonts w:hint="eastAsia" w:ascii="Times New Roman" w:hAnsi="宋体" w:cs="Times New Roman"/>
          <w:kern w:val="2"/>
        </w:rPr>
        <w:t xml:space="preserve"> </w:t>
      </w:r>
      <w:r>
        <w:rPr>
          <w:rFonts w:ascii="Times New Roman" w:hAnsi="宋体" w:cs="Times New Roman"/>
          <w:kern w:val="2"/>
        </w:rPr>
        <w:t>企业清洁生产定</w:t>
      </w:r>
      <w:r>
        <w:rPr>
          <w:rFonts w:hint="eastAsia" w:ascii="Times New Roman" w:hAnsi="宋体" w:cs="Times New Roman"/>
          <w:kern w:val="2"/>
        </w:rPr>
        <w:t>性</w:t>
      </w:r>
      <w:r>
        <w:rPr>
          <w:rFonts w:ascii="Times New Roman" w:hAnsi="宋体" w:cs="Times New Roman"/>
          <w:kern w:val="2"/>
        </w:rPr>
        <w:t>评价指标项目</w:t>
      </w:r>
    </w:p>
    <w:tbl>
      <w:tblPr>
        <w:tblStyle w:val="27"/>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653"/>
        <w:gridCol w:w="769"/>
        <w:gridCol w:w="3443"/>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Align w:val="center"/>
          </w:tcPr>
          <w:p>
            <w:pPr>
              <w:pStyle w:val="45"/>
              <w:rPr>
                <w:rFonts w:ascii="宋体"/>
                <w:b/>
                <w:bCs/>
                <w:kern w:val="0"/>
                <w:szCs w:val="21"/>
              </w:rPr>
            </w:pPr>
            <w:r>
              <w:rPr>
                <w:rFonts w:hint="eastAsia" w:ascii="宋体"/>
                <w:b/>
                <w:bCs/>
                <w:szCs w:val="21"/>
              </w:rPr>
              <w:t>一级指标</w:t>
            </w:r>
          </w:p>
        </w:tc>
        <w:tc>
          <w:tcPr>
            <w:tcW w:w="1653" w:type="dxa"/>
            <w:vAlign w:val="center"/>
          </w:tcPr>
          <w:p>
            <w:pPr>
              <w:pStyle w:val="45"/>
              <w:rPr>
                <w:rFonts w:ascii="宋体"/>
                <w:b/>
                <w:bCs/>
                <w:kern w:val="0"/>
                <w:szCs w:val="21"/>
              </w:rPr>
            </w:pPr>
            <w:r>
              <w:rPr>
                <w:rFonts w:hint="eastAsia" w:ascii="宋体"/>
                <w:b/>
                <w:bCs/>
                <w:szCs w:val="21"/>
              </w:rPr>
              <w:t>二级指标</w:t>
            </w:r>
          </w:p>
        </w:tc>
        <w:tc>
          <w:tcPr>
            <w:tcW w:w="769" w:type="dxa"/>
            <w:vAlign w:val="center"/>
          </w:tcPr>
          <w:p>
            <w:pPr>
              <w:pStyle w:val="45"/>
              <w:rPr>
                <w:rFonts w:ascii="宋体" w:eastAsia="宋体"/>
                <w:b/>
                <w:bCs/>
                <w:kern w:val="0"/>
                <w:szCs w:val="21"/>
              </w:rPr>
            </w:pPr>
            <w:r>
              <w:rPr>
                <w:rFonts w:hint="eastAsia" w:ascii="宋体"/>
                <w:b/>
                <w:bCs/>
                <w:szCs w:val="21"/>
              </w:rPr>
              <w:t>指标</w:t>
            </w:r>
          </w:p>
          <w:p>
            <w:pPr>
              <w:pStyle w:val="45"/>
              <w:rPr>
                <w:rFonts w:ascii="宋体"/>
                <w:b/>
                <w:bCs/>
                <w:kern w:val="0"/>
                <w:szCs w:val="21"/>
              </w:rPr>
            </w:pPr>
            <w:r>
              <w:rPr>
                <w:rFonts w:hint="eastAsia" w:ascii="宋体"/>
                <w:b/>
                <w:bCs/>
                <w:szCs w:val="21"/>
              </w:rPr>
              <w:t>分值</w:t>
            </w:r>
          </w:p>
        </w:tc>
        <w:tc>
          <w:tcPr>
            <w:tcW w:w="3443" w:type="dxa"/>
            <w:vAlign w:val="center"/>
          </w:tcPr>
          <w:p>
            <w:pPr>
              <w:pStyle w:val="45"/>
              <w:rPr>
                <w:rFonts w:ascii="宋体"/>
                <w:b/>
                <w:bCs/>
                <w:kern w:val="0"/>
                <w:szCs w:val="21"/>
              </w:rPr>
            </w:pPr>
            <w:r>
              <w:rPr>
                <w:rFonts w:hint="eastAsia" w:ascii="宋体"/>
                <w:b/>
                <w:bCs/>
                <w:szCs w:val="21"/>
              </w:rPr>
              <w:t>备注</w:t>
            </w:r>
          </w:p>
        </w:tc>
        <w:tc>
          <w:tcPr>
            <w:tcW w:w="1384" w:type="dxa"/>
            <w:vAlign w:val="center"/>
          </w:tcPr>
          <w:p>
            <w:pPr>
              <w:pStyle w:val="45"/>
              <w:rPr>
                <w:rFonts w:ascii="宋体"/>
                <w:b/>
                <w:bCs/>
                <w:kern w:val="0"/>
                <w:szCs w:val="21"/>
              </w:rPr>
            </w:pPr>
            <w:r>
              <w:rPr>
                <w:rFonts w:hint="eastAsia" w:ascii="宋体"/>
                <w:b/>
                <w:bCs/>
                <w:szCs w:val="21"/>
              </w:rPr>
              <w:t>审核前得分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kern w:val="0"/>
                <w:szCs w:val="21"/>
              </w:rPr>
            </w:pPr>
            <w:r>
              <w:rPr>
                <w:rFonts w:hint="eastAsia" w:ascii="宋体"/>
                <w:szCs w:val="21"/>
              </w:rPr>
              <w:t>原辅材料及产品特征指标</w:t>
            </w:r>
          </w:p>
        </w:tc>
        <w:tc>
          <w:tcPr>
            <w:tcW w:w="1653" w:type="dxa"/>
            <w:vAlign w:val="center"/>
          </w:tcPr>
          <w:p>
            <w:pPr>
              <w:pStyle w:val="45"/>
              <w:rPr>
                <w:rFonts w:ascii="宋体"/>
                <w:kern w:val="0"/>
                <w:szCs w:val="21"/>
              </w:rPr>
            </w:pPr>
            <w:r>
              <w:rPr>
                <w:rFonts w:hint="eastAsia" w:ascii="宋体"/>
                <w:szCs w:val="21"/>
              </w:rPr>
              <w:t>采用无毒、低毒原辅材料进行生产</w:t>
            </w:r>
          </w:p>
        </w:tc>
        <w:tc>
          <w:tcPr>
            <w:tcW w:w="769" w:type="dxa"/>
            <w:vAlign w:val="center"/>
          </w:tcPr>
          <w:p>
            <w:pPr>
              <w:pStyle w:val="45"/>
              <w:rPr>
                <w:rFonts w:ascii="宋体"/>
                <w:kern w:val="0"/>
                <w:szCs w:val="21"/>
              </w:rPr>
            </w:pPr>
            <w:r>
              <w:rPr>
                <w:rFonts w:hint="eastAsia" w:ascii="宋体"/>
                <w:szCs w:val="21"/>
              </w:rPr>
              <w:t>6</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产品使用寿命长，报废后可回收再生</w:t>
            </w:r>
          </w:p>
        </w:tc>
        <w:tc>
          <w:tcPr>
            <w:tcW w:w="769" w:type="dxa"/>
            <w:vAlign w:val="center"/>
          </w:tcPr>
          <w:p>
            <w:pPr>
              <w:pStyle w:val="45"/>
              <w:rPr>
                <w:rFonts w:ascii="宋体"/>
                <w:kern w:val="0"/>
                <w:szCs w:val="21"/>
              </w:rPr>
            </w:pPr>
            <w:r>
              <w:rPr>
                <w:rFonts w:hint="eastAsia" w:ascii="宋体"/>
                <w:szCs w:val="21"/>
              </w:rPr>
              <w:t>6</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kern w:val="0"/>
                <w:szCs w:val="21"/>
              </w:rPr>
            </w:pPr>
            <w:r>
              <w:rPr>
                <w:rFonts w:hint="eastAsia" w:ascii="宋体"/>
                <w:szCs w:val="21"/>
              </w:rPr>
              <w:t>污染物处理处置</w:t>
            </w:r>
          </w:p>
        </w:tc>
        <w:tc>
          <w:tcPr>
            <w:tcW w:w="1653" w:type="dxa"/>
            <w:vAlign w:val="center"/>
          </w:tcPr>
          <w:p>
            <w:pPr>
              <w:pStyle w:val="45"/>
              <w:rPr>
                <w:rFonts w:ascii="宋体"/>
                <w:kern w:val="0"/>
                <w:szCs w:val="21"/>
              </w:rPr>
            </w:pPr>
            <w:r>
              <w:rPr>
                <w:rFonts w:hint="eastAsia" w:ascii="宋体"/>
                <w:szCs w:val="21"/>
              </w:rPr>
              <w:t>一般固体废物按照GB18599相关规定处理</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危险废物严格按照GB18597相关规定执行</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符合</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eastAsia="宋体"/>
                <w:kern w:val="0"/>
                <w:szCs w:val="21"/>
              </w:rPr>
            </w:pPr>
          </w:p>
          <w:p>
            <w:pPr>
              <w:pStyle w:val="45"/>
              <w:rPr>
                <w:rFonts w:ascii="宋体"/>
                <w:szCs w:val="21"/>
              </w:rPr>
            </w:pPr>
          </w:p>
          <w:p>
            <w:pPr>
              <w:pStyle w:val="45"/>
              <w:rPr>
                <w:rFonts w:ascii="宋体"/>
                <w:szCs w:val="21"/>
              </w:rPr>
            </w:pPr>
          </w:p>
          <w:p>
            <w:pPr>
              <w:pStyle w:val="45"/>
              <w:rPr>
                <w:rFonts w:ascii="宋体"/>
                <w:kern w:val="0"/>
                <w:szCs w:val="21"/>
              </w:rPr>
            </w:pPr>
            <w:r>
              <w:rPr>
                <w:rFonts w:hint="eastAsia" w:ascii="宋体"/>
                <w:szCs w:val="21"/>
              </w:rPr>
              <w:t>（一）环境管理与劳动安全卫生</w:t>
            </w:r>
          </w:p>
        </w:tc>
        <w:tc>
          <w:tcPr>
            <w:tcW w:w="1653" w:type="dxa"/>
            <w:vAlign w:val="center"/>
          </w:tcPr>
          <w:p>
            <w:pPr>
              <w:pStyle w:val="45"/>
              <w:rPr>
                <w:rFonts w:ascii="宋体"/>
                <w:kern w:val="0"/>
                <w:szCs w:val="21"/>
              </w:rPr>
            </w:pPr>
            <w:r>
              <w:rPr>
                <w:rFonts w:hint="eastAsia" w:ascii="宋体"/>
                <w:szCs w:val="21"/>
              </w:rPr>
              <w:t>建立环境管理体系并通过认证</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只建立环境管理体系但尚未通过认证的则给5分，未建立环境管理体系的不给分。</w:t>
            </w:r>
          </w:p>
        </w:tc>
        <w:tc>
          <w:tcPr>
            <w:tcW w:w="1384" w:type="dxa"/>
            <w:vAlign w:val="center"/>
          </w:tcPr>
          <w:p>
            <w:pPr>
              <w:pStyle w:val="45"/>
              <w:rPr>
                <w:rFonts w:ascii="宋体"/>
                <w:kern w:val="0"/>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开展清洁生产审核</w:t>
            </w:r>
          </w:p>
        </w:tc>
        <w:tc>
          <w:tcPr>
            <w:tcW w:w="769" w:type="dxa"/>
            <w:vAlign w:val="center"/>
          </w:tcPr>
          <w:p>
            <w:pPr>
              <w:pStyle w:val="45"/>
              <w:rPr>
                <w:rFonts w:ascii="宋体"/>
                <w:kern w:val="0"/>
                <w:szCs w:val="21"/>
              </w:rPr>
            </w:pPr>
            <w:r>
              <w:rPr>
                <w:rFonts w:hint="eastAsia" w:ascii="宋体"/>
                <w:szCs w:val="21"/>
              </w:rPr>
              <w:t>8</w:t>
            </w:r>
          </w:p>
        </w:tc>
        <w:tc>
          <w:tcPr>
            <w:tcW w:w="3443" w:type="dxa"/>
            <w:vAlign w:val="center"/>
          </w:tcPr>
          <w:p>
            <w:pPr>
              <w:pStyle w:val="45"/>
              <w:rPr>
                <w:rFonts w:ascii="宋体"/>
                <w:kern w:val="0"/>
                <w:szCs w:val="21"/>
              </w:rPr>
            </w:pPr>
            <w:r>
              <w:rPr>
                <w:rFonts w:hint="eastAsia" w:ascii="宋体"/>
                <w:szCs w:val="21"/>
                <w:lang w:val="en-US" w:eastAsia="zh-CN"/>
              </w:rPr>
              <w:t>已经</w:t>
            </w:r>
            <w:r>
              <w:rPr>
                <w:rFonts w:hint="eastAsia" w:ascii="宋体"/>
                <w:szCs w:val="21"/>
              </w:rPr>
              <w:t>开展</w:t>
            </w:r>
          </w:p>
        </w:tc>
        <w:tc>
          <w:tcPr>
            <w:tcW w:w="1384" w:type="dxa"/>
            <w:vAlign w:val="center"/>
          </w:tcPr>
          <w:p>
            <w:pPr>
              <w:pStyle w:val="45"/>
              <w:rPr>
                <w:rFonts w:ascii="宋体"/>
                <w:kern w:val="0"/>
                <w:szCs w:val="21"/>
              </w:rPr>
            </w:pPr>
            <w:r>
              <w:rPr>
                <w:rFonts w:hint="eastAsia" w:ascii="宋体"/>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建设项目“三同时”执行情况</w:t>
            </w:r>
          </w:p>
        </w:tc>
        <w:tc>
          <w:tcPr>
            <w:tcW w:w="769" w:type="dxa"/>
            <w:vAlign w:val="center"/>
          </w:tcPr>
          <w:p>
            <w:pPr>
              <w:pStyle w:val="45"/>
              <w:rPr>
                <w:rFonts w:ascii="宋体"/>
                <w:kern w:val="0"/>
                <w:szCs w:val="21"/>
              </w:rPr>
            </w:pPr>
            <w:r>
              <w:rPr>
                <w:rFonts w:hint="eastAsia" w:ascii="宋体"/>
                <w:szCs w:val="21"/>
              </w:rPr>
              <w:t>8</w:t>
            </w:r>
          </w:p>
        </w:tc>
        <w:tc>
          <w:tcPr>
            <w:tcW w:w="3443" w:type="dxa"/>
            <w:vAlign w:val="center"/>
          </w:tcPr>
          <w:p>
            <w:pPr>
              <w:pStyle w:val="45"/>
              <w:rPr>
                <w:rFonts w:ascii="宋体"/>
                <w:kern w:val="0"/>
                <w:szCs w:val="21"/>
              </w:rPr>
            </w:pPr>
            <w:r>
              <w:rPr>
                <w:rFonts w:hint="eastAsia" w:ascii="宋体"/>
                <w:szCs w:val="21"/>
              </w:rPr>
              <w:t>对建设项目环保“三同时”未能按要求完成的则不给分。</w:t>
            </w:r>
          </w:p>
        </w:tc>
        <w:tc>
          <w:tcPr>
            <w:tcW w:w="1384" w:type="dxa"/>
            <w:vAlign w:val="center"/>
          </w:tcPr>
          <w:p>
            <w:pPr>
              <w:pStyle w:val="45"/>
              <w:rPr>
                <w:rFonts w:ascii="宋体"/>
                <w:kern w:val="0"/>
                <w:szCs w:val="21"/>
              </w:rPr>
            </w:pPr>
            <w:r>
              <w:rPr>
                <w:rFonts w:hint="eastAsia" w:ascii="宋体"/>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老污染源限期治理完成情况</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老污染源限期治理指标未能按要求完成的则不给分；</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建设项目环境影响评价制度执行情况</w:t>
            </w:r>
          </w:p>
        </w:tc>
        <w:tc>
          <w:tcPr>
            <w:tcW w:w="769" w:type="dxa"/>
            <w:vAlign w:val="center"/>
          </w:tcPr>
          <w:p>
            <w:pPr>
              <w:pStyle w:val="45"/>
              <w:rPr>
                <w:rFonts w:ascii="宋体"/>
                <w:kern w:val="0"/>
                <w:szCs w:val="21"/>
              </w:rPr>
            </w:pPr>
            <w:r>
              <w:rPr>
                <w:rFonts w:hint="eastAsia" w:ascii="宋体"/>
                <w:szCs w:val="21"/>
              </w:rPr>
              <w:t>5</w:t>
            </w:r>
          </w:p>
        </w:tc>
        <w:tc>
          <w:tcPr>
            <w:tcW w:w="3443" w:type="dxa"/>
            <w:vAlign w:val="center"/>
          </w:tcPr>
          <w:p>
            <w:pPr>
              <w:pStyle w:val="45"/>
              <w:rPr>
                <w:rFonts w:ascii="宋体"/>
                <w:kern w:val="0"/>
                <w:szCs w:val="21"/>
              </w:rPr>
            </w:pPr>
            <w:r>
              <w:rPr>
                <w:rFonts w:hint="eastAsia" w:ascii="宋体"/>
                <w:szCs w:val="21"/>
              </w:rPr>
              <w:t>有任一违反建设项目环境影响评价制度的项目则不给分；</w:t>
            </w:r>
          </w:p>
        </w:tc>
        <w:tc>
          <w:tcPr>
            <w:tcW w:w="1384" w:type="dxa"/>
            <w:vAlign w:val="center"/>
          </w:tcPr>
          <w:p>
            <w:pPr>
              <w:pStyle w:val="45"/>
              <w:rPr>
                <w:rFonts w:ascii="宋体"/>
                <w:kern w:val="0"/>
                <w:szCs w:val="21"/>
              </w:rPr>
            </w:pPr>
            <w:r>
              <w:rPr>
                <w:rFonts w:hint="eastAsia" w:asci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污染物排放总量控制情况</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对水污染物和气污染物均有超总量控制要求的则不给分；凡仅有水污染物或气污染物中任一单项超总量控制要求的，则给4分。</w:t>
            </w:r>
          </w:p>
        </w:tc>
        <w:tc>
          <w:tcPr>
            <w:tcW w:w="1384" w:type="dxa"/>
            <w:vAlign w:val="center"/>
          </w:tcPr>
          <w:p>
            <w:pPr>
              <w:pStyle w:val="45"/>
              <w:rPr>
                <w:rFonts w:ascii="宋体"/>
                <w:kern w:val="0"/>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污染物达标情况</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凡水污染物和气污染物以及厂界噪声中任何一项不能达标的不给分</w:t>
            </w:r>
          </w:p>
        </w:tc>
        <w:tc>
          <w:tcPr>
            <w:tcW w:w="1384" w:type="dxa"/>
            <w:vAlign w:val="center"/>
          </w:tcPr>
          <w:p>
            <w:pPr>
              <w:pStyle w:val="45"/>
              <w:rPr>
                <w:rFonts w:ascii="宋体"/>
                <w:kern w:val="0"/>
                <w:szCs w:val="21"/>
              </w:rPr>
            </w:pPr>
            <w:r>
              <w:rPr>
                <w:rFonts w:hint="eastAsia" w:asci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restart"/>
            <w:vAlign w:val="center"/>
          </w:tcPr>
          <w:p>
            <w:pPr>
              <w:pStyle w:val="45"/>
              <w:rPr>
                <w:rFonts w:ascii="宋体"/>
                <w:kern w:val="0"/>
                <w:szCs w:val="21"/>
              </w:rPr>
            </w:pPr>
            <w:r>
              <w:rPr>
                <w:rFonts w:hint="eastAsia" w:ascii="宋体"/>
                <w:szCs w:val="21"/>
              </w:rPr>
              <w:t>（二）生产技术特征指标</w:t>
            </w:r>
          </w:p>
        </w:tc>
        <w:tc>
          <w:tcPr>
            <w:tcW w:w="1653" w:type="dxa"/>
            <w:vAlign w:val="center"/>
          </w:tcPr>
          <w:p>
            <w:pPr>
              <w:pStyle w:val="45"/>
              <w:rPr>
                <w:rFonts w:ascii="宋体"/>
                <w:kern w:val="0"/>
                <w:szCs w:val="21"/>
              </w:rPr>
            </w:pPr>
            <w:r>
              <w:rPr>
                <w:rFonts w:hint="eastAsia" w:ascii="宋体"/>
                <w:szCs w:val="21"/>
              </w:rPr>
              <w:t>建立节能、节材、 节水管理制度情况</w:t>
            </w:r>
          </w:p>
        </w:tc>
        <w:tc>
          <w:tcPr>
            <w:tcW w:w="769" w:type="dxa"/>
            <w:vAlign w:val="center"/>
          </w:tcPr>
          <w:p>
            <w:pPr>
              <w:pStyle w:val="45"/>
              <w:rPr>
                <w:rFonts w:ascii="宋体"/>
                <w:kern w:val="0"/>
                <w:szCs w:val="21"/>
              </w:rPr>
            </w:pPr>
            <w:r>
              <w:rPr>
                <w:rFonts w:hint="eastAsia" w:ascii="宋体"/>
                <w:szCs w:val="21"/>
              </w:rPr>
              <w:t>10</w:t>
            </w:r>
          </w:p>
        </w:tc>
        <w:tc>
          <w:tcPr>
            <w:tcW w:w="3443" w:type="dxa"/>
            <w:vAlign w:val="center"/>
          </w:tcPr>
          <w:p>
            <w:pPr>
              <w:pStyle w:val="45"/>
              <w:rPr>
                <w:rFonts w:ascii="宋体"/>
                <w:kern w:val="0"/>
                <w:szCs w:val="21"/>
              </w:rPr>
            </w:pPr>
            <w:r>
              <w:rPr>
                <w:rFonts w:hint="eastAsia" w:ascii="宋体"/>
                <w:szCs w:val="21"/>
              </w:rPr>
              <w:t>凡企业已制定颁布专项节能、节材、节水管理制度的，并已实施时间一年以上，有良好的执行效果的可得10分；已制定颁布专项节能、节材、节水管理制度的，实施时间一年以内，无明显良好的执行效果的可得6分；没有专项节能、节材、节水管理制度的不得分；缺少节能节水节材中任N项管理制度的，其得分值为相应分值乘以（1-N/10）；</w:t>
            </w:r>
          </w:p>
        </w:tc>
        <w:tc>
          <w:tcPr>
            <w:tcW w:w="1384" w:type="dxa"/>
            <w:vAlign w:val="center"/>
          </w:tcPr>
          <w:p>
            <w:pPr>
              <w:pStyle w:val="45"/>
              <w:rPr>
                <w:rFonts w:ascii="宋体"/>
                <w:kern w:val="0"/>
                <w:szCs w:val="21"/>
              </w:rPr>
            </w:pPr>
            <w:r>
              <w:rPr>
                <w:rFonts w:hint="eastAsia" w:ascii="宋体"/>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lang w:eastAsia="zh-CN"/>
              </w:rPr>
              <w:t>浇注</w:t>
            </w:r>
            <w:r>
              <w:rPr>
                <w:rFonts w:hint="eastAsia" w:ascii="宋体"/>
                <w:szCs w:val="21"/>
              </w:rPr>
              <w:t>过程全自动化生产</w:t>
            </w:r>
          </w:p>
        </w:tc>
        <w:tc>
          <w:tcPr>
            <w:tcW w:w="769" w:type="dxa"/>
            <w:vAlign w:val="center"/>
          </w:tcPr>
          <w:p>
            <w:pPr>
              <w:pStyle w:val="45"/>
              <w:rPr>
                <w:rFonts w:ascii="宋体"/>
                <w:kern w:val="0"/>
                <w:szCs w:val="21"/>
              </w:rPr>
            </w:pPr>
            <w:r>
              <w:rPr>
                <w:rFonts w:hint="eastAsia" w:ascii="宋体"/>
                <w:szCs w:val="21"/>
              </w:rPr>
              <w:t>6</w:t>
            </w:r>
          </w:p>
        </w:tc>
        <w:tc>
          <w:tcPr>
            <w:tcW w:w="3443" w:type="dxa"/>
            <w:vAlign w:val="center"/>
          </w:tcPr>
          <w:p>
            <w:pPr>
              <w:pStyle w:val="45"/>
              <w:rPr>
                <w:rFonts w:ascii="宋体"/>
                <w:kern w:val="0"/>
                <w:szCs w:val="21"/>
              </w:rPr>
            </w:pPr>
            <w:r>
              <w:rPr>
                <w:rFonts w:hint="eastAsia" w:ascii="宋体"/>
                <w:szCs w:val="21"/>
              </w:rPr>
              <w:t>使用全自动</w:t>
            </w:r>
            <w:r>
              <w:rPr>
                <w:rFonts w:hint="eastAsia" w:ascii="宋体"/>
                <w:szCs w:val="21"/>
                <w:lang w:eastAsia="zh-CN"/>
              </w:rPr>
              <w:t>浇注</w:t>
            </w:r>
            <w:r>
              <w:rPr>
                <w:rFonts w:hint="eastAsia" w:ascii="宋体"/>
                <w:szCs w:val="21"/>
              </w:rPr>
              <w:t>的，得6分，其他不计分</w:t>
            </w:r>
          </w:p>
        </w:tc>
        <w:tc>
          <w:tcPr>
            <w:tcW w:w="1384" w:type="dxa"/>
            <w:vAlign w:val="center"/>
          </w:tcPr>
          <w:p>
            <w:pPr>
              <w:pStyle w:val="45"/>
              <w:rPr>
                <w:rFonts w:hint="eastAsia" w:ascii="宋体" w:eastAsiaTheme="minorEastAsia"/>
                <w:color w:val="FF0000"/>
                <w:kern w:val="0"/>
                <w:szCs w:val="21"/>
                <w:lang w:eastAsia="zh-CN"/>
              </w:rPr>
            </w:pPr>
            <w:r>
              <w:rPr>
                <w:rFonts w:hint="eastAsia" w:ascii="宋体"/>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淘汰落后机电产品、生产工艺执行情况</w:t>
            </w:r>
          </w:p>
        </w:tc>
        <w:tc>
          <w:tcPr>
            <w:tcW w:w="769" w:type="dxa"/>
            <w:vAlign w:val="center"/>
          </w:tcPr>
          <w:p>
            <w:pPr>
              <w:pStyle w:val="45"/>
              <w:rPr>
                <w:rFonts w:ascii="宋体"/>
                <w:kern w:val="0"/>
                <w:szCs w:val="21"/>
              </w:rPr>
            </w:pPr>
            <w:r>
              <w:rPr>
                <w:rFonts w:hint="eastAsia" w:ascii="宋体"/>
                <w:szCs w:val="21"/>
              </w:rPr>
              <w:t>3</w:t>
            </w:r>
          </w:p>
        </w:tc>
        <w:tc>
          <w:tcPr>
            <w:tcW w:w="3443" w:type="dxa"/>
            <w:vAlign w:val="center"/>
          </w:tcPr>
          <w:p>
            <w:pPr>
              <w:pStyle w:val="45"/>
              <w:rPr>
                <w:rFonts w:ascii="宋体"/>
                <w:kern w:val="0"/>
                <w:szCs w:val="21"/>
              </w:rPr>
            </w:pPr>
            <w:r>
              <w:rPr>
                <w:rFonts w:hint="eastAsia" w:ascii="宋体"/>
                <w:szCs w:val="21"/>
              </w:rPr>
              <w:t>凡企业生产产品中有属于国家已经明令淘汰的机电产品的，不予评价为清洁生产企业和清洁生产先进企业；凡企业在生产中仍在使用国家已经明令淘汰的机电产品、生产工艺的，不得分；凡企业在既不生产， 也未在生产中仍在使用国家已经明令淘汰的机电产品的，得3分。</w:t>
            </w:r>
          </w:p>
        </w:tc>
        <w:tc>
          <w:tcPr>
            <w:tcW w:w="1384" w:type="dxa"/>
            <w:vAlign w:val="center"/>
          </w:tcPr>
          <w:p>
            <w:pPr>
              <w:pStyle w:val="45"/>
              <w:rPr>
                <w:rFonts w:ascii="宋体"/>
                <w:kern w:val="0"/>
                <w:szCs w:val="21"/>
              </w:rPr>
            </w:pPr>
            <w:r>
              <w:rPr>
                <w:rFonts w:hint="eastAsia" w:ascii="宋体"/>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6" w:type="dxa"/>
            <w:vMerge w:val="continue"/>
            <w:vAlign w:val="center"/>
          </w:tcPr>
          <w:p>
            <w:pPr>
              <w:widowControl/>
              <w:jc w:val="left"/>
              <w:rPr>
                <w:rFonts w:ascii="宋体" w:eastAsia="宋体"/>
                <w:kern w:val="0"/>
                <w:szCs w:val="21"/>
              </w:rPr>
            </w:pPr>
          </w:p>
        </w:tc>
        <w:tc>
          <w:tcPr>
            <w:tcW w:w="1653" w:type="dxa"/>
            <w:vAlign w:val="center"/>
          </w:tcPr>
          <w:p>
            <w:pPr>
              <w:pStyle w:val="45"/>
              <w:rPr>
                <w:rFonts w:ascii="宋体"/>
                <w:kern w:val="0"/>
                <w:szCs w:val="21"/>
              </w:rPr>
            </w:pPr>
            <w:r>
              <w:rPr>
                <w:rFonts w:hint="eastAsia" w:ascii="宋体"/>
                <w:szCs w:val="21"/>
              </w:rPr>
              <w:t>生产中禁用淘汰材料执行情况</w:t>
            </w:r>
          </w:p>
        </w:tc>
        <w:tc>
          <w:tcPr>
            <w:tcW w:w="769" w:type="dxa"/>
            <w:vAlign w:val="center"/>
          </w:tcPr>
          <w:p>
            <w:pPr>
              <w:pStyle w:val="45"/>
              <w:rPr>
                <w:rFonts w:ascii="宋体"/>
                <w:kern w:val="0"/>
                <w:szCs w:val="21"/>
              </w:rPr>
            </w:pPr>
            <w:r>
              <w:rPr>
                <w:rFonts w:hint="eastAsia" w:ascii="宋体"/>
                <w:szCs w:val="21"/>
              </w:rPr>
              <w:t>3</w:t>
            </w:r>
          </w:p>
        </w:tc>
        <w:tc>
          <w:tcPr>
            <w:tcW w:w="3443" w:type="dxa"/>
            <w:vAlign w:val="center"/>
          </w:tcPr>
          <w:p>
            <w:pPr>
              <w:pStyle w:val="45"/>
              <w:rPr>
                <w:rFonts w:ascii="宋体"/>
                <w:kern w:val="0"/>
                <w:szCs w:val="21"/>
              </w:rPr>
            </w:pPr>
            <w:r>
              <w:rPr>
                <w:rFonts w:hint="eastAsia" w:ascii="宋体"/>
                <w:szCs w:val="21"/>
              </w:rPr>
              <w:t>产品生产中未使用国家明令限期淘汰的材料并未使用我国参加的国际议定书规定淘汰的材料的，得3分，否则不得分。</w:t>
            </w:r>
          </w:p>
        </w:tc>
        <w:tc>
          <w:tcPr>
            <w:tcW w:w="1384" w:type="dxa"/>
            <w:vAlign w:val="center"/>
          </w:tcPr>
          <w:p>
            <w:pPr>
              <w:pStyle w:val="45"/>
              <w:rPr>
                <w:rFonts w:ascii="宋体"/>
                <w:kern w:val="0"/>
                <w:szCs w:val="21"/>
              </w:rPr>
            </w:pPr>
            <w:r>
              <w:rPr>
                <w:rFonts w:hint="eastAsia" w:ascii="宋体"/>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7371" w:type="dxa"/>
            <w:gridSpan w:val="4"/>
            <w:vAlign w:val="center"/>
          </w:tcPr>
          <w:p>
            <w:pPr>
              <w:pStyle w:val="45"/>
              <w:rPr>
                <w:rFonts w:ascii="宋体"/>
                <w:kern w:val="0"/>
                <w:szCs w:val="21"/>
              </w:rPr>
            </w:pPr>
            <w:r>
              <w:rPr>
                <w:rFonts w:hint="eastAsia" w:ascii="宋体"/>
                <w:szCs w:val="21"/>
              </w:rPr>
              <w:t>总分</w:t>
            </w:r>
          </w:p>
        </w:tc>
        <w:tc>
          <w:tcPr>
            <w:tcW w:w="1384" w:type="dxa"/>
            <w:vAlign w:val="center"/>
          </w:tcPr>
          <w:p>
            <w:pPr>
              <w:pStyle w:val="45"/>
              <w:rPr>
                <w:rFonts w:hint="default" w:ascii="宋体" w:eastAsiaTheme="minorEastAsia"/>
                <w:kern w:val="0"/>
                <w:szCs w:val="21"/>
                <w:lang w:val="en-US" w:eastAsia="zh-CN"/>
              </w:rPr>
            </w:pPr>
            <w:r>
              <w:rPr>
                <w:rFonts w:hint="eastAsia" w:ascii="宋体"/>
                <w:szCs w:val="21"/>
                <w:lang w:val="en-US" w:eastAsia="zh-CN"/>
              </w:rPr>
              <w:t>96</w:t>
            </w:r>
          </w:p>
        </w:tc>
      </w:tr>
    </w:tbl>
    <w:p>
      <w:pPr>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sz w:val="24"/>
          <w:szCs w:val="24"/>
        </w:rPr>
        <w:t>根据表</w:t>
      </w:r>
      <w:r>
        <w:rPr>
          <w:rFonts w:hint="eastAsia" w:ascii="Times New Roman" w:hAnsi="Times New Roman" w:eastAsia="宋体"/>
          <w:sz w:val="24"/>
          <w:szCs w:val="24"/>
          <w:lang w:val="en-US" w:eastAsia="zh-CN"/>
        </w:rPr>
        <w:t>9-2</w:t>
      </w:r>
      <w:r>
        <w:rPr>
          <w:rFonts w:hint="eastAsia" w:ascii="Times New Roman" w:hAnsi="Times New Roman" w:eastAsia="宋体"/>
          <w:sz w:val="24"/>
          <w:szCs w:val="24"/>
        </w:rPr>
        <w:t>企业清洁生产定量评价指标中各考核总分值为</w:t>
      </w:r>
      <w:r>
        <w:rPr>
          <w:rFonts w:hint="eastAsia" w:ascii="Times New Roman" w:hAnsi="Times New Roman" w:eastAsia="宋体"/>
          <w:sz w:val="24"/>
          <w:szCs w:val="24"/>
          <w:lang w:val="en-US" w:eastAsia="zh-CN"/>
        </w:rPr>
        <w:t>99.62</w:t>
      </w:r>
      <w:r>
        <w:rPr>
          <w:rFonts w:hint="eastAsia" w:ascii="Times New Roman" w:hAnsi="Times New Roman" w:eastAsia="宋体"/>
          <w:sz w:val="24"/>
          <w:szCs w:val="24"/>
        </w:rPr>
        <w:t>；根据表</w:t>
      </w:r>
      <w:r>
        <w:rPr>
          <w:rFonts w:hint="eastAsia" w:ascii="Times New Roman" w:hAnsi="Times New Roman" w:eastAsia="宋体"/>
          <w:sz w:val="24"/>
          <w:szCs w:val="24"/>
          <w:lang w:val="en-US" w:eastAsia="zh-CN"/>
        </w:rPr>
        <w:t>9-3</w:t>
      </w:r>
      <w:r>
        <w:rPr>
          <w:rFonts w:hint="eastAsia" w:ascii="Times New Roman" w:hAnsi="Times New Roman" w:eastAsia="宋体"/>
          <w:sz w:val="24"/>
          <w:szCs w:val="24"/>
        </w:rPr>
        <w:t>企业清洁生产定性评价指标中各考核总分值为</w:t>
      </w:r>
      <w:r>
        <w:rPr>
          <w:rFonts w:hint="eastAsia" w:ascii="Times New Roman" w:hAnsi="Times New Roman" w:eastAsia="宋体"/>
          <w:sz w:val="24"/>
          <w:szCs w:val="24"/>
          <w:lang w:val="en-US" w:eastAsia="zh-CN"/>
        </w:rPr>
        <w:t>96</w:t>
      </w:r>
      <w:r>
        <w:rPr>
          <w:rFonts w:hint="eastAsia" w:ascii="Times New Roman" w:hAnsi="Times New Roman" w:eastAsia="宋体"/>
          <w:sz w:val="24"/>
          <w:szCs w:val="24"/>
        </w:rPr>
        <w:t>，因此根据综合评价指数（得分）计算公式，可知现阶段</w:t>
      </w:r>
      <w:r>
        <w:rPr>
          <w:rFonts w:hint="eastAsia" w:ascii="Times New Roman" w:hAnsi="Times New Roman" w:eastAsia="宋体"/>
          <w:sz w:val="24"/>
          <w:szCs w:val="24"/>
          <w:lang w:val="en-US" w:eastAsia="zh-CN"/>
        </w:rPr>
        <w:t>湖南光华荣昌汽车部件有限公司</w:t>
      </w:r>
      <w:r>
        <w:rPr>
          <w:rFonts w:hint="eastAsia" w:ascii="Times New Roman" w:hAnsi="Times New Roman" w:eastAsia="宋体"/>
          <w:sz w:val="24"/>
          <w:szCs w:val="24"/>
        </w:rPr>
        <w:t>清洁生产的综合评价指数（得分）</w:t>
      </w:r>
      <w:r>
        <w:rPr>
          <w:rFonts w:hint="eastAsia" w:ascii="Times New Roman" w:hAnsi="Times New Roman" w:eastAsia="宋体"/>
          <w:sz w:val="24"/>
          <w:szCs w:val="24"/>
          <w:lang w:val="en-US" w:eastAsia="zh-CN"/>
        </w:rPr>
        <w:t>97.448</w:t>
      </w:r>
      <w:r>
        <w:rPr>
          <w:rFonts w:hint="eastAsia" w:ascii="Times New Roman" w:hAnsi="Times New Roman" w:eastAsia="宋体"/>
          <w:sz w:val="24"/>
          <w:szCs w:val="24"/>
        </w:rPr>
        <w:t>，</w:t>
      </w:r>
      <w:r>
        <w:rPr>
          <w:rFonts w:hint="eastAsia" w:ascii="Times New Roman" w:hAnsi="Times New Roman" w:eastAsia="宋体"/>
          <w:sz w:val="24"/>
          <w:szCs w:val="24"/>
          <w:lang w:val="en-US" w:eastAsia="zh-CN"/>
        </w:rPr>
        <w:t>高于90分</w:t>
      </w:r>
      <w:r>
        <w:rPr>
          <w:rFonts w:hint="eastAsia" w:ascii="Times New Roman" w:hAnsi="Times New Roman" w:eastAsia="宋体"/>
          <w:sz w:val="24"/>
          <w:szCs w:val="24"/>
        </w:rPr>
        <w:t>。根据评价指标体系，结合企业所处环境实际情况，清洁生产审核小组认为审核</w:t>
      </w:r>
      <w:r>
        <w:rPr>
          <w:rFonts w:hint="eastAsia" w:ascii="Times New Roman" w:hAnsi="Times New Roman" w:eastAsia="宋体"/>
          <w:sz w:val="24"/>
          <w:szCs w:val="24"/>
          <w:lang w:val="en-US" w:eastAsia="zh-CN"/>
        </w:rPr>
        <w:t>后</w:t>
      </w:r>
      <w:r>
        <w:rPr>
          <w:rFonts w:hint="eastAsia" w:ascii="Times New Roman" w:hAnsi="Times New Roman" w:eastAsia="宋体"/>
          <w:sz w:val="24"/>
          <w:szCs w:val="24"/>
        </w:rPr>
        <w:t>企业清洁生产水</w:t>
      </w:r>
      <w:r>
        <w:rPr>
          <w:rFonts w:hint="eastAsia" w:ascii="Times New Roman" w:hAnsi="Times New Roman" w:eastAsia="宋体"/>
          <w:sz w:val="24"/>
          <w:szCs w:val="24"/>
          <w:lang w:val="en-US" w:eastAsia="zh-CN"/>
        </w:rPr>
        <w:t>平属于</w:t>
      </w:r>
      <w:r>
        <w:rPr>
          <w:rFonts w:hint="eastAsia" w:ascii="Times New Roman" w:hAnsi="Times New Roman" w:eastAsia="宋体"/>
          <w:sz w:val="24"/>
          <w:szCs w:val="24"/>
        </w:rPr>
        <w:t>国内清洁生产</w:t>
      </w:r>
      <w:r>
        <w:rPr>
          <w:rFonts w:hint="eastAsia" w:ascii="Times New Roman" w:hAnsi="Times New Roman" w:eastAsia="宋体"/>
          <w:sz w:val="24"/>
          <w:szCs w:val="24"/>
          <w:lang w:val="en-US" w:eastAsia="zh-CN"/>
        </w:rPr>
        <w:t>先进</w:t>
      </w:r>
      <w:r>
        <w:rPr>
          <w:rFonts w:hint="eastAsia" w:ascii="Times New Roman" w:hAnsi="Times New Roman" w:eastAsia="宋体"/>
          <w:sz w:val="24"/>
          <w:szCs w:val="24"/>
        </w:rPr>
        <w:t>水平。</w:t>
      </w:r>
    </w:p>
    <w:p>
      <w:pPr>
        <w:pStyle w:val="3"/>
        <w:widowControl w:val="0"/>
        <w:adjustRightInd/>
        <w:snapToGrid/>
        <w:spacing w:beforeLines="50" w:after="0" w:line="360" w:lineRule="auto"/>
        <w:rPr>
          <w:rFonts w:ascii="Times New Roman" w:hAnsi="Times New Roman"/>
          <w:sz w:val="30"/>
          <w:szCs w:val="30"/>
        </w:rPr>
      </w:pPr>
      <w:bookmarkStart w:id="371" w:name="_Toc15360"/>
      <w:r>
        <w:rPr>
          <w:rFonts w:hint="eastAsia" w:ascii="Times New Roman" w:hAnsi="Times New Roman"/>
          <w:sz w:val="30"/>
          <w:szCs w:val="30"/>
        </w:rPr>
        <w:t>9.5持续改进建议</w:t>
      </w:r>
      <w:bookmarkEnd w:id="369"/>
      <w:bookmarkEnd w:id="370"/>
      <w:bookmarkEnd w:id="371"/>
    </w:p>
    <w:p>
      <w:pPr>
        <w:pStyle w:val="42"/>
        <w:ind w:firstLine="360" w:firstLineChars="150"/>
        <w:jc w:val="left"/>
        <w:rPr>
          <w:rFonts w:hAnsi="Times New Roman" w:eastAsia="宋体"/>
          <w:szCs w:val="24"/>
        </w:rPr>
      </w:pPr>
      <w:r>
        <w:rPr>
          <w:rFonts w:hAnsi="Times New Roman" w:eastAsia="宋体"/>
          <w:szCs w:val="24"/>
        </w:rPr>
        <w:t>本轮审核之后，企业的清洁生产水平有所提高，</w:t>
      </w:r>
      <w:r>
        <w:rPr>
          <w:rFonts w:hint="eastAsia" w:hAnsi="Times New Roman" w:eastAsia="宋体"/>
          <w:szCs w:val="24"/>
        </w:rPr>
        <w:t>清洁生产水平达到了</w:t>
      </w:r>
      <w:r>
        <w:rPr>
          <w:rFonts w:hAnsi="Times New Roman" w:eastAsia="宋体"/>
          <w:szCs w:val="24"/>
        </w:rPr>
        <w:t>国内清洁生产</w:t>
      </w:r>
      <w:r>
        <w:rPr>
          <w:rFonts w:hint="eastAsia" w:hAnsi="Times New Roman" w:eastAsia="宋体"/>
          <w:szCs w:val="24"/>
          <w:lang w:val="en-US" w:eastAsia="zh-CN"/>
        </w:rPr>
        <w:t>先进</w:t>
      </w:r>
      <w:r>
        <w:rPr>
          <w:rFonts w:hAnsi="Times New Roman" w:eastAsia="宋体"/>
          <w:szCs w:val="24"/>
        </w:rPr>
        <w:t>水平，</w:t>
      </w:r>
      <w:r>
        <w:rPr>
          <w:rFonts w:hint="eastAsia" w:hAnsi="Times New Roman" w:eastAsia="宋体"/>
          <w:szCs w:val="24"/>
        </w:rPr>
        <w:t>为了持续</w:t>
      </w:r>
      <w:r>
        <w:rPr>
          <w:rFonts w:hAnsi="Times New Roman" w:eastAsia="宋体"/>
          <w:szCs w:val="24"/>
        </w:rPr>
        <w:t>推进清洁生产工作，不断提高企业的清洁生产水平</w:t>
      </w:r>
      <w:r>
        <w:rPr>
          <w:rFonts w:hint="eastAsia" w:hAnsi="Times New Roman" w:eastAsia="宋体"/>
          <w:szCs w:val="24"/>
        </w:rPr>
        <w:t>，提出以下建议：</w:t>
      </w:r>
    </w:p>
    <w:p>
      <w:pPr>
        <w:pStyle w:val="42"/>
        <w:ind w:firstLine="360" w:firstLineChars="150"/>
        <w:jc w:val="left"/>
        <w:rPr>
          <w:rFonts w:hAnsi="Times New Roman" w:eastAsia="宋体"/>
          <w:szCs w:val="24"/>
        </w:rPr>
      </w:pPr>
      <w:r>
        <w:rPr>
          <w:rFonts w:hAnsi="Times New Roman" w:eastAsia="宋体"/>
          <w:szCs w:val="24"/>
        </w:rPr>
        <w:t>（1）继续加强对员工的清洁生产宣传教育，进一步提高员工的清洁生产意识；</w:t>
      </w:r>
    </w:p>
    <w:p>
      <w:pPr>
        <w:pStyle w:val="42"/>
        <w:ind w:firstLine="360" w:firstLineChars="150"/>
        <w:jc w:val="left"/>
        <w:rPr>
          <w:rFonts w:hAnsi="Times New Roman" w:eastAsia="宋体"/>
          <w:szCs w:val="24"/>
        </w:rPr>
      </w:pPr>
      <w:r>
        <w:rPr>
          <w:rFonts w:hAnsi="Times New Roman" w:eastAsia="宋体"/>
          <w:szCs w:val="24"/>
        </w:rPr>
        <w:t>（2）巩固清洁生产的成果，把清洁生产工作与现有的各种管理制度有机结合起来，把清洁生产审核的成果及时纳入企业的日常管理中；</w:t>
      </w:r>
    </w:p>
    <w:p>
      <w:pPr>
        <w:pStyle w:val="13"/>
        <w:snapToGrid w:val="0"/>
        <w:spacing w:before="156"/>
        <w:ind w:firstLine="360" w:firstLineChars="150"/>
        <w:rPr>
          <w:rFonts w:ascii="Times New Roman" w:eastAsia="宋体"/>
          <w:color w:val="auto"/>
        </w:rPr>
      </w:pPr>
      <w:r>
        <w:rPr>
          <w:rFonts w:ascii="Times New Roman" w:eastAsia="宋体"/>
          <w:color w:val="auto"/>
        </w:rPr>
        <w:t>（3）完善监测手段，细化原材料与能源消耗重点的管理，进一步提高单位产品的消耗指标，使之达到</w:t>
      </w:r>
      <w:r>
        <w:rPr>
          <w:rFonts w:hint="eastAsia" w:ascii="Times New Roman" w:eastAsia="宋体"/>
          <w:color w:val="auto"/>
          <w:lang w:val="en-US" w:eastAsia="zh-CN"/>
        </w:rPr>
        <w:t>国际清洁生产领先</w:t>
      </w:r>
      <w:r>
        <w:rPr>
          <w:rFonts w:ascii="Times New Roman" w:eastAsia="宋体"/>
          <w:color w:val="auto"/>
        </w:rPr>
        <w:t>水平；</w:t>
      </w:r>
    </w:p>
    <w:p>
      <w:pPr>
        <w:pStyle w:val="42"/>
        <w:ind w:firstLine="360" w:firstLineChars="150"/>
        <w:jc w:val="left"/>
        <w:rPr>
          <w:rFonts w:hAnsi="Times New Roman" w:eastAsia="宋体"/>
          <w:szCs w:val="24"/>
        </w:rPr>
      </w:pPr>
      <w:r>
        <w:rPr>
          <w:rFonts w:hAnsi="Times New Roman" w:eastAsia="宋体"/>
          <w:szCs w:val="24"/>
        </w:rPr>
        <w:t>（</w:t>
      </w:r>
      <w:r>
        <w:rPr>
          <w:rFonts w:hint="eastAsia" w:hAnsi="Times New Roman" w:eastAsia="宋体"/>
          <w:szCs w:val="24"/>
        </w:rPr>
        <w:t>4</w:t>
      </w:r>
      <w:r>
        <w:rPr>
          <w:rFonts w:hAnsi="Times New Roman" w:eastAsia="宋体"/>
          <w:szCs w:val="24"/>
        </w:rPr>
        <w:t>）落实持续清洁生产计划，使清洁生产在公司持久地开展下去。公司在以后的清洁生产审核中，将继续围绕节能、降耗、减污、增效的主线，继续发现和实施无/低费方案，为企业不断带来环境和经济效益，也为保护生态环境</w:t>
      </w:r>
      <w:r>
        <w:rPr>
          <w:rFonts w:hint="eastAsia" w:hAnsi="Times New Roman" w:eastAsia="宋体"/>
          <w:szCs w:val="24"/>
        </w:rPr>
        <w:t>做</w:t>
      </w:r>
      <w:r>
        <w:rPr>
          <w:rFonts w:hAnsi="Times New Roman" w:eastAsia="宋体"/>
          <w:szCs w:val="24"/>
        </w:rPr>
        <w:t>出更大的贡献。</w:t>
      </w:r>
    </w:p>
    <w:p>
      <w:pPr>
        <w:pStyle w:val="3"/>
        <w:widowControl w:val="0"/>
        <w:adjustRightInd/>
        <w:snapToGrid/>
        <w:spacing w:beforeLines="50" w:after="0" w:line="360" w:lineRule="auto"/>
        <w:rPr>
          <w:rFonts w:ascii="Times New Roman" w:hAnsi="Times New Roman"/>
          <w:sz w:val="30"/>
          <w:szCs w:val="30"/>
        </w:rPr>
      </w:pPr>
      <w:bookmarkStart w:id="372" w:name="_Toc15481"/>
      <w:bookmarkStart w:id="373" w:name="_Toc499903535"/>
      <w:bookmarkStart w:id="374" w:name="_Toc525142443"/>
      <w:r>
        <w:rPr>
          <w:rFonts w:hint="eastAsia" w:ascii="Times New Roman" w:hAnsi="Times New Roman"/>
          <w:sz w:val="30"/>
          <w:szCs w:val="30"/>
        </w:rPr>
        <w:t>9.6对本轮清洁生产审核的认识与致谢</w:t>
      </w:r>
      <w:bookmarkEnd w:id="372"/>
      <w:bookmarkEnd w:id="373"/>
      <w:bookmarkEnd w:id="374"/>
    </w:p>
    <w:p>
      <w:pPr>
        <w:spacing w:line="360" w:lineRule="auto"/>
        <w:ind w:firstLine="360" w:firstLineChars="150"/>
        <w:rPr>
          <w:rFonts w:ascii="Times New Roman" w:hAnsi="Times New Roman" w:eastAsia="宋体" w:cs="Times New Roman"/>
          <w:sz w:val="24"/>
          <w:szCs w:val="24"/>
        </w:rPr>
      </w:pPr>
      <w:r>
        <w:rPr>
          <w:rFonts w:ascii="Times New Roman" w:hAnsi="Times New Roman" w:eastAsia="宋体" w:cs="Times New Roman"/>
          <w:sz w:val="24"/>
          <w:szCs w:val="24"/>
        </w:rPr>
        <w:t>通过本轮清洁生产审核，公司对国家有关清洁生产的产业发展和技术进步政策、资源环境保护政策规定以及行业发展规划有了全面的了解和进一步的认识，同时在污染物排放、能源消耗、资源综合利用、产品质量、清洁生产管理等方面的工作有了较大程度的提高。</w:t>
      </w:r>
    </w:p>
    <w:p>
      <w:pPr>
        <w:spacing w:line="360" w:lineRule="auto"/>
        <w:ind w:firstLine="360" w:firstLineChars="150"/>
        <w:rPr>
          <w:rFonts w:ascii="Times New Roman" w:hAnsi="Times New Roman" w:eastAsia="宋体" w:cs="Times New Roman"/>
          <w:sz w:val="24"/>
          <w:szCs w:val="24"/>
        </w:rPr>
      </w:pPr>
      <w:r>
        <w:rPr>
          <w:rFonts w:ascii="Times New Roman" w:hAnsi="Times New Roman" w:eastAsia="宋体" w:cs="Times New Roman"/>
          <w:sz w:val="24"/>
          <w:szCs w:val="24"/>
        </w:rPr>
        <w:t>通过对本轮审核产生的清洁生产方案的实施，提高了公司全体员工对清洁生产的认识和将其融合入实际生产的自觉性，提高资源的利用效率，降低了废物的产生量，改善了工作环境，提高了工作效率，降低生产成本，使公司取得了较好的经济效益和良好的环境效益，真正体现了清洁生产</w:t>
      </w:r>
      <w:r>
        <w:rPr>
          <w:rFonts w:hint="eastAsia" w:ascii="Times New Roman" w:hAnsi="Times New Roman" w:eastAsia="宋体" w:cs="Times New Roman"/>
          <w:sz w:val="24"/>
          <w:szCs w:val="24"/>
        </w:rPr>
        <w:t>“</w:t>
      </w:r>
      <w:r>
        <w:rPr>
          <w:rFonts w:ascii="Times New Roman" w:hAnsi="Times New Roman" w:eastAsia="宋体" w:cs="Times New Roman"/>
          <w:sz w:val="24"/>
          <w:szCs w:val="24"/>
        </w:rPr>
        <w:t>节能、降耗、减污、增效”的原则，为公司的发展注入了新的活力。</w:t>
      </w:r>
    </w:p>
    <w:p>
      <w:pPr>
        <w:spacing w:line="360" w:lineRule="auto"/>
        <w:ind w:firstLine="480" w:firstLineChars="200"/>
        <w:rPr>
          <w:rFonts w:ascii="Times New Roman" w:hAnsi="Times New Roman" w:eastAsia="宋体" w:cs="Times New Roman"/>
          <w:sz w:val="24"/>
          <w:szCs w:val="24"/>
        </w:rPr>
        <w:sectPr>
          <w:pgSz w:w="11906" w:h="16838"/>
          <w:pgMar w:top="1440" w:right="1800" w:bottom="1440" w:left="1800" w:header="964" w:footer="992" w:gutter="0"/>
          <w:cols w:space="425" w:num="1"/>
          <w:docGrid w:type="lines" w:linePitch="312" w:charSpace="0"/>
        </w:sectPr>
      </w:pPr>
      <w:r>
        <w:rPr>
          <w:rFonts w:ascii="Times New Roman" w:hAnsi="Times New Roman" w:eastAsia="宋体" w:cs="Times New Roman"/>
          <w:sz w:val="24"/>
          <w:szCs w:val="24"/>
        </w:rPr>
        <w:t>本次审核工作得到了市</w:t>
      </w:r>
      <w:r>
        <w:rPr>
          <w:rFonts w:hint="eastAsia" w:ascii="Times New Roman" w:hAnsi="Times New Roman" w:eastAsia="宋体" w:cs="Times New Roman"/>
          <w:sz w:val="24"/>
          <w:szCs w:val="24"/>
        </w:rPr>
        <w:t>、区</w:t>
      </w:r>
      <w:r>
        <w:rPr>
          <w:rFonts w:hint="eastAsia" w:ascii="Times New Roman" w:hAnsi="Times New Roman" w:eastAsia="宋体" w:cs="Times New Roman"/>
          <w:sz w:val="24"/>
          <w:szCs w:val="24"/>
          <w:lang w:eastAsia="zh-CN"/>
        </w:rPr>
        <w:t>工信</w:t>
      </w:r>
      <w:r>
        <w:rPr>
          <w:rFonts w:ascii="Times New Roman" w:hAnsi="Times New Roman" w:eastAsia="宋体" w:cs="Times New Roman"/>
          <w:sz w:val="24"/>
          <w:szCs w:val="24"/>
        </w:rPr>
        <w:t>、</w:t>
      </w:r>
      <w:r>
        <w:rPr>
          <w:rFonts w:hint="eastAsia" w:ascii="Times New Roman" w:hAnsi="Times New Roman" w:eastAsia="宋体" w:cs="Times New Roman"/>
          <w:sz w:val="24"/>
          <w:szCs w:val="24"/>
        </w:rPr>
        <w:t>环保部门、企业领导、</w:t>
      </w:r>
      <w:r>
        <w:rPr>
          <w:rFonts w:ascii="Times New Roman" w:hAnsi="Times New Roman" w:eastAsia="宋体" w:cs="Times New Roman"/>
          <w:sz w:val="24"/>
          <w:szCs w:val="24"/>
        </w:rPr>
        <w:t>审核小组、专家的大力支持，在此一并表示感谢。</w:t>
      </w:r>
    </w:p>
    <w:p>
      <w:pPr>
        <w:pStyle w:val="2"/>
        <w:widowControl w:val="0"/>
        <w:adjustRightInd/>
        <w:snapToGrid/>
        <w:spacing w:beforeLines="50" w:after="0" w:line="360" w:lineRule="auto"/>
        <w:ind w:firstLine="199" w:firstLineChars="55"/>
        <w:jc w:val="center"/>
        <w:rPr>
          <w:rFonts w:ascii="宋体" w:hAnsi="宋体" w:eastAsia="宋体" w:cs="Times New Roman"/>
          <w:sz w:val="36"/>
          <w:szCs w:val="36"/>
        </w:rPr>
      </w:pPr>
      <w:bookmarkStart w:id="375" w:name="_Toc16669"/>
      <w:r>
        <w:rPr>
          <w:rFonts w:hint="eastAsia" w:ascii="宋体" w:hAnsi="宋体" w:eastAsia="宋体" w:cs="Times New Roman"/>
          <w:sz w:val="36"/>
          <w:szCs w:val="36"/>
        </w:rPr>
        <w:t>十、审核报告初审意见表</w:t>
      </w:r>
      <w:bookmarkEnd w:id="375"/>
    </w:p>
    <w:tbl>
      <w:tblPr>
        <w:tblStyle w:val="2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522" w:type="dxa"/>
          </w:tcPr>
          <w:p/>
          <w:p>
            <w:pPr>
              <w:rPr>
                <w:szCs w:val="21"/>
              </w:rPr>
            </w:pPr>
          </w:p>
          <w:p>
            <w:pPr>
              <w:rPr>
                <w:szCs w:val="21"/>
              </w:rPr>
            </w:pPr>
            <w:r>
              <w:rPr>
                <w:rFonts w:hint="eastAsia"/>
                <w:szCs w:val="21"/>
              </w:rPr>
              <w:t>企业名称：</w:t>
            </w:r>
            <w:r>
              <w:rPr>
                <w:rFonts w:hint="eastAsia" w:ascii="Times New Roman" w:hAnsi="宋体" w:eastAsia="宋体"/>
                <w:kern w:val="18"/>
                <w:szCs w:val="21"/>
                <w:lang w:eastAsia="zh-CN"/>
              </w:rPr>
              <w:t>湖南光华荣昌汽车部件有限公司</w:t>
            </w:r>
            <w:r>
              <w:rPr>
                <w:rFonts w:hint="eastAsia"/>
                <w:b/>
                <w:szCs w:val="21"/>
              </w:rPr>
              <w:t>（公章）</w:t>
            </w:r>
          </w:p>
          <w:p/>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522" w:type="dxa"/>
          </w:tcPr>
          <w:p/>
          <w:p/>
          <w:p>
            <w:r>
              <w:rPr>
                <w:rFonts w:hint="eastAsia"/>
              </w:rPr>
              <w:t>咨询服务机构名称：</w:t>
            </w:r>
            <w:r>
              <w:rPr>
                <w:rFonts w:hint="eastAsia"/>
                <w:lang w:eastAsia="zh-CN"/>
              </w:rPr>
              <w:t>湖南阳光伟业科技有限公司</w:t>
            </w:r>
            <w:r>
              <w:rPr>
                <w:rFonts w:hint="eastAsia"/>
                <w:b/>
              </w:rPr>
              <w:t>（公章）</w:t>
            </w:r>
          </w:p>
          <w:p/>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522" w:type="dxa"/>
          </w:tcPr>
          <w:p/>
          <w:p/>
          <w:p>
            <w:r>
              <w:rPr>
                <w:rFonts w:hint="eastAsia"/>
              </w:rPr>
              <w:t>初审意见：</w:t>
            </w:r>
          </w:p>
          <w:p/>
          <w:p/>
          <w:p/>
          <w:p/>
          <w:p/>
          <w:p/>
          <w:p/>
          <w:p/>
          <w:p/>
          <w:p/>
          <w:p/>
          <w:p/>
          <w:p/>
          <w:p/>
          <w:p/>
          <w:p/>
          <w:p/>
          <w:p/>
          <w:p/>
          <w:p>
            <w:pPr>
              <w:ind w:firstLine="5040" w:firstLineChars="2400"/>
            </w:pPr>
            <w:r>
              <w:rPr>
                <w:rFonts w:hint="eastAsia"/>
              </w:rPr>
              <w:t>辖区</w:t>
            </w:r>
            <w:r>
              <w:rPr>
                <w:rFonts w:hint="eastAsia"/>
                <w:lang w:val="en-US" w:eastAsia="zh-CN"/>
              </w:rPr>
              <w:t>工</w:t>
            </w:r>
            <w:r>
              <w:rPr>
                <w:rFonts w:hint="eastAsia"/>
              </w:rPr>
              <w:t>信局/产业（经发）局</w:t>
            </w:r>
            <w:r>
              <w:rPr>
                <w:rFonts w:hint="eastAsia"/>
                <w:b/>
              </w:rPr>
              <w:t>（公章）</w:t>
            </w:r>
          </w:p>
          <w:p/>
          <w:p/>
          <w:p>
            <w:pPr>
              <w:ind w:left="4305" w:hanging="4305" w:hangingChars="2050"/>
            </w:pPr>
            <w:r>
              <w:rPr>
                <w:rFonts w:hint="eastAsia"/>
              </w:rPr>
              <w:t xml:space="preserve">                                                                                    日期：         年        月        日</w:t>
            </w:r>
          </w:p>
          <w:p/>
          <w:p/>
        </w:tc>
      </w:tr>
    </w:tbl>
    <w:p>
      <w:pPr>
        <w:rPr>
          <w:rFonts w:asciiTheme="minorEastAsia" w:hAnsiTheme="minorEastAsia"/>
          <w:szCs w:val="21"/>
        </w:rPr>
        <w:sectPr>
          <w:pgSz w:w="11906" w:h="16838"/>
          <w:pgMar w:top="1440" w:right="1800" w:bottom="1440" w:left="1800" w:header="964" w:footer="992" w:gutter="0"/>
          <w:cols w:space="425" w:num="1"/>
          <w:docGrid w:type="lines" w:linePitch="312" w:charSpace="0"/>
        </w:sectPr>
      </w:pPr>
      <w:r>
        <w:rPr>
          <w:rFonts w:hint="eastAsia" w:asciiTheme="minorEastAsia" w:hAnsiTheme="minorEastAsia"/>
          <w:szCs w:val="21"/>
        </w:rPr>
        <w:t>备注：本表须编排装订在审核报告（送审稿）及（最终稿）文本</w:t>
      </w:r>
    </w:p>
    <w:p>
      <w:pPr>
        <w:pStyle w:val="2"/>
        <w:widowControl w:val="0"/>
        <w:adjustRightInd/>
        <w:snapToGrid/>
        <w:spacing w:beforeLines="50" w:after="0" w:line="360" w:lineRule="auto"/>
        <w:ind w:firstLine="199" w:firstLineChars="55"/>
        <w:jc w:val="center"/>
        <w:rPr>
          <w:rFonts w:ascii="宋体" w:hAnsi="宋体" w:eastAsia="宋体" w:cs="Times New Roman"/>
          <w:sz w:val="36"/>
          <w:szCs w:val="36"/>
        </w:rPr>
      </w:pPr>
      <w:bookmarkStart w:id="376" w:name="_Toc10102"/>
      <w:r>
        <w:rPr>
          <w:rFonts w:hint="eastAsia" w:ascii="宋体" w:hAnsi="宋体" w:eastAsia="宋体" w:cs="Times New Roman"/>
          <w:sz w:val="36"/>
          <w:szCs w:val="36"/>
        </w:rPr>
        <w:t>十一、清洁生产审核报告书附件资料</w:t>
      </w:r>
      <w:bookmarkEnd w:id="376"/>
    </w:p>
    <w:p>
      <w:pPr>
        <w:pStyle w:val="3"/>
        <w:numPr>
          <w:ilvl w:val="0"/>
          <w:numId w:val="0"/>
        </w:numPr>
        <w:spacing w:before="0" w:after="0" w:line="240" w:lineRule="auto"/>
        <w:ind w:left="151" w:leftChars="0"/>
        <w:rPr>
          <w:rFonts w:hint="eastAsia"/>
          <w:kern w:val="2"/>
          <w:sz w:val="30"/>
          <w:szCs w:val="30"/>
        </w:rPr>
      </w:pPr>
      <w:bookmarkStart w:id="377" w:name="_Toc17489"/>
      <w:r>
        <w:rPr>
          <w:rFonts w:hint="eastAsia"/>
          <w:kern w:val="2"/>
          <w:sz w:val="30"/>
          <w:szCs w:val="30"/>
          <w:lang w:eastAsia="zh-CN"/>
        </w:rPr>
        <w:t>（</w:t>
      </w:r>
      <w:r>
        <w:rPr>
          <w:rFonts w:hint="eastAsia"/>
          <w:kern w:val="2"/>
          <w:sz w:val="30"/>
          <w:szCs w:val="30"/>
          <w:lang w:val="en-US" w:eastAsia="zh-CN"/>
        </w:rPr>
        <w:t>1</w:t>
      </w:r>
      <w:r>
        <w:rPr>
          <w:rFonts w:hint="eastAsia"/>
          <w:kern w:val="2"/>
          <w:sz w:val="30"/>
          <w:szCs w:val="30"/>
          <w:lang w:eastAsia="zh-CN"/>
        </w:rPr>
        <w:t>）</w:t>
      </w:r>
      <w:r>
        <w:rPr>
          <w:rFonts w:hint="eastAsia"/>
          <w:kern w:val="2"/>
          <w:sz w:val="30"/>
          <w:szCs w:val="30"/>
        </w:rPr>
        <w:t>企业法人营业执照</w:t>
      </w:r>
      <w:bookmarkEnd w:id="377"/>
    </w:p>
    <w:p>
      <w:pPr>
        <w:jc w:val="center"/>
      </w:pPr>
      <w:r>
        <w:drawing>
          <wp:inline distT="0" distB="0" distL="114300" distR="114300">
            <wp:extent cx="8851265" cy="4381500"/>
            <wp:effectExtent l="0" t="0" r="6985" b="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27"/>
                    <a:stretch>
                      <a:fillRect/>
                    </a:stretch>
                  </pic:blipFill>
                  <pic:spPr>
                    <a:xfrm>
                      <a:off x="0" y="0"/>
                      <a:ext cx="8851265" cy="4381500"/>
                    </a:xfrm>
                    <a:prstGeom prst="rect">
                      <a:avLst/>
                    </a:prstGeom>
                    <a:noFill/>
                    <a:ln>
                      <a:noFill/>
                    </a:ln>
                  </pic:spPr>
                </pic:pic>
              </a:graphicData>
            </a:graphic>
          </wp:inline>
        </w:drawing>
      </w:r>
    </w:p>
    <w:p>
      <w:pPr>
        <w:widowControl/>
        <w:jc w:val="center"/>
        <w:rPr>
          <w:rFonts w:ascii="Times New Roman" w:hAnsi="Times New Roman" w:eastAsia="宋体"/>
          <w:sz w:val="24"/>
          <w:szCs w:val="24"/>
        </w:rPr>
        <w:sectPr>
          <w:pgSz w:w="16838" w:h="11906" w:orient="landscape"/>
          <w:pgMar w:top="1800" w:right="1440" w:bottom="1800" w:left="1440" w:header="964" w:footer="992" w:gutter="0"/>
          <w:cols w:space="425" w:num="1"/>
          <w:docGrid w:type="lines" w:linePitch="312" w:charSpace="0"/>
        </w:sectPr>
      </w:pPr>
    </w:p>
    <w:p>
      <w:pPr>
        <w:pStyle w:val="3"/>
        <w:spacing w:before="0" w:after="0" w:line="240" w:lineRule="auto"/>
        <w:rPr>
          <w:kern w:val="2"/>
          <w:sz w:val="30"/>
          <w:szCs w:val="30"/>
        </w:rPr>
      </w:pPr>
      <w:bookmarkStart w:id="378" w:name="_Toc22906325"/>
      <w:bookmarkStart w:id="379" w:name="_Toc14334"/>
      <w:r>
        <w:rPr>
          <w:rFonts w:hint="eastAsia"/>
          <w:kern w:val="2"/>
          <w:sz w:val="30"/>
          <w:szCs w:val="30"/>
        </w:rPr>
        <w:t>（2）咨询服务机构相关资料</w:t>
      </w:r>
      <w:bookmarkEnd w:id="378"/>
      <w:bookmarkEnd w:id="379"/>
    </w:p>
    <w:p>
      <w:pPr>
        <w:spacing w:line="360" w:lineRule="auto"/>
        <w:ind w:firstLine="360" w:firstLineChars="150"/>
        <w:rPr>
          <w:rFonts w:ascii="Times New Roman" w:hAnsi="Times New Roman" w:eastAsia="宋体"/>
          <w:sz w:val="24"/>
          <w:szCs w:val="24"/>
        </w:rPr>
      </w:pPr>
      <w:r>
        <w:rPr>
          <w:rFonts w:hint="eastAsia" w:ascii="Times New Roman" w:hAnsi="Times New Roman" w:eastAsia="宋体" w:cs="Times New Roman"/>
          <w:sz w:val="24"/>
          <w:szCs w:val="24"/>
        </w:rPr>
        <w:t>1、企业法人营业执照</w:t>
      </w:r>
    </w:p>
    <w:p>
      <w:pPr>
        <w:jc w:val="both"/>
        <w:sectPr>
          <w:pgSz w:w="16838" w:h="11906" w:orient="landscape"/>
          <w:pgMar w:top="1800" w:right="1440" w:bottom="1800" w:left="1440" w:header="964" w:footer="992" w:gutter="0"/>
          <w:cols w:space="425" w:num="1"/>
          <w:docGrid w:type="lines" w:linePitch="312" w:charSpace="0"/>
        </w:sectPr>
      </w:pPr>
      <w:r>
        <w:drawing>
          <wp:inline distT="0" distB="0" distL="114300" distR="114300">
            <wp:extent cx="8860155" cy="4563745"/>
            <wp:effectExtent l="0" t="0" r="17145" b="825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8"/>
                    <a:stretch>
                      <a:fillRect/>
                    </a:stretch>
                  </pic:blipFill>
                  <pic:spPr>
                    <a:xfrm>
                      <a:off x="0" y="0"/>
                      <a:ext cx="8860155" cy="4563745"/>
                    </a:xfrm>
                    <a:prstGeom prst="rect">
                      <a:avLst/>
                    </a:prstGeom>
                    <a:noFill/>
                    <a:ln>
                      <a:noFill/>
                    </a:ln>
                  </pic:spPr>
                </pic:pic>
              </a:graphicData>
            </a:graphic>
          </wp:inline>
        </w:drawing>
      </w:r>
    </w:p>
    <w:p>
      <w:pPr>
        <w:spacing w:line="360" w:lineRule="auto"/>
        <w:ind w:firstLine="360" w:firstLineChars="150"/>
        <w:rPr>
          <w:rFonts w:ascii="Times New Roman" w:hAnsi="Times New Roman" w:eastAsia="宋体" w:cs="Times New Roman"/>
          <w:sz w:val="24"/>
          <w:szCs w:val="24"/>
        </w:rPr>
      </w:pPr>
      <w:r>
        <w:rPr>
          <w:rFonts w:hint="eastAsia" w:ascii="Times New Roman" w:hAnsi="Times New Roman" w:eastAsia="宋体" w:cs="Times New Roman"/>
          <w:sz w:val="24"/>
          <w:szCs w:val="24"/>
        </w:rPr>
        <w:t>2、从事清洁生产审核人员证书</w:t>
      </w:r>
    </w:p>
    <w:p>
      <w:pPr>
        <w:pStyle w:val="53"/>
        <w:spacing w:beforeLines="50"/>
        <w:ind w:left="0" w:firstLine="0" w:firstLineChars="0"/>
        <w:rPr>
          <w:rFonts w:hint="eastAsia" w:ascii="宋体" w:hAnsi="宋体" w:eastAsia="宋体" w:cs="宋体"/>
          <w:b/>
          <w:sz w:val="24"/>
          <w:szCs w:val="24"/>
        </w:rPr>
      </w:pPr>
    </w:p>
    <w:p>
      <w:pPr>
        <w:pStyle w:val="53"/>
        <w:spacing w:beforeLines="50"/>
        <w:ind w:left="0" w:firstLine="0" w:firstLineChars="0"/>
      </w:pPr>
      <w:r>
        <w:rPr>
          <w:rFonts w:hint="eastAsia"/>
          <w:lang w:val="en-US" w:bidi="ar-SA"/>
        </w:rPr>
        <w:drawing>
          <wp:inline distT="0" distB="0" distL="0" distR="0">
            <wp:extent cx="5400040" cy="3693795"/>
            <wp:effectExtent l="0" t="0" r="10160" b="190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29" cstate="print"/>
                    <a:srcRect/>
                    <a:stretch>
                      <a:fillRect/>
                    </a:stretch>
                  </pic:blipFill>
                  <pic:spPr>
                    <a:xfrm>
                      <a:off x="0" y="0"/>
                      <a:ext cx="5400040" cy="3694145"/>
                    </a:xfrm>
                    <a:prstGeom prst="rect">
                      <a:avLst/>
                    </a:prstGeom>
                    <a:noFill/>
                    <a:ln w="9525">
                      <a:noFill/>
                      <a:miter lim="800000"/>
                      <a:headEnd/>
                      <a:tailEnd/>
                    </a:ln>
                  </pic:spPr>
                </pic:pic>
              </a:graphicData>
            </a:graphic>
          </wp:inline>
        </w:drawing>
      </w:r>
      <w:r>
        <w:drawing>
          <wp:inline distT="0" distB="0" distL="0" distR="0">
            <wp:extent cx="5274310" cy="3583305"/>
            <wp:effectExtent l="0" t="0" r="2540" b="17145"/>
            <wp:docPr id="69" name="图片 1" descr="G:\数据恢复\清洁生产师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descr="G:\数据恢复\清洁生产师证书.jpg"/>
                    <pic:cNvPicPr>
                      <a:picLocks noChangeAspect="1" noChangeArrowheads="1"/>
                    </pic:cNvPicPr>
                  </pic:nvPicPr>
                  <pic:blipFill>
                    <a:blip r:embed="rId30" cstate="print">
                      <a:grayscl/>
                    </a:blip>
                    <a:srcRect/>
                    <a:stretch>
                      <a:fillRect/>
                    </a:stretch>
                  </pic:blipFill>
                  <pic:spPr>
                    <a:xfrm>
                      <a:off x="0" y="0"/>
                      <a:ext cx="5274310" cy="3583305"/>
                    </a:xfrm>
                    <a:prstGeom prst="rect">
                      <a:avLst/>
                    </a:prstGeom>
                    <a:noFill/>
                    <a:ln w="9525">
                      <a:noFill/>
                      <a:miter lim="800000"/>
                      <a:headEnd/>
                      <a:tailEnd/>
                    </a:ln>
                  </pic:spPr>
                </pic:pic>
              </a:graphicData>
            </a:graphic>
          </wp:inline>
        </w:drawing>
      </w:r>
      <w:r>
        <w:drawing>
          <wp:inline distT="0" distB="0" distL="0" distR="0">
            <wp:extent cx="5274310" cy="3575685"/>
            <wp:effectExtent l="0" t="0" r="2540" b="571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noChangeArrowheads="1"/>
                    </pic:cNvPicPr>
                  </pic:nvPicPr>
                  <pic:blipFill>
                    <a:blip r:embed="rId31" cstate="print"/>
                    <a:srcRect/>
                    <a:stretch>
                      <a:fillRect/>
                    </a:stretch>
                  </pic:blipFill>
                  <pic:spPr>
                    <a:xfrm>
                      <a:off x="0" y="0"/>
                      <a:ext cx="5274310" cy="3575685"/>
                    </a:xfrm>
                    <a:prstGeom prst="rect">
                      <a:avLst/>
                    </a:prstGeom>
                    <a:noFill/>
                    <a:ln w="9525">
                      <a:noFill/>
                      <a:miter lim="800000"/>
                      <a:headEnd/>
                      <a:tailEnd/>
                    </a:ln>
                  </pic:spPr>
                </pic:pic>
              </a:graphicData>
            </a:graphic>
          </wp:inline>
        </w:drawing>
      </w:r>
      <w:r>
        <w:drawing>
          <wp:inline distT="0" distB="0" distL="0" distR="0">
            <wp:extent cx="5274310" cy="3569970"/>
            <wp:effectExtent l="0" t="0" r="2540" b="11430"/>
            <wp:docPr id="74" name="图片 3" descr="D:\用户目录\我的文档\Tencent Files\307412061\FileRecv\周民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descr="D:\用户目录\我的文档\Tencent Files\307412061\FileRecv\周民生.jpg"/>
                    <pic:cNvPicPr>
                      <a:picLocks noChangeAspect="1" noChangeArrowheads="1"/>
                    </pic:cNvPicPr>
                  </pic:nvPicPr>
                  <pic:blipFill>
                    <a:blip r:embed="rId32" cstate="print"/>
                    <a:srcRect/>
                    <a:stretch>
                      <a:fillRect/>
                    </a:stretch>
                  </pic:blipFill>
                  <pic:spPr>
                    <a:xfrm>
                      <a:off x="0" y="0"/>
                      <a:ext cx="5274310" cy="3569970"/>
                    </a:xfrm>
                    <a:prstGeom prst="rect">
                      <a:avLst/>
                    </a:prstGeom>
                    <a:noFill/>
                    <a:ln w="9525">
                      <a:noFill/>
                      <a:miter lim="800000"/>
                      <a:headEnd/>
                      <a:tailEnd/>
                    </a:ln>
                  </pic:spPr>
                </pic:pic>
              </a:graphicData>
            </a:graphic>
          </wp:inline>
        </w:drawing>
      </w:r>
    </w:p>
    <w:p>
      <w:pPr>
        <w:widowControl/>
        <w:spacing w:line="240" w:lineRule="auto"/>
        <w:ind w:firstLine="0" w:firstLineChars="0"/>
        <w:jc w:val="left"/>
        <w:rPr>
          <w:rFonts w:ascii="Times New Roman" w:hAnsi="Times New Roman" w:eastAsia="宋体"/>
          <w:sz w:val="24"/>
          <w:szCs w:val="24"/>
        </w:rPr>
      </w:pPr>
      <w:r>
        <w:rPr>
          <w:rFonts w:ascii="Times New Roman" w:hAnsi="Times New Roman" w:eastAsia="宋体"/>
          <w:sz w:val="24"/>
          <w:szCs w:val="24"/>
        </w:rPr>
        <w:br w:type="page"/>
      </w:r>
    </w:p>
    <w:p>
      <w:pPr>
        <w:pStyle w:val="3"/>
        <w:spacing w:before="0" w:after="0" w:line="240" w:lineRule="auto"/>
        <w:ind w:firstLine="151" w:firstLineChars="50"/>
        <w:rPr>
          <w:rFonts w:ascii="Times New Roman" w:hAnsi="Times New Roman" w:cs="Times New Roman"/>
          <w:snapToGrid w:val="0"/>
          <w:color w:val="000000" w:themeColor="text1"/>
          <w:w w:val="0"/>
          <w:kern w:val="0"/>
          <w:sz w:val="0"/>
          <w:szCs w:val="0"/>
          <w:u w:color="000000"/>
          <w:shd w:val="clear" w:color="000000" w:fill="000000"/>
        </w:rPr>
      </w:pPr>
      <w:bookmarkStart w:id="380" w:name="_Toc4201"/>
      <w:bookmarkStart w:id="381" w:name="_Toc22906326"/>
      <w:r>
        <w:rPr>
          <w:rFonts w:hint="eastAsia"/>
          <w:color w:val="000000" w:themeColor="text1"/>
          <w:kern w:val="2"/>
          <w:sz w:val="30"/>
          <w:szCs w:val="30"/>
        </w:rPr>
        <w:t>（3）本次清洁生产审核双方服务合同、记录等</w:t>
      </w:r>
      <w:bookmarkEnd w:id="380"/>
      <w:bookmarkEnd w:id="381"/>
    </w:p>
    <w:p>
      <w:pPr>
        <w:jc w:val="center"/>
      </w:pPr>
      <w:r>
        <w:drawing>
          <wp:inline distT="0" distB="0" distL="114300" distR="114300">
            <wp:extent cx="5269230" cy="7593330"/>
            <wp:effectExtent l="0" t="0" r="7620" b="762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33"/>
                    <a:stretch>
                      <a:fillRect/>
                    </a:stretch>
                  </pic:blipFill>
                  <pic:spPr>
                    <a:xfrm>
                      <a:off x="0" y="0"/>
                      <a:ext cx="5269230" cy="7593330"/>
                    </a:xfrm>
                    <a:prstGeom prst="rect">
                      <a:avLst/>
                    </a:prstGeom>
                    <a:noFill/>
                    <a:ln>
                      <a:noFill/>
                    </a:ln>
                  </pic:spPr>
                </pic:pic>
              </a:graphicData>
            </a:graphic>
          </wp:inline>
        </w:drawing>
      </w:r>
    </w:p>
    <w:p>
      <w:r>
        <w:br w:type="page"/>
      </w:r>
    </w:p>
    <w:p>
      <w:pPr>
        <w:pStyle w:val="3"/>
        <w:spacing w:before="0" w:after="0" w:line="240" w:lineRule="auto"/>
        <w:ind w:firstLine="151" w:firstLineChars="50"/>
        <w:rPr>
          <w:rFonts w:hint="eastAsia" w:eastAsia="宋体" w:cs="Times New Roman"/>
          <w:kern w:val="2"/>
          <w:sz w:val="30"/>
          <w:szCs w:val="30"/>
          <w:lang w:val="en-US" w:eastAsia="zh-CN"/>
        </w:rPr>
      </w:pPr>
      <w:bookmarkStart w:id="382" w:name="_Toc30271"/>
      <w:r>
        <w:rPr>
          <w:rFonts w:hint="eastAsia" w:eastAsia="宋体" w:cs="Times New Roman"/>
          <w:kern w:val="2"/>
          <w:sz w:val="30"/>
          <w:szCs w:val="30"/>
          <w:lang w:val="en-US" w:eastAsia="zh-CN"/>
        </w:rPr>
        <w:t>（4）方案</w:t>
      </w:r>
      <w:r>
        <w:rPr>
          <w:rFonts w:hint="eastAsia" w:cs="Times New Roman"/>
          <w:kern w:val="2"/>
          <w:sz w:val="30"/>
          <w:szCs w:val="30"/>
          <w:lang w:val="en-US" w:eastAsia="zh-CN"/>
        </w:rPr>
        <w:t>F2-2：更换牵引链条”</w:t>
      </w:r>
      <w:r>
        <w:rPr>
          <w:rFonts w:hint="eastAsia" w:eastAsia="宋体" w:cs="Times New Roman"/>
          <w:kern w:val="2"/>
          <w:sz w:val="30"/>
          <w:szCs w:val="30"/>
          <w:lang w:val="en-US" w:eastAsia="zh-CN"/>
        </w:rPr>
        <w:t>实施完成佐证材料</w:t>
      </w:r>
      <w:bookmarkEnd w:id="382"/>
    </w:p>
    <w:p>
      <w:pPr>
        <w:pStyle w:val="11"/>
        <w:jc w:val="center"/>
      </w:pPr>
      <w:r>
        <w:drawing>
          <wp:inline distT="0" distB="0" distL="114300" distR="114300">
            <wp:extent cx="5270500" cy="7304405"/>
            <wp:effectExtent l="0" t="0" r="6350" b="1079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34"/>
                    <a:stretch>
                      <a:fillRect/>
                    </a:stretch>
                  </pic:blipFill>
                  <pic:spPr>
                    <a:xfrm>
                      <a:off x="0" y="0"/>
                      <a:ext cx="5270500" cy="7304405"/>
                    </a:xfrm>
                    <a:prstGeom prst="rect">
                      <a:avLst/>
                    </a:prstGeom>
                    <a:noFill/>
                    <a:ln>
                      <a:noFill/>
                    </a:ln>
                  </pic:spPr>
                </pic:pic>
              </a:graphicData>
            </a:graphic>
          </wp:inline>
        </w:drawing>
      </w:r>
    </w:p>
    <w:p>
      <w:pPr>
        <w:pStyle w:val="3"/>
        <w:spacing w:before="0" w:after="0" w:line="240" w:lineRule="auto"/>
      </w:pPr>
      <w:bookmarkStart w:id="383" w:name="_Toc22906327"/>
      <w:r>
        <w:drawing>
          <wp:inline distT="0" distB="0" distL="114300" distR="114300">
            <wp:extent cx="5271770" cy="6885305"/>
            <wp:effectExtent l="0" t="0" r="5080" b="1079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35"/>
                    <a:stretch>
                      <a:fillRect/>
                    </a:stretch>
                  </pic:blipFill>
                  <pic:spPr>
                    <a:xfrm>
                      <a:off x="0" y="0"/>
                      <a:ext cx="5271770" cy="6885305"/>
                    </a:xfrm>
                    <a:prstGeom prst="rect">
                      <a:avLst/>
                    </a:prstGeom>
                    <a:noFill/>
                    <a:ln>
                      <a:noFill/>
                    </a:ln>
                  </pic:spPr>
                </pic:pic>
              </a:graphicData>
            </a:graphic>
          </wp:inline>
        </w:drawing>
      </w:r>
    </w:p>
    <w:p>
      <w:pPr>
        <w:jc w:val="center"/>
        <w:rPr>
          <w:rFonts w:hint="default" w:eastAsiaTheme="minorEastAsia"/>
          <w:lang w:val="en-US" w:eastAsia="zh-CN"/>
        </w:rPr>
        <w:sectPr>
          <w:pgSz w:w="11906" w:h="16838"/>
          <w:pgMar w:top="1440" w:right="1800" w:bottom="1440" w:left="1800" w:header="964" w:footer="992" w:gutter="0"/>
          <w:cols w:space="425" w:num="1"/>
          <w:docGrid w:type="lines" w:linePitch="312" w:charSpace="0"/>
        </w:sectPr>
      </w:pPr>
      <w:r>
        <w:rPr>
          <w:rFonts w:hint="eastAsia"/>
          <w:lang w:val="en-US" w:eastAsia="zh-CN"/>
        </w:rPr>
        <w:t>实施后照片</w:t>
      </w:r>
    </w:p>
    <w:p>
      <w:pPr>
        <w:pStyle w:val="3"/>
        <w:spacing w:before="0" w:after="0" w:line="240" w:lineRule="auto"/>
        <w:rPr>
          <w:kern w:val="2"/>
          <w:sz w:val="30"/>
          <w:szCs w:val="30"/>
        </w:rPr>
      </w:pPr>
      <w:bookmarkStart w:id="384" w:name="_Toc6958"/>
      <w:r>
        <w:rPr>
          <w:rFonts w:hint="eastAsia"/>
          <w:kern w:val="2"/>
          <w:sz w:val="30"/>
          <w:szCs w:val="30"/>
        </w:rPr>
        <w:t>（</w:t>
      </w:r>
      <w:r>
        <w:rPr>
          <w:rFonts w:hint="eastAsia"/>
          <w:kern w:val="2"/>
          <w:sz w:val="30"/>
          <w:szCs w:val="30"/>
          <w:lang w:val="en-US" w:eastAsia="zh-CN"/>
        </w:rPr>
        <w:t>5</w:t>
      </w:r>
      <w:r>
        <w:rPr>
          <w:rFonts w:hint="eastAsia"/>
          <w:kern w:val="2"/>
          <w:sz w:val="30"/>
          <w:szCs w:val="30"/>
        </w:rPr>
        <w:t>）审核领导小组，管理制度和激励制度</w:t>
      </w:r>
      <w:bookmarkEnd w:id="383"/>
      <w:bookmarkEnd w:id="384"/>
    </w:p>
    <w:p>
      <w:pPr>
        <w:pStyle w:val="42"/>
        <w:jc w:val="left"/>
        <w:rPr>
          <w:rFonts w:asciiTheme="minorEastAsia" w:hAnsiTheme="minorEastAsia" w:eastAsiaTheme="minorEastAsia"/>
          <w:b/>
        </w:rPr>
      </w:pPr>
      <w:r>
        <w:rPr>
          <w:rFonts w:hint="eastAsia" w:asciiTheme="minorEastAsia" w:hAnsiTheme="minorEastAsia" w:eastAsiaTheme="minorEastAsia"/>
          <w:b/>
        </w:rPr>
        <w:t>1、企业</w:t>
      </w:r>
      <w:r>
        <w:rPr>
          <w:rFonts w:asciiTheme="minorEastAsia" w:hAnsiTheme="minorEastAsia" w:eastAsiaTheme="minorEastAsia"/>
          <w:b/>
        </w:rPr>
        <w:t>清洁生产</w:t>
      </w:r>
      <w:r>
        <w:rPr>
          <w:rFonts w:hint="eastAsia" w:asciiTheme="minorEastAsia" w:hAnsiTheme="minorEastAsia" w:eastAsiaTheme="minorEastAsia"/>
          <w:b/>
        </w:rPr>
        <w:t>审核</w:t>
      </w:r>
      <w:r>
        <w:rPr>
          <w:rFonts w:asciiTheme="minorEastAsia" w:hAnsiTheme="minorEastAsia" w:eastAsiaTheme="minorEastAsia"/>
          <w:b/>
        </w:rPr>
        <w:t>小组成员表</w:t>
      </w:r>
    </w:p>
    <w:p>
      <w:pPr>
        <w:pStyle w:val="42"/>
        <w:rPr>
          <w:rFonts w:asciiTheme="minorEastAsia" w:hAnsiTheme="minorEastAsia" w:eastAsiaTheme="minorEastAsia"/>
          <w:b/>
        </w:rPr>
      </w:pPr>
      <w:r>
        <w:rPr>
          <w:rFonts w:hint="eastAsia" w:asciiTheme="minorEastAsia" w:hAnsiTheme="minorEastAsia" w:eastAsiaTheme="minorEastAsia"/>
          <w:b/>
        </w:rPr>
        <w:t>企业</w:t>
      </w:r>
      <w:r>
        <w:rPr>
          <w:rFonts w:asciiTheme="minorEastAsia" w:hAnsiTheme="minorEastAsia" w:eastAsiaTheme="minorEastAsia"/>
          <w:b/>
        </w:rPr>
        <w:t>清洁生产</w:t>
      </w:r>
      <w:r>
        <w:rPr>
          <w:rFonts w:hint="eastAsia" w:asciiTheme="minorEastAsia" w:hAnsiTheme="minorEastAsia" w:eastAsiaTheme="minorEastAsia"/>
          <w:b/>
        </w:rPr>
        <w:t>审核</w:t>
      </w:r>
      <w:r>
        <w:rPr>
          <w:rFonts w:asciiTheme="minorEastAsia" w:hAnsiTheme="minorEastAsia" w:eastAsiaTheme="minorEastAsia"/>
          <w:b/>
        </w:rPr>
        <w:t>小组成员表</w:t>
      </w:r>
    </w:p>
    <w:tbl>
      <w:tblPr>
        <w:tblStyle w:val="27"/>
        <w:tblpPr w:leftFromText="180" w:rightFromText="180" w:vertAnchor="text" w:horzAnchor="page" w:tblpX="1700" w:tblpY="481"/>
        <w:tblOverlap w:val="never"/>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1132"/>
        <w:gridCol w:w="1559"/>
        <w:gridCol w:w="49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03" w:type="dxa"/>
            <w:vAlign w:val="center"/>
          </w:tcPr>
          <w:p>
            <w:pPr>
              <w:pStyle w:val="44"/>
              <w:snapToGrid w:val="0"/>
              <w:spacing w:line="240" w:lineRule="auto"/>
              <w:rPr>
                <w:rFonts w:ascii="宋体" w:hAnsi="宋体" w:eastAsia="宋体"/>
                <w:szCs w:val="21"/>
              </w:rPr>
            </w:pPr>
            <w:r>
              <w:rPr>
                <w:rFonts w:ascii="宋体" w:hAnsi="宋体" w:eastAsia="宋体"/>
                <w:szCs w:val="21"/>
              </w:rPr>
              <w:t>姓名</w:t>
            </w:r>
          </w:p>
        </w:tc>
        <w:tc>
          <w:tcPr>
            <w:tcW w:w="1132" w:type="dxa"/>
            <w:vAlign w:val="center"/>
          </w:tcPr>
          <w:p>
            <w:pPr>
              <w:pStyle w:val="44"/>
              <w:snapToGrid w:val="0"/>
              <w:spacing w:line="240" w:lineRule="auto"/>
              <w:rPr>
                <w:rFonts w:ascii="宋体" w:hAnsi="宋体" w:eastAsia="宋体"/>
                <w:szCs w:val="21"/>
              </w:rPr>
            </w:pPr>
            <w:r>
              <w:rPr>
                <w:rFonts w:ascii="宋体" w:hAnsi="宋体" w:eastAsia="宋体"/>
                <w:szCs w:val="21"/>
              </w:rPr>
              <w:t>审核小组</w:t>
            </w:r>
          </w:p>
          <w:p>
            <w:pPr>
              <w:pStyle w:val="44"/>
              <w:snapToGrid w:val="0"/>
              <w:spacing w:line="240" w:lineRule="auto"/>
              <w:rPr>
                <w:rFonts w:ascii="宋体" w:hAnsi="宋体" w:eastAsia="宋体"/>
                <w:szCs w:val="21"/>
              </w:rPr>
            </w:pPr>
            <w:r>
              <w:rPr>
                <w:rFonts w:ascii="宋体" w:hAnsi="宋体" w:eastAsia="宋体"/>
                <w:szCs w:val="21"/>
              </w:rPr>
              <w:t>职务</w:t>
            </w:r>
          </w:p>
        </w:tc>
        <w:tc>
          <w:tcPr>
            <w:tcW w:w="1559" w:type="dxa"/>
            <w:vAlign w:val="center"/>
          </w:tcPr>
          <w:p>
            <w:pPr>
              <w:pStyle w:val="44"/>
              <w:snapToGrid w:val="0"/>
              <w:spacing w:line="240" w:lineRule="auto"/>
              <w:rPr>
                <w:rFonts w:ascii="宋体" w:hAnsi="宋体" w:eastAsia="宋体"/>
                <w:szCs w:val="21"/>
              </w:rPr>
            </w:pPr>
            <w:r>
              <w:rPr>
                <w:rFonts w:ascii="宋体" w:hAnsi="宋体" w:eastAsia="宋体"/>
                <w:szCs w:val="21"/>
              </w:rPr>
              <w:t>来自部门及职务</w:t>
            </w:r>
          </w:p>
        </w:tc>
        <w:tc>
          <w:tcPr>
            <w:tcW w:w="4926" w:type="dxa"/>
            <w:vAlign w:val="center"/>
          </w:tcPr>
          <w:p>
            <w:pPr>
              <w:pStyle w:val="44"/>
              <w:snapToGrid w:val="0"/>
              <w:spacing w:line="240" w:lineRule="auto"/>
              <w:rPr>
                <w:rFonts w:ascii="宋体" w:hAnsi="宋体" w:eastAsia="宋体"/>
                <w:szCs w:val="21"/>
              </w:rPr>
            </w:pPr>
            <w:r>
              <w:rPr>
                <w:rFonts w:ascii="宋体" w:hAnsi="宋体" w:eastAsia="宋体"/>
                <w:szCs w:val="21"/>
              </w:rPr>
              <w:t>审核职责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刘光辉</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组长</w:t>
            </w:r>
          </w:p>
        </w:tc>
        <w:tc>
          <w:tcPr>
            <w:tcW w:w="1559" w:type="dxa"/>
            <w:vAlign w:val="center"/>
          </w:tcPr>
          <w:p>
            <w:pPr>
              <w:pStyle w:val="45"/>
              <w:spacing w:line="240" w:lineRule="auto"/>
              <w:rPr>
                <w:rFonts w:ascii="宋体" w:hAnsi="宋体" w:eastAsia="宋体"/>
                <w:szCs w:val="21"/>
              </w:rPr>
            </w:pPr>
            <w:r>
              <w:rPr>
                <w:rFonts w:hint="eastAsia" w:ascii="宋体" w:hAnsi="宋体" w:eastAsia="宋体"/>
                <w:szCs w:val="21"/>
              </w:rPr>
              <w:t>总经理</w:t>
            </w:r>
          </w:p>
        </w:tc>
        <w:tc>
          <w:tcPr>
            <w:tcW w:w="4926" w:type="dxa"/>
            <w:vAlign w:val="center"/>
          </w:tcPr>
          <w:p>
            <w:pPr>
              <w:rPr>
                <w:rFonts w:ascii="宋体" w:hAnsi="宋体" w:eastAsia="宋体"/>
                <w:szCs w:val="21"/>
              </w:rPr>
            </w:pPr>
            <w:r>
              <w:rPr>
                <w:rFonts w:ascii="宋体" w:hAnsi="宋体" w:eastAsia="宋体"/>
                <w:szCs w:val="21"/>
              </w:rPr>
              <w:t>全面领导统筹，安排各部门的清洁生产工作，批准中/高费方案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6"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卢中华</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副组长</w:t>
            </w:r>
          </w:p>
        </w:tc>
        <w:tc>
          <w:tcPr>
            <w:tcW w:w="1559" w:type="dxa"/>
            <w:vAlign w:val="center"/>
          </w:tcPr>
          <w:p>
            <w:pPr>
              <w:pStyle w:val="45"/>
              <w:spacing w:line="240" w:lineRule="auto"/>
              <w:rPr>
                <w:rFonts w:ascii="宋体" w:hAnsi="宋体" w:eastAsia="宋体"/>
                <w:szCs w:val="21"/>
              </w:rPr>
            </w:pPr>
            <w:r>
              <w:rPr>
                <w:rFonts w:hint="eastAsia" w:ascii="宋体" w:hAnsi="宋体" w:eastAsia="宋体"/>
                <w:szCs w:val="21"/>
              </w:rPr>
              <w:t>运营总监</w:t>
            </w:r>
          </w:p>
        </w:tc>
        <w:tc>
          <w:tcPr>
            <w:tcW w:w="4926" w:type="dxa"/>
            <w:vAlign w:val="center"/>
          </w:tcPr>
          <w:p>
            <w:pPr>
              <w:rPr>
                <w:rFonts w:ascii="宋体" w:hAnsi="宋体" w:eastAsia="宋体"/>
                <w:szCs w:val="21"/>
              </w:rPr>
            </w:pPr>
            <w:r>
              <w:rPr>
                <w:rFonts w:ascii="宋体" w:hAnsi="宋体" w:eastAsia="宋体"/>
                <w:szCs w:val="21"/>
              </w:rPr>
              <w:t>配合组长，组织协调各部门、各阶段的审核工作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3" w:type="dxa"/>
            <w:vAlign w:val="center"/>
          </w:tcPr>
          <w:p>
            <w:pPr>
              <w:pStyle w:val="45"/>
              <w:spacing w:line="240" w:lineRule="auto"/>
              <w:rPr>
                <w:rFonts w:hint="eastAsia" w:ascii="宋体" w:hAnsi="宋体" w:eastAsia="宋体"/>
                <w:szCs w:val="21"/>
                <w:lang w:eastAsia="zh-CN"/>
              </w:rPr>
            </w:pPr>
            <w:r>
              <w:rPr>
                <w:rFonts w:hint="eastAsia" w:ascii="宋体" w:hAnsi="宋体" w:eastAsia="宋体"/>
                <w:szCs w:val="21"/>
                <w:lang w:eastAsia="zh-CN"/>
              </w:rPr>
              <w:t>刘本</w:t>
            </w:r>
          </w:p>
        </w:tc>
        <w:tc>
          <w:tcPr>
            <w:tcW w:w="1132" w:type="dxa"/>
            <w:vAlign w:val="center"/>
          </w:tcPr>
          <w:p>
            <w:pPr>
              <w:pStyle w:val="45"/>
              <w:spacing w:line="240" w:lineRule="auto"/>
              <w:rPr>
                <w:rFonts w:ascii="宋体" w:hAnsi="宋体" w:eastAsia="宋体"/>
                <w:szCs w:val="21"/>
              </w:rPr>
            </w:pPr>
            <w:r>
              <w:rPr>
                <w:rFonts w:hint="eastAsia" w:ascii="宋体" w:hAnsi="宋体" w:eastAsia="宋体"/>
                <w:szCs w:val="21"/>
              </w:rPr>
              <w:t>成员</w:t>
            </w:r>
          </w:p>
        </w:tc>
        <w:tc>
          <w:tcPr>
            <w:tcW w:w="1559" w:type="dxa"/>
            <w:vAlign w:val="center"/>
          </w:tcPr>
          <w:p>
            <w:pPr>
              <w:pStyle w:val="45"/>
              <w:spacing w:line="240" w:lineRule="auto"/>
              <w:rPr>
                <w:rFonts w:hint="eastAsia" w:ascii="宋体" w:hAnsi="宋体" w:eastAsia="宋体"/>
                <w:szCs w:val="21"/>
                <w:lang w:eastAsia="zh-CN"/>
              </w:rPr>
            </w:pPr>
            <w:r>
              <w:rPr>
                <w:rFonts w:hint="eastAsia" w:ascii="宋体" w:hAnsi="宋体" w:eastAsia="宋体"/>
                <w:szCs w:val="21"/>
                <w:lang w:eastAsia="zh-CN"/>
              </w:rPr>
              <w:t>财务总监</w:t>
            </w:r>
          </w:p>
        </w:tc>
        <w:tc>
          <w:tcPr>
            <w:tcW w:w="4926" w:type="dxa"/>
            <w:vAlign w:val="center"/>
          </w:tcPr>
          <w:p>
            <w:pPr>
              <w:pStyle w:val="44"/>
              <w:spacing w:line="240" w:lineRule="auto"/>
              <w:rPr>
                <w:rFonts w:ascii="宋体" w:hAnsi="宋体" w:eastAsia="宋体"/>
                <w:szCs w:val="21"/>
              </w:rPr>
            </w:pPr>
            <w:r>
              <w:rPr>
                <w:rFonts w:hint="eastAsia" w:ascii="宋体" w:hAnsi="宋体" w:eastAsia="宋体"/>
                <w:szCs w:val="21"/>
              </w:rPr>
              <w:t>提供相关财务数据及资料，参与方案财务分析，负责财务相关事项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6"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张华</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ascii="宋体" w:hAnsi="宋体" w:eastAsia="宋体"/>
                <w:szCs w:val="21"/>
              </w:rPr>
            </w:pPr>
            <w:r>
              <w:rPr>
                <w:rFonts w:hint="eastAsia" w:ascii="宋体" w:hAnsi="宋体" w:eastAsia="宋体"/>
                <w:szCs w:val="21"/>
              </w:rPr>
              <w:t>品质部长</w:t>
            </w:r>
          </w:p>
        </w:tc>
        <w:tc>
          <w:tcPr>
            <w:tcW w:w="4926" w:type="dxa"/>
            <w:vMerge w:val="restart"/>
            <w:vAlign w:val="center"/>
          </w:tcPr>
          <w:p>
            <w:pPr>
              <w:pStyle w:val="44"/>
              <w:snapToGrid w:val="0"/>
              <w:spacing w:line="240" w:lineRule="auto"/>
              <w:jc w:val="left"/>
              <w:rPr>
                <w:rFonts w:eastAsia="宋体"/>
                <w:kern w:val="0"/>
                <w:szCs w:val="21"/>
              </w:rPr>
            </w:pPr>
            <w:r>
              <w:rPr>
                <w:rFonts w:eastAsia="宋体"/>
                <w:kern w:val="0"/>
                <w:szCs w:val="21"/>
              </w:rPr>
              <w:t>1</w:t>
            </w:r>
            <w:r>
              <w:rPr>
                <w:rFonts w:hAnsi="宋体" w:eastAsia="宋体"/>
                <w:kern w:val="0"/>
                <w:szCs w:val="21"/>
              </w:rPr>
              <w:t>、进行清洁生产的宣传教育，组织进行审核培训，负责制定有关的制度、规程；</w:t>
            </w:r>
          </w:p>
          <w:p>
            <w:pPr>
              <w:pStyle w:val="44"/>
              <w:snapToGrid w:val="0"/>
              <w:spacing w:line="240" w:lineRule="auto"/>
              <w:jc w:val="left"/>
              <w:rPr>
                <w:rFonts w:eastAsia="宋体"/>
                <w:kern w:val="0"/>
                <w:szCs w:val="21"/>
              </w:rPr>
            </w:pPr>
            <w:r>
              <w:rPr>
                <w:rFonts w:eastAsia="宋体"/>
                <w:kern w:val="0"/>
                <w:szCs w:val="21"/>
              </w:rPr>
              <w:t>2</w:t>
            </w:r>
            <w:r>
              <w:rPr>
                <w:rFonts w:hAnsi="宋体" w:eastAsia="宋体"/>
                <w:kern w:val="0"/>
                <w:szCs w:val="21"/>
              </w:rPr>
              <w:t>、提供生产工艺流程、设备及产品质量相关资料、组织对相关资料的统计分析；</w:t>
            </w:r>
          </w:p>
          <w:p>
            <w:pPr>
              <w:pStyle w:val="44"/>
              <w:snapToGrid w:val="0"/>
              <w:spacing w:line="240" w:lineRule="auto"/>
              <w:jc w:val="left"/>
              <w:rPr>
                <w:rFonts w:eastAsia="宋体"/>
                <w:kern w:val="0"/>
                <w:szCs w:val="21"/>
              </w:rPr>
            </w:pPr>
            <w:r>
              <w:rPr>
                <w:rFonts w:eastAsia="宋体"/>
                <w:kern w:val="0"/>
                <w:szCs w:val="21"/>
              </w:rPr>
              <w:t>3</w:t>
            </w:r>
            <w:r>
              <w:rPr>
                <w:rFonts w:hAnsi="宋体" w:eastAsia="宋体"/>
                <w:kern w:val="0"/>
                <w:szCs w:val="21"/>
              </w:rPr>
              <w:t>、提出促进清洁生产的建议与措施，调动全员参与清洁生产的积极性；</w:t>
            </w:r>
          </w:p>
          <w:p>
            <w:pPr>
              <w:pStyle w:val="44"/>
              <w:snapToGrid w:val="0"/>
              <w:spacing w:line="240" w:lineRule="auto"/>
              <w:jc w:val="left"/>
              <w:rPr>
                <w:rFonts w:eastAsia="宋体"/>
                <w:kern w:val="0"/>
                <w:szCs w:val="21"/>
              </w:rPr>
            </w:pPr>
            <w:r>
              <w:rPr>
                <w:rFonts w:eastAsia="宋体"/>
                <w:kern w:val="0"/>
                <w:szCs w:val="21"/>
              </w:rPr>
              <w:t>4</w:t>
            </w:r>
            <w:r>
              <w:rPr>
                <w:rFonts w:hAnsi="宋体" w:eastAsia="宋体"/>
                <w:kern w:val="0"/>
                <w:szCs w:val="21"/>
              </w:rPr>
              <w:t>、组织对生产过程的物料平衡统计分析，并按要求进行技术评估和可行性分析，协助清洁生产方案的确定；</w:t>
            </w:r>
          </w:p>
          <w:p>
            <w:pPr>
              <w:pStyle w:val="44"/>
              <w:snapToGrid w:val="0"/>
              <w:spacing w:line="240" w:lineRule="auto"/>
              <w:jc w:val="left"/>
              <w:rPr>
                <w:rFonts w:ascii="宋体" w:hAnsi="宋体" w:eastAsia="宋体"/>
                <w:szCs w:val="21"/>
                <w:highlight w:val="yellow"/>
              </w:rPr>
            </w:pPr>
            <w:r>
              <w:rPr>
                <w:rFonts w:eastAsia="宋体"/>
                <w:kern w:val="0"/>
                <w:szCs w:val="21"/>
              </w:rPr>
              <w:t>5</w:t>
            </w:r>
            <w:r>
              <w:rPr>
                <w:rFonts w:hAnsi="宋体" w:eastAsia="宋体"/>
                <w:kern w:val="0"/>
                <w:szCs w:val="21"/>
              </w:rPr>
              <w:t>、负责组织清洁生产方案的实施；</w:t>
            </w:r>
            <w:r>
              <w:rPr>
                <w:rFonts w:ascii="宋体" w:hAnsi="宋体" w:eastAsia="宋体"/>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3"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李开阳</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财务部长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5"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刘涛</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生产部长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曾琼</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行政部长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赵五祥</w:t>
            </w:r>
          </w:p>
        </w:tc>
        <w:tc>
          <w:tcPr>
            <w:tcW w:w="1132" w:type="dxa"/>
            <w:vAlign w:val="center"/>
          </w:tcPr>
          <w:p>
            <w:pPr>
              <w:pStyle w:val="45"/>
              <w:spacing w:line="240" w:lineRule="auto"/>
              <w:rPr>
                <w:rFonts w:hint="eastAsia" w:ascii="宋体" w:hAnsi="宋体" w:eastAsia="宋体"/>
                <w:szCs w:val="21"/>
                <w:lang w:val="en-US" w:eastAsia="zh-CN"/>
              </w:rPr>
            </w:pPr>
            <w:r>
              <w:rPr>
                <w:rFonts w:hint="eastAsia" w:ascii="宋体" w:hAnsi="宋体" w:eastAsia="宋体"/>
                <w:szCs w:val="21"/>
                <w:lang w:val="en-US" w:eastAsia="zh-CN"/>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销售经理</w:t>
            </w:r>
          </w:p>
        </w:tc>
        <w:tc>
          <w:tcPr>
            <w:tcW w:w="4926" w:type="dxa"/>
            <w:vMerge w:val="continue"/>
            <w:vAlign w:val="center"/>
          </w:tcPr>
          <w:p>
            <w:pPr>
              <w:pStyle w:val="44"/>
              <w:snapToGrid w:val="0"/>
              <w:spacing w:line="240" w:lineRule="auto"/>
              <w:jc w:val="left"/>
              <w:rPr>
                <w:rFonts w:ascii="宋体" w:hAnsi="宋体" w:eastAsia="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1103" w:type="dxa"/>
            <w:vAlign w:val="center"/>
          </w:tcPr>
          <w:p>
            <w:pPr>
              <w:jc w:val="center"/>
              <w:rPr>
                <w:rFonts w:hint="eastAsia" w:ascii="宋体" w:hAnsi="宋体" w:eastAsia="宋体"/>
                <w:szCs w:val="21"/>
                <w:lang w:eastAsia="zh-CN"/>
              </w:rPr>
            </w:pPr>
            <w:r>
              <w:rPr>
                <w:rFonts w:hint="eastAsia" w:ascii="宋体" w:hAnsi="宋体" w:eastAsia="宋体"/>
                <w:szCs w:val="21"/>
                <w:lang w:eastAsia="zh-CN"/>
              </w:rPr>
              <w:t>曹蜜</w:t>
            </w:r>
          </w:p>
        </w:tc>
        <w:tc>
          <w:tcPr>
            <w:tcW w:w="1132" w:type="dxa"/>
            <w:vAlign w:val="center"/>
          </w:tcPr>
          <w:p>
            <w:pPr>
              <w:pStyle w:val="45"/>
              <w:spacing w:line="240" w:lineRule="auto"/>
              <w:rPr>
                <w:rFonts w:ascii="宋体" w:hAnsi="宋体" w:eastAsia="宋体"/>
                <w:szCs w:val="21"/>
              </w:rPr>
            </w:pPr>
            <w:r>
              <w:rPr>
                <w:rFonts w:ascii="宋体" w:hAnsi="宋体" w:eastAsia="宋体"/>
                <w:szCs w:val="21"/>
              </w:rPr>
              <w:t>成员</w:t>
            </w:r>
          </w:p>
        </w:tc>
        <w:tc>
          <w:tcPr>
            <w:tcW w:w="1559" w:type="dxa"/>
            <w:vAlign w:val="center"/>
          </w:tcPr>
          <w:p>
            <w:pPr>
              <w:jc w:val="center"/>
              <w:rPr>
                <w:rFonts w:hint="default" w:ascii="宋体" w:hAnsi="宋体" w:eastAsia="宋体"/>
                <w:szCs w:val="21"/>
                <w:lang w:val="en-US" w:eastAsia="zh-CN"/>
              </w:rPr>
            </w:pPr>
            <w:r>
              <w:rPr>
                <w:rFonts w:hint="eastAsia" w:ascii="宋体" w:hAnsi="宋体" w:eastAsia="宋体"/>
                <w:szCs w:val="21"/>
                <w:lang w:val="en-US" w:eastAsia="zh-CN"/>
              </w:rPr>
              <w:t>生产制造部长</w:t>
            </w:r>
          </w:p>
        </w:tc>
        <w:tc>
          <w:tcPr>
            <w:tcW w:w="4926" w:type="dxa"/>
            <w:vMerge w:val="continue"/>
            <w:vAlign w:val="center"/>
          </w:tcPr>
          <w:p>
            <w:pPr>
              <w:pStyle w:val="44"/>
              <w:snapToGrid w:val="0"/>
              <w:spacing w:line="240" w:lineRule="auto"/>
              <w:jc w:val="left"/>
              <w:rPr>
                <w:rFonts w:ascii="宋体" w:hAnsi="宋体" w:eastAsia="宋体"/>
                <w:kern w:val="0"/>
                <w:szCs w:val="21"/>
              </w:rPr>
            </w:pPr>
          </w:p>
        </w:tc>
      </w:tr>
    </w:tbl>
    <w:p>
      <w:pPr>
        <w:pStyle w:val="42"/>
        <w:jc w:val="left"/>
        <w:rPr>
          <w:rFonts w:asciiTheme="minorEastAsia" w:hAnsiTheme="minorEastAsia" w:eastAsiaTheme="minorEastAsia"/>
          <w:b/>
        </w:rPr>
      </w:pPr>
    </w:p>
    <w:p>
      <w:pPr>
        <w:widowControl/>
        <w:jc w:val="left"/>
        <w:rPr>
          <w:rFonts w:ascii="Times New Roman" w:hAnsi="Times New Roman" w:eastAsia="宋体"/>
          <w:sz w:val="24"/>
          <w:szCs w:val="24"/>
        </w:rPr>
      </w:pPr>
      <w:r>
        <w:rPr>
          <w:rFonts w:ascii="Times New Roman" w:hAnsi="Times New Roman" w:eastAsia="宋体"/>
          <w:sz w:val="24"/>
          <w:szCs w:val="24"/>
        </w:rPr>
        <w:br w:type="page"/>
      </w:r>
    </w:p>
    <w:p>
      <w:pPr>
        <w:pStyle w:val="42"/>
        <w:jc w:val="left"/>
        <w:rPr>
          <w:rFonts w:asciiTheme="minorEastAsia" w:hAnsiTheme="minorEastAsia" w:eastAsiaTheme="minorEastAsia"/>
          <w:b/>
        </w:rPr>
      </w:pPr>
      <w:r>
        <w:rPr>
          <w:rFonts w:hint="eastAsia" w:asciiTheme="minorEastAsia" w:hAnsiTheme="minorEastAsia" w:eastAsiaTheme="minorEastAsia"/>
          <w:b/>
        </w:rPr>
        <w:t>2、企业清洁生产管理制度</w:t>
      </w:r>
    </w:p>
    <w:p>
      <w:pPr>
        <w:spacing w:before="120"/>
        <w:ind w:firstLine="602"/>
        <w:jc w:val="center"/>
        <w:rPr>
          <w:b/>
          <w:sz w:val="30"/>
          <w:szCs w:val="30"/>
        </w:rPr>
      </w:pPr>
      <w:r>
        <w:rPr>
          <w:rFonts w:hint="eastAsia" w:hAnsi="宋体"/>
          <w:b/>
          <w:sz w:val="30"/>
          <w:szCs w:val="30"/>
          <w:lang w:eastAsia="zh-CN"/>
        </w:rPr>
        <w:t>湖南光华荣昌汽车部件有限公司</w:t>
      </w:r>
      <w:r>
        <w:rPr>
          <w:rFonts w:hAnsi="宋体"/>
          <w:b/>
          <w:sz w:val="30"/>
          <w:szCs w:val="30"/>
        </w:rPr>
        <w:t>清洁生产管理</w:t>
      </w:r>
      <w:r>
        <w:rPr>
          <w:rFonts w:hint="eastAsia" w:hAnsi="宋体"/>
          <w:b/>
          <w:sz w:val="30"/>
          <w:szCs w:val="30"/>
        </w:rPr>
        <w:t>制度及奖励</w:t>
      </w:r>
      <w:r>
        <w:rPr>
          <w:rFonts w:hAnsi="宋体"/>
          <w:b/>
          <w:sz w:val="30"/>
          <w:szCs w:val="30"/>
        </w:rPr>
        <w:t>办法</w:t>
      </w:r>
    </w:p>
    <w:p>
      <w:pPr>
        <w:spacing w:before="120"/>
        <w:ind w:firstLine="643"/>
        <w:jc w:val="center"/>
        <w:rPr>
          <w:b/>
          <w:sz w:val="32"/>
          <w:szCs w:val="32"/>
        </w:rPr>
      </w:pPr>
      <w:r>
        <w:rPr>
          <w:rFonts w:hAnsi="宋体"/>
          <w:b/>
          <w:sz w:val="32"/>
          <w:szCs w:val="32"/>
        </w:rPr>
        <w:t>第一章总则</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w:t>
      </w:r>
      <w:r>
        <w:rPr>
          <w:rFonts w:ascii="Times New Roman" w:hAnsi="宋体" w:eastAsia="宋体"/>
          <w:sz w:val="28"/>
          <w:szCs w:val="28"/>
        </w:rPr>
        <w:t>、为了推动公司的清洁生产，提高资源利用效率，减少和避免污染物的产生、保护和改善环境，保障人体健康，促进企业可持续发展，制定本管理办法。</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w:t>
      </w:r>
      <w:r>
        <w:rPr>
          <w:rFonts w:ascii="Times New Roman" w:hAnsi="宋体" w:eastAsia="宋体"/>
          <w:sz w:val="28"/>
          <w:szCs w:val="28"/>
        </w:rPr>
        <w:t>、本制度所称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w:t>
      </w:r>
      <w:r>
        <w:rPr>
          <w:rFonts w:ascii="Times New Roman" w:hAnsi="宋体" w:eastAsia="宋体"/>
          <w:sz w:val="28"/>
          <w:szCs w:val="28"/>
        </w:rPr>
        <w:t>、公司鼓励和促进清洁生产，各车间、管理部门均应依照本制度，组织实施清洁生产；公司将清洁生产纳入各级管理制度和考核制度。</w:t>
      </w:r>
    </w:p>
    <w:p>
      <w:pPr>
        <w:spacing w:line="360" w:lineRule="auto"/>
        <w:ind w:firstLine="482"/>
        <w:rPr>
          <w:rFonts w:ascii="Times New Roman" w:hAnsi="Times New Roman" w:eastAsia="宋体"/>
          <w:b/>
          <w:sz w:val="28"/>
          <w:szCs w:val="28"/>
        </w:rPr>
      </w:pPr>
      <w:r>
        <w:rPr>
          <w:rFonts w:ascii="Times New Roman" w:hAnsi="Times New Roman" w:eastAsia="宋体"/>
          <w:sz w:val="28"/>
          <w:szCs w:val="28"/>
        </w:rPr>
        <w:t>4</w:t>
      </w:r>
      <w:r>
        <w:rPr>
          <w:rFonts w:ascii="Times New Roman" w:hAnsi="宋体" w:eastAsia="宋体"/>
          <w:sz w:val="28"/>
          <w:szCs w:val="28"/>
        </w:rPr>
        <w:t>、任何车间、部门和个人都应该履行清洁生产义务，公司对在实施清洁生产过程中有显著成效的单位和个人给予奖励。</w:t>
      </w:r>
    </w:p>
    <w:p>
      <w:pPr>
        <w:spacing w:before="120"/>
        <w:ind w:firstLine="643"/>
        <w:jc w:val="center"/>
        <w:rPr>
          <w:rFonts w:hAnsi="宋体"/>
          <w:b/>
          <w:sz w:val="32"/>
          <w:szCs w:val="32"/>
        </w:rPr>
      </w:pPr>
      <w:r>
        <w:rPr>
          <w:rFonts w:hAnsi="宋体"/>
          <w:b/>
          <w:sz w:val="32"/>
          <w:szCs w:val="32"/>
        </w:rPr>
        <w:t>第二章  清洁生产管理机构以及职责</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1、公司成立清洁生产领导小组，由</w:t>
      </w:r>
      <w:r>
        <w:rPr>
          <w:rFonts w:hint="eastAsia" w:ascii="Times New Roman" w:hAnsi="Times New Roman" w:eastAsia="宋体"/>
          <w:sz w:val="28"/>
          <w:szCs w:val="28"/>
        </w:rPr>
        <w:t>总经理任组长，副总经理任副组长，各部门主管及部分技术员为组员</w:t>
      </w:r>
      <w:r>
        <w:rPr>
          <w:rFonts w:ascii="Times New Roman" w:hAnsi="Times New Roman" w:eastAsia="宋体"/>
          <w:sz w:val="28"/>
          <w:szCs w:val="28"/>
        </w:rPr>
        <w:t>，负责清洁生产工作的开展，根据需要</w:t>
      </w:r>
      <w:r>
        <w:rPr>
          <w:rFonts w:hint="eastAsia" w:ascii="Times New Roman" w:hAnsi="Times New Roman" w:eastAsia="宋体"/>
          <w:sz w:val="28"/>
          <w:szCs w:val="28"/>
        </w:rPr>
        <w:t>可补充</w:t>
      </w:r>
      <w:r>
        <w:rPr>
          <w:rFonts w:ascii="Times New Roman" w:hAnsi="Times New Roman" w:eastAsia="宋体"/>
          <w:sz w:val="28"/>
          <w:szCs w:val="28"/>
        </w:rPr>
        <w:t>选拔成员，需要时以文件通知。</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2、清洁生产领导小组负责清洁生产审核工作的推动、监督、协调。</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3、清洁生产审核小组负责具体实施清洁生产审核工作，并定期以书面材料向清洁生产领导小组汇总清洁生产工作的进展和成效。</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4、各部门应积极配合清洁生产审核小组的工作，支持清洁生产工作的开展。</w:t>
      </w:r>
    </w:p>
    <w:p>
      <w:pPr>
        <w:spacing w:before="120"/>
        <w:ind w:firstLine="643"/>
        <w:jc w:val="center"/>
        <w:rPr>
          <w:rFonts w:hAnsi="宋体"/>
          <w:b/>
          <w:sz w:val="32"/>
          <w:szCs w:val="32"/>
        </w:rPr>
      </w:pPr>
      <w:r>
        <w:rPr>
          <w:rFonts w:hAnsi="宋体"/>
          <w:b/>
          <w:sz w:val="32"/>
          <w:szCs w:val="32"/>
        </w:rPr>
        <w:t>第三章  清洁生产的实施</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1、新建、改建和扩建项目应当进行环境影响评价，对原料使用、资源消耗、资源综合利用以及污染物产生与处置等进行分析论证，优先采用资源利用率高以及污染物产生量少的清洁生产技术、工艺和设备。</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2、公司在进行技术改造过程中，应当采取以下清洁生产措施：</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（1）采用无毒、无害或者低毒、低害的原料，替代毒性大、危害严重的原料；</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（2）采用资源利用率高、污染物产生量少的工艺和设备，替代资源利用率低、污染物产生量多的工艺和设备；</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（3）对生产过程中产生的废物、废水和余热等进行综合利用或者循环使用；</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（4）采用能够达到国家或者地方规定的污染物排放标准和污染物排放总量控制指标的污染防治技术。</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公司产品包装物的设计和采用，应当考虑其在生命周期中对人类健康和环境的影响，优先选择无毒、无害、易于降解或者便于回收利用的材料，并做到合理包装，减少包装材料的过度使用和包装性废物的产生。</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4、公司在原辅材料采购、生产和销售过程中，应该采取以下清洁生产措施：</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（1）采购部在采购原辅材料时，应充分了解原辅材料是否含有有毒有害物质，优先采购质量稳定、无毒、无害或者低毒低害的原辅材料，并对供应商进行适当的评价。</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（2）原辅材料和产品在贮存、搬运、使用等过程中要做好泄漏预防措施，从源头预防污染物的产生和浪费。</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（3）各车间在产品生产过程中应严格控制原辅材料和消耗，定期分析原辅材料消耗单耗的变化，努力降低单耗，提高产品收率和质量；</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（4）各车间在产品生产过程中应严格控制能源消耗，定期分析能源消耗的变化，努力降低能源消耗，提高能源利用效率；</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（5）各生产车间在产品生产的全过程应该严格控制对环境的污染，控制和保持生产设备、场地、环境的清洁卫生，主要措施有：</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制定原辅材料和能源消耗的定额，并进行统计分析以及考核；</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尽量用拖地取代用水冲洗地面，减少用水量和废水排放量；</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做好设备的维护保养，采取预防性的维护措施，减少跑冒滴漏现象的发生；</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各车间严格做好清污分流；</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生产和生活固废应该分类收集，提高废弃物的回收利用率，禁止危险固废混入一般废弃物处置；</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做好物料投料管理，尽量避免投料过程中洒落、泄漏、残留等现象的发生，并采取必要的预防性措施，对于洒落的物料应该收集后重新利用，杜绝用水冲洗造成污染；</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做好各种原辅材料和产品在车间临时贮存管理，防止变质而成为废物，采取相应的措施减少存贮过程中的损耗。</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（6）销售部在产品出库直到送达客户的全过程要严格控制产品质量（防止在产品运输过程中受到污染和变质），提高服务质量，确保客户满意。</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（7）维修部门在制造、维护、保养设备的时候，应考虑设备的先进性、节能性和环保性，同时严格保持工作场所以及周边环境的清洁卫生。</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5、公司根据《中华人民共和国清洁生产促进法》、《清洁生产审核办法》以及湖南省有关清洁生产法律法规的规定，定期组织开展清洁生产审核，公司清洁生产审核程序包括：</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（1）成立清洁生产领导小组和审核小组并制定清洁生产审核的工作计划</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（2）对公司员工进行清洁生产培训</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（3）进行生产管理全过程的预评估。对各车间污染物排放现状和能资源消耗现状进行摸底调查，对公司清洁生产潜力进行系统分析和评估，确定清洁生产审核重点并确定清洁生产目标指标。</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4）针对清洁生产审核重点开展评估分析。审核小组组织清洁生产审核重点车间进行物料平衡测试，并对物料平衡测试的结果进行评估，确认数据的有效性，并分析污染物产生的原因和削减污染物的对策，为研制清洁生产方案提供依据。</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5）清洁生产方案的实施。公司鼓励员工提出清洁生产方案，清洁生产方案由审核小组负责收集、分类和筛选，对于可行的清洁生产方案报清洁生产领导小组审批，并组织相关部门实施。清洁生产方案的实施必须注重实效，管理型的方案要及时形成制度，实现长效管理。</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（6）清洁生产审核小组负责统计已经实施的清洁生产方案取得的绩效，并及时进行公布和奖励。</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（7）清洁生产审核小组编写清洁生产审核报告，根据有关要求报送政府管理部门，接受审查和评定。</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6、对所实施清洁生产方案所涉及的财务要单独建账，统一管理。在清洁生产净收益主要用于支持后续清洁生产的开展，在资金少于</w:t>
      </w:r>
      <w:r>
        <w:rPr>
          <w:rFonts w:hint="eastAsia" w:ascii="Times New Roman" w:hAnsi="Times New Roman" w:eastAsia="宋体"/>
          <w:sz w:val="28"/>
          <w:szCs w:val="28"/>
        </w:rPr>
        <w:t>5</w:t>
      </w:r>
      <w:r>
        <w:rPr>
          <w:rFonts w:ascii="Times New Roman" w:hAnsi="Times New Roman" w:eastAsia="宋体"/>
          <w:sz w:val="28"/>
          <w:szCs w:val="28"/>
        </w:rPr>
        <w:t>0万时，严禁挪作他用。</w:t>
      </w:r>
    </w:p>
    <w:p>
      <w:pPr>
        <w:spacing w:before="120"/>
        <w:ind w:firstLine="643"/>
        <w:jc w:val="center"/>
        <w:rPr>
          <w:rFonts w:hAnsi="宋体"/>
          <w:b/>
          <w:sz w:val="32"/>
          <w:szCs w:val="32"/>
        </w:rPr>
      </w:pPr>
      <w:r>
        <w:rPr>
          <w:rFonts w:hAnsi="宋体"/>
          <w:b/>
          <w:sz w:val="32"/>
          <w:szCs w:val="32"/>
        </w:rPr>
        <w:t>第四章  清洁生产的奖励</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公司对主动实施清洁生产措施和项目的车间或者部门进行适当的物质和精神奖励。在实施清洁生产过程中，凡属车间（部门）主动提出建议和方案，并积极实施取得明显效果的，其投入的费用不计入车间成本，其产生的效益20％归车间分配，对表现突出的车间和个人在年终进行奖励和表彰。</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为了鼓励积极参与清洁生产的员工，公司设立清洁生产特别奖励基金，对于积极提交合理化建议，在清洁生产宣传、培训、竞赛等各项活动中表现优秀的员工，给予奖励，在节约能源、节约原材料、消除污染、改善操作环境方面成绩突出的员工，给予奖励。</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对于提出合理化建议的员工，视方案创造性大小、水平高低、难易程度和生产发展贡献大小给予20~200元的奖励；对于取得实际效果的方案，在方案实施后按效益大小给予奖励：对于所获经济效益在100万以上的，按1%~1.5%给予奖励；经济效益在50~100万的，按找0.8~1%计算奖励；经济效益在10~50万的，按照0.5%计算奖励。</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3、为了使公司的清洁生产工作长期开展下去，公司在适当的时候修改和完善年度考核制度，增加清洁生产的有关内容，促进企业持续发展。</w:t>
      </w:r>
    </w:p>
    <w:p>
      <w:pPr>
        <w:spacing w:before="120"/>
        <w:ind w:firstLine="643"/>
        <w:jc w:val="center"/>
        <w:rPr>
          <w:rFonts w:hAnsi="宋体"/>
          <w:b/>
          <w:sz w:val="32"/>
          <w:szCs w:val="32"/>
        </w:rPr>
      </w:pPr>
      <w:r>
        <w:rPr>
          <w:rFonts w:hAnsi="宋体"/>
          <w:b/>
          <w:sz w:val="32"/>
          <w:szCs w:val="32"/>
        </w:rPr>
        <w:t>第五章  清洁生产的宣传和教育</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1、由于清洁生产是一种新的生产管理方式，清洁生产必须全员参与，因此必须加大宣传力度，加强对员工和清洁生产知识培训和教育，提高员工的清洁生产意识。</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2、公司</w:t>
      </w:r>
      <w:r>
        <w:rPr>
          <w:rFonts w:hint="eastAsia" w:ascii="Times New Roman" w:hAnsi="Times New Roman" w:eastAsia="宋体"/>
          <w:sz w:val="28"/>
          <w:szCs w:val="28"/>
        </w:rPr>
        <w:t>行政部</w:t>
      </w:r>
      <w:r>
        <w:rPr>
          <w:rFonts w:ascii="Times New Roman" w:hAnsi="Times New Roman" w:eastAsia="宋体"/>
          <w:sz w:val="28"/>
          <w:szCs w:val="28"/>
        </w:rPr>
        <w:t>组织各车间、部门，调动各方积极因素，组织各方力量，利用宣传窗、标语、征文、培训班等各种形式，开展清洁生产宣传教育活动。</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3、公司定期组织员工进行清洁生产相关培训。对于新进员工上岗教育必须有清洁生产的内容，并进行考核合格方能上岗。</w:t>
      </w:r>
    </w:p>
    <w:p>
      <w:pPr>
        <w:spacing w:line="360" w:lineRule="auto"/>
        <w:ind w:firstLine="482"/>
        <w:rPr>
          <w:rFonts w:ascii="Times New Roman" w:hAnsi="Times New Roman" w:eastAsia="宋体"/>
          <w:sz w:val="28"/>
          <w:szCs w:val="28"/>
        </w:rPr>
      </w:pPr>
      <w:r>
        <w:rPr>
          <w:rFonts w:ascii="Times New Roman" w:hAnsi="Times New Roman" w:eastAsia="宋体"/>
          <w:sz w:val="28"/>
          <w:szCs w:val="28"/>
        </w:rPr>
        <w:t>4、清洁生产教育培训工作由</w:t>
      </w:r>
      <w:r>
        <w:rPr>
          <w:rFonts w:hint="eastAsia" w:ascii="Times New Roman" w:hAnsi="Times New Roman" w:eastAsia="宋体"/>
          <w:sz w:val="28"/>
          <w:szCs w:val="28"/>
        </w:rPr>
        <w:t>综合部</w:t>
      </w:r>
      <w:r>
        <w:rPr>
          <w:rFonts w:ascii="Times New Roman" w:hAnsi="Times New Roman" w:eastAsia="宋体"/>
          <w:sz w:val="28"/>
          <w:szCs w:val="28"/>
        </w:rPr>
        <w:t>负责组织，各车间部门提出培训需求。</w:t>
      </w:r>
    </w:p>
    <w:p>
      <w:pPr>
        <w:spacing w:before="120"/>
        <w:ind w:firstLine="643"/>
        <w:jc w:val="center"/>
        <w:rPr>
          <w:rFonts w:hAnsi="宋体"/>
          <w:b/>
          <w:color w:val="000000" w:themeColor="text1"/>
          <w:sz w:val="32"/>
          <w:szCs w:val="32"/>
        </w:rPr>
      </w:pPr>
      <w:r>
        <w:rPr>
          <w:rFonts w:hAnsi="宋体"/>
          <w:b/>
          <w:color w:val="000000" w:themeColor="text1"/>
          <w:sz w:val="32"/>
          <w:szCs w:val="32"/>
        </w:rPr>
        <w:t>第六章  附则</w:t>
      </w:r>
    </w:p>
    <w:p>
      <w:pPr>
        <w:spacing w:line="360" w:lineRule="auto"/>
        <w:ind w:firstLine="560" w:firstLineChars="200"/>
        <w:rPr>
          <w:rFonts w:ascii="Times New Roman" w:hAnsi="Times New Roman" w:eastAsia="宋体"/>
          <w:sz w:val="28"/>
          <w:szCs w:val="28"/>
        </w:rPr>
      </w:pPr>
      <w:r>
        <w:rPr>
          <w:rFonts w:ascii="Times New Roman" w:hAnsi="Times New Roman" w:eastAsia="宋体"/>
          <w:sz w:val="28"/>
          <w:szCs w:val="28"/>
        </w:rPr>
        <w:t>1、各车间部门应保留实施清洁生产的各项原始数据和记录，建立有关台帐。</w:t>
      </w:r>
    </w:p>
    <w:p>
      <w:pPr>
        <w:spacing w:line="360" w:lineRule="auto"/>
        <w:ind w:firstLine="560" w:firstLineChars="200"/>
        <w:rPr>
          <w:rFonts w:ascii="Times New Roman" w:hAnsi="Times New Roman" w:eastAsia="宋体" w:cs="Times New Roman"/>
          <w:sz w:val="24"/>
          <w:szCs w:val="24"/>
        </w:rPr>
      </w:pPr>
      <w:r>
        <w:rPr>
          <w:rFonts w:ascii="Times New Roman" w:hAnsi="Times New Roman" w:eastAsia="宋体"/>
          <w:sz w:val="28"/>
          <w:szCs w:val="28"/>
        </w:rPr>
        <w:t>2、为了不断提高企业清洁生产水平，推动企业持续发展和进步，公司将主动向上级主管部门申请实施清洁生产审核和验收。</w:t>
      </w:r>
    </w:p>
    <w:p>
      <w:pPr>
        <w:widowControl/>
        <w:jc w:val="left"/>
        <w:rPr>
          <w:rFonts w:ascii="Times New Roman" w:hAnsi="Times New Roman" w:eastAsia="宋体"/>
          <w:sz w:val="24"/>
          <w:szCs w:val="24"/>
        </w:rPr>
      </w:pPr>
      <w:r>
        <w:rPr>
          <w:rFonts w:ascii="Times New Roman" w:hAnsi="Times New Roman" w:eastAsia="宋体"/>
          <w:sz w:val="24"/>
          <w:szCs w:val="24"/>
        </w:rPr>
        <w:br w:type="page"/>
      </w:r>
    </w:p>
    <w:p>
      <w:pPr>
        <w:pStyle w:val="3"/>
        <w:spacing w:before="0" w:after="0" w:line="240" w:lineRule="auto"/>
        <w:ind w:firstLine="151" w:firstLineChars="50"/>
        <w:rPr>
          <w:kern w:val="2"/>
          <w:sz w:val="30"/>
          <w:szCs w:val="30"/>
        </w:rPr>
      </w:pPr>
      <w:bookmarkStart w:id="385" w:name="_Toc32253"/>
      <w:bookmarkStart w:id="386" w:name="_Toc22906328"/>
      <w:r>
        <w:rPr>
          <w:rFonts w:hint="eastAsia"/>
          <w:kern w:val="2"/>
          <w:sz w:val="30"/>
          <w:szCs w:val="30"/>
        </w:rPr>
        <w:t>（</w:t>
      </w:r>
      <w:r>
        <w:rPr>
          <w:rFonts w:hint="eastAsia"/>
          <w:kern w:val="2"/>
          <w:sz w:val="30"/>
          <w:szCs w:val="30"/>
          <w:lang w:val="en-US" w:eastAsia="zh-CN"/>
        </w:rPr>
        <w:t>6</w:t>
      </w:r>
      <w:r>
        <w:rPr>
          <w:rFonts w:hint="eastAsia"/>
          <w:kern w:val="2"/>
          <w:sz w:val="30"/>
          <w:szCs w:val="30"/>
        </w:rPr>
        <w:t>）企业相关资质以及荣誉证书</w:t>
      </w:r>
      <w:bookmarkEnd w:id="385"/>
      <w:bookmarkEnd w:id="386"/>
    </w:p>
    <w:p>
      <w:pPr>
        <w:rPr>
          <w:rFonts w:hint="eastAsia" w:asciiTheme="minorEastAsia" w:hAnsiTheme="minorEastAsia"/>
          <w:sz w:val="28"/>
          <w:szCs w:val="28"/>
        </w:rPr>
      </w:pPr>
      <w:r>
        <w:rPr>
          <w:rFonts w:hint="eastAsia" w:asciiTheme="minorEastAsia" w:hAnsiTheme="minorEastAsia"/>
          <w:sz w:val="28"/>
          <w:szCs w:val="28"/>
        </w:rPr>
        <w:t>1、体系认证证书</w:t>
      </w:r>
    </w:p>
    <w:p>
      <w:pPr>
        <w:pStyle w:val="11"/>
        <w:jc w:val="center"/>
      </w:pPr>
      <w:r>
        <w:drawing>
          <wp:inline distT="0" distB="0" distL="114300" distR="114300">
            <wp:extent cx="5274310" cy="7329170"/>
            <wp:effectExtent l="0" t="0" r="2540" b="508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36"/>
                    <a:stretch>
                      <a:fillRect/>
                    </a:stretch>
                  </pic:blipFill>
                  <pic:spPr>
                    <a:xfrm>
                      <a:off x="0" y="0"/>
                      <a:ext cx="5274310" cy="7329170"/>
                    </a:xfrm>
                    <a:prstGeom prst="rect">
                      <a:avLst/>
                    </a:prstGeom>
                    <a:noFill/>
                    <a:ln>
                      <a:noFill/>
                    </a:ln>
                  </pic:spPr>
                </pic:pic>
              </a:graphicData>
            </a:graphic>
          </wp:inline>
        </w:drawing>
      </w:r>
      <w:r>
        <w:drawing>
          <wp:inline distT="0" distB="0" distL="114300" distR="114300">
            <wp:extent cx="5269865" cy="6942455"/>
            <wp:effectExtent l="0" t="0" r="6985" b="1079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37"/>
                    <a:stretch>
                      <a:fillRect/>
                    </a:stretch>
                  </pic:blipFill>
                  <pic:spPr>
                    <a:xfrm>
                      <a:off x="0" y="0"/>
                      <a:ext cx="5269865" cy="6942455"/>
                    </a:xfrm>
                    <a:prstGeom prst="rect">
                      <a:avLst/>
                    </a:prstGeom>
                    <a:noFill/>
                    <a:ln>
                      <a:noFill/>
                    </a:ln>
                  </pic:spPr>
                </pic:pic>
              </a:graphicData>
            </a:graphic>
          </wp:inline>
        </w:drawing>
      </w:r>
    </w:p>
    <w:p>
      <w:pPr>
        <w:widowControl/>
        <w:jc w:val="center"/>
        <w:rPr>
          <w:rFonts w:ascii="Times New Roman" w:hAnsi="Times New Roman" w:eastAsia="宋体"/>
          <w:sz w:val="24"/>
          <w:szCs w:val="24"/>
        </w:rPr>
      </w:pPr>
    </w:p>
    <w:p>
      <w:pPr>
        <w:widowControl/>
        <w:jc w:val="left"/>
        <w:rPr>
          <w:rFonts w:ascii="Times New Roman" w:hAnsi="Times New Roman" w:eastAsia="宋体"/>
          <w:sz w:val="24"/>
          <w:szCs w:val="24"/>
        </w:rPr>
      </w:pPr>
    </w:p>
    <w:p>
      <w:pPr>
        <w:widowControl/>
        <w:jc w:val="left"/>
        <w:rPr>
          <w:rFonts w:ascii="Times New Roman" w:hAnsi="Times New Roman" w:eastAsia="宋体"/>
          <w:sz w:val="24"/>
          <w:szCs w:val="24"/>
        </w:rPr>
      </w:pPr>
    </w:p>
    <w:p>
      <w:pPr>
        <w:rPr>
          <w:rFonts w:hint="eastAsia"/>
          <w:kern w:val="2"/>
          <w:sz w:val="30"/>
          <w:szCs w:val="30"/>
        </w:rPr>
      </w:pPr>
      <w:r>
        <w:rPr>
          <w:rFonts w:hint="eastAsia"/>
          <w:kern w:val="2"/>
          <w:sz w:val="30"/>
          <w:szCs w:val="30"/>
        </w:rPr>
        <w:br w:type="page"/>
      </w:r>
    </w:p>
    <w:p>
      <w:pPr>
        <w:rPr>
          <w:rFonts w:hint="default" w:asciiTheme="minorEastAsia" w:hAnsiTheme="minorEastAsia" w:eastAsiaTheme="minorEastAsia"/>
          <w:sz w:val="28"/>
          <w:szCs w:val="28"/>
          <w:lang w:val="en-US" w:eastAsia="zh-CN"/>
        </w:rPr>
      </w:pPr>
      <w:r>
        <w:rPr>
          <w:rFonts w:hint="eastAsia" w:asciiTheme="minorEastAsia" w:hAnsiTheme="minorEastAsia"/>
          <w:sz w:val="28"/>
          <w:szCs w:val="28"/>
          <w:lang w:val="en-US" w:eastAsia="zh-CN"/>
        </w:rPr>
        <w:t>2</w:t>
      </w:r>
      <w:r>
        <w:rPr>
          <w:rFonts w:hint="eastAsia" w:asciiTheme="minorEastAsia" w:hAnsiTheme="minorEastAsia"/>
          <w:sz w:val="28"/>
          <w:szCs w:val="28"/>
        </w:rPr>
        <w:t>、</w:t>
      </w:r>
      <w:r>
        <w:rPr>
          <w:rFonts w:hint="eastAsia" w:asciiTheme="minorEastAsia" w:hAnsiTheme="minorEastAsia"/>
          <w:sz w:val="28"/>
          <w:szCs w:val="28"/>
          <w:lang w:val="en-US" w:eastAsia="zh-CN"/>
        </w:rPr>
        <w:t>环境检测报告</w:t>
      </w:r>
    </w:p>
    <w:p>
      <w:pPr>
        <w:jc w:val="center"/>
      </w:pPr>
      <w:r>
        <w:drawing>
          <wp:inline distT="0" distB="0" distL="114300" distR="114300">
            <wp:extent cx="5268595" cy="7457440"/>
            <wp:effectExtent l="0" t="0" r="8255" b="10160"/>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38"/>
                    <a:stretch>
                      <a:fillRect/>
                    </a:stretch>
                  </pic:blipFill>
                  <pic:spPr>
                    <a:xfrm>
                      <a:off x="0" y="0"/>
                      <a:ext cx="5268595" cy="7457440"/>
                    </a:xfrm>
                    <a:prstGeom prst="rect">
                      <a:avLst/>
                    </a:prstGeom>
                    <a:noFill/>
                    <a:ln>
                      <a:noFill/>
                    </a:ln>
                  </pic:spPr>
                </pic:pic>
              </a:graphicData>
            </a:graphic>
          </wp:inline>
        </w:drawing>
      </w:r>
      <w:r>
        <w:drawing>
          <wp:inline distT="0" distB="0" distL="114300" distR="114300">
            <wp:extent cx="5272405" cy="7491095"/>
            <wp:effectExtent l="0" t="0" r="4445" b="1460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39"/>
                    <a:stretch>
                      <a:fillRect/>
                    </a:stretch>
                  </pic:blipFill>
                  <pic:spPr>
                    <a:xfrm>
                      <a:off x="0" y="0"/>
                      <a:ext cx="5272405" cy="7491095"/>
                    </a:xfrm>
                    <a:prstGeom prst="rect">
                      <a:avLst/>
                    </a:prstGeom>
                    <a:noFill/>
                    <a:ln>
                      <a:noFill/>
                    </a:ln>
                  </pic:spPr>
                </pic:pic>
              </a:graphicData>
            </a:graphic>
          </wp:inline>
        </w:drawing>
      </w:r>
      <w:r>
        <w:drawing>
          <wp:inline distT="0" distB="0" distL="114300" distR="114300">
            <wp:extent cx="5271135" cy="7440295"/>
            <wp:effectExtent l="0" t="0" r="5715" b="8255"/>
            <wp:docPr id="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
                    <pic:cNvPicPr>
                      <a:picLocks noChangeAspect="1"/>
                    </pic:cNvPicPr>
                  </pic:nvPicPr>
                  <pic:blipFill>
                    <a:blip r:embed="rId40"/>
                    <a:stretch>
                      <a:fillRect/>
                    </a:stretch>
                  </pic:blipFill>
                  <pic:spPr>
                    <a:xfrm>
                      <a:off x="0" y="0"/>
                      <a:ext cx="5271135" cy="7440295"/>
                    </a:xfrm>
                    <a:prstGeom prst="rect">
                      <a:avLst/>
                    </a:prstGeom>
                    <a:noFill/>
                    <a:ln>
                      <a:noFill/>
                    </a:ln>
                  </pic:spPr>
                </pic:pic>
              </a:graphicData>
            </a:graphic>
          </wp:inline>
        </w:drawing>
      </w:r>
      <w:r>
        <w:drawing>
          <wp:inline distT="0" distB="0" distL="114300" distR="114300">
            <wp:extent cx="5273040" cy="7430135"/>
            <wp:effectExtent l="0" t="0" r="3810" b="18415"/>
            <wp:docPr id="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pic:cNvPicPr>
                      <a:picLocks noChangeAspect="1"/>
                    </pic:cNvPicPr>
                  </pic:nvPicPr>
                  <pic:blipFill>
                    <a:blip r:embed="rId41"/>
                    <a:stretch>
                      <a:fillRect/>
                    </a:stretch>
                  </pic:blipFill>
                  <pic:spPr>
                    <a:xfrm>
                      <a:off x="0" y="0"/>
                      <a:ext cx="5273040" cy="7430135"/>
                    </a:xfrm>
                    <a:prstGeom prst="rect">
                      <a:avLst/>
                    </a:prstGeom>
                    <a:noFill/>
                    <a:ln>
                      <a:noFill/>
                    </a:ln>
                  </pic:spPr>
                </pic:pic>
              </a:graphicData>
            </a:graphic>
          </wp:inline>
        </w:drawing>
      </w:r>
      <w:r>
        <w:drawing>
          <wp:inline distT="0" distB="0" distL="114300" distR="114300">
            <wp:extent cx="5269230" cy="7455535"/>
            <wp:effectExtent l="0" t="0" r="7620" b="12065"/>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
                    <pic:cNvPicPr>
                      <a:picLocks noChangeAspect="1"/>
                    </pic:cNvPicPr>
                  </pic:nvPicPr>
                  <pic:blipFill>
                    <a:blip r:embed="rId42"/>
                    <a:stretch>
                      <a:fillRect/>
                    </a:stretch>
                  </pic:blipFill>
                  <pic:spPr>
                    <a:xfrm>
                      <a:off x="0" y="0"/>
                      <a:ext cx="5269230" cy="7455535"/>
                    </a:xfrm>
                    <a:prstGeom prst="rect">
                      <a:avLst/>
                    </a:prstGeom>
                    <a:noFill/>
                    <a:ln>
                      <a:noFill/>
                    </a:ln>
                  </pic:spPr>
                </pic:pic>
              </a:graphicData>
            </a:graphic>
          </wp:inline>
        </w:drawing>
      </w:r>
      <w:r>
        <w:drawing>
          <wp:inline distT="0" distB="0" distL="114300" distR="114300">
            <wp:extent cx="5273040" cy="7233920"/>
            <wp:effectExtent l="0" t="0" r="3810" b="508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43"/>
                    <a:stretch>
                      <a:fillRect/>
                    </a:stretch>
                  </pic:blipFill>
                  <pic:spPr>
                    <a:xfrm>
                      <a:off x="0" y="0"/>
                      <a:ext cx="5273040" cy="7233920"/>
                    </a:xfrm>
                    <a:prstGeom prst="rect">
                      <a:avLst/>
                    </a:prstGeom>
                    <a:noFill/>
                    <a:ln>
                      <a:noFill/>
                    </a:ln>
                  </pic:spPr>
                </pic:pic>
              </a:graphicData>
            </a:graphic>
          </wp:inline>
        </w:drawing>
      </w:r>
      <w:r>
        <w:drawing>
          <wp:inline distT="0" distB="0" distL="114300" distR="114300">
            <wp:extent cx="5268595" cy="7506970"/>
            <wp:effectExtent l="0" t="0" r="8255" b="17780"/>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44"/>
                    <a:stretch>
                      <a:fillRect/>
                    </a:stretch>
                  </pic:blipFill>
                  <pic:spPr>
                    <a:xfrm>
                      <a:off x="0" y="0"/>
                      <a:ext cx="5268595" cy="7506970"/>
                    </a:xfrm>
                    <a:prstGeom prst="rect">
                      <a:avLst/>
                    </a:prstGeom>
                    <a:noFill/>
                    <a:ln>
                      <a:noFill/>
                    </a:ln>
                  </pic:spPr>
                </pic:pic>
              </a:graphicData>
            </a:graphic>
          </wp:inline>
        </w:drawing>
      </w:r>
      <w:r>
        <w:drawing>
          <wp:inline distT="0" distB="0" distL="114300" distR="114300">
            <wp:extent cx="5271135" cy="7439025"/>
            <wp:effectExtent l="0" t="0" r="5715" b="9525"/>
            <wp:docPr id="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5"/>
                    <pic:cNvPicPr>
                      <a:picLocks noChangeAspect="1"/>
                    </pic:cNvPicPr>
                  </pic:nvPicPr>
                  <pic:blipFill>
                    <a:blip r:embed="rId45"/>
                    <a:stretch>
                      <a:fillRect/>
                    </a:stretch>
                  </pic:blipFill>
                  <pic:spPr>
                    <a:xfrm>
                      <a:off x="0" y="0"/>
                      <a:ext cx="5271135" cy="7439025"/>
                    </a:xfrm>
                    <a:prstGeom prst="rect">
                      <a:avLst/>
                    </a:prstGeom>
                    <a:noFill/>
                    <a:ln>
                      <a:noFill/>
                    </a:ln>
                  </pic:spPr>
                </pic:pic>
              </a:graphicData>
            </a:graphic>
          </wp:inline>
        </w:drawing>
      </w:r>
      <w:r>
        <w:drawing>
          <wp:inline distT="0" distB="0" distL="114300" distR="114300">
            <wp:extent cx="5270500" cy="7491095"/>
            <wp:effectExtent l="0" t="0" r="6350" b="14605"/>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46"/>
                    <a:stretch>
                      <a:fillRect/>
                    </a:stretch>
                  </pic:blipFill>
                  <pic:spPr>
                    <a:xfrm>
                      <a:off x="0" y="0"/>
                      <a:ext cx="5270500" cy="7491095"/>
                    </a:xfrm>
                    <a:prstGeom prst="rect">
                      <a:avLst/>
                    </a:prstGeom>
                    <a:noFill/>
                    <a:ln>
                      <a:noFill/>
                    </a:ln>
                  </pic:spPr>
                </pic:pic>
              </a:graphicData>
            </a:graphic>
          </wp:inline>
        </w:drawing>
      </w:r>
    </w:p>
    <w:p>
      <w:pPr>
        <w:rPr>
          <w:rFonts w:hint="eastAsia"/>
          <w:kern w:val="2"/>
          <w:sz w:val="30"/>
          <w:szCs w:val="30"/>
        </w:rPr>
      </w:pPr>
      <w:r>
        <w:rPr>
          <w:rFonts w:hint="eastAsia"/>
          <w:kern w:val="2"/>
          <w:sz w:val="30"/>
          <w:szCs w:val="30"/>
        </w:rPr>
        <w:br w:type="page"/>
      </w:r>
    </w:p>
    <w:p>
      <w:pPr>
        <w:jc w:val="left"/>
        <w:rPr>
          <w:rFonts w:hint="eastAsia"/>
          <w:kern w:val="2"/>
          <w:sz w:val="30"/>
          <w:szCs w:val="30"/>
          <w:lang w:val="en-US" w:eastAsia="zh-CN"/>
        </w:rPr>
      </w:pPr>
      <w:r>
        <w:rPr>
          <w:rFonts w:hint="eastAsia"/>
          <w:kern w:val="2"/>
          <w:sz w:val="30"/>
          <w:szCs w:val="30"/>
          <w:lang w:val="en-US" w:eastAsia="zh-CN"/>
        </w:rPr>
        <w:t>3、环评批复</w:t>
      </w:r>
    </w:p>
    <w:p>
      <w:pPr>
        <w:rPr>
          <w:rFonts w:hint="eastAsia" w:eastAsia="宋体"/>
          <w:lang w:eastAsia="zh-CN"/>
        </w:rPr>
      </w:pPr>
      <w:r>
        <w:drawing>
          <wp:inline distT="0" distB="0" distL="114300" distR="114300">
            <wp:extent cx="5272405" cy="7466330"/>
            <wp:effectExtent l="0" t="0" r="4445" b="127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47"/>
                    <a:stretch>
                      <a:fillRect/>
                    </a:stretch>
                  </pic:blipFill>
                  <pic:spPr>
                    <a:xfrm>
                      <a:off x="0" y="0"/>
                      <a:ext cx="5272405" cy="7466330"/>
                    </a:xfrm>
                    <a:prstGeom prst="rect">
                      <a:avLst/>
                    </a:prstGeom>
                    <a:noFill/>
                    <a:ln>
                      <a:noFill/>
                    </a:ln>
                  </pic:spPr>
                </pic:pic>
              </a:graphicData>
            </a:graphic>
          </wp:inline>
        </w:drawing>
      </w:r>
    </w:p>
    <w:p>
      <w:pPr>
        <w:rPr>
          <w:rFonts w:hint="eastAsia" w:eastAsia="宋体"/>
          <w:lang w:eastAsia="zh-CN"/>
        </w:rPr>
      </w:pPr>
    </w:p>
    <w:p>
      <w:pPr>
        <w:jc w:val="both"/>
      </w:pPr>
    </w:p>
    <w:p>
      <w:pPr>
        <w:jc w:val="left"/>
        <w:rPr>
          <w:rFonts w:hint="eastAsia"/>
          <w:color w:val="000000" w:themeColor="text1"/>
          <w:kern w:val="2"/>
          <w:sz w:val="30"/>
          <w:szCs w:val="30"/>
          <w:lang w:val="en-US" w:eastAsia="zh-CN"/>
        </w:rPr>
      </w:pPr>
      <w:r>
        <w:rPr>
          <w:rFonts w:hint="eastAsia"/>
          <w:color w:val="000000" w:themeColor="text1"/>
          <w:kern w:val="2"/>
          <w:sz w:val="30"/>
          <w:szCs w:val="30"/>
          <w:lang w:val="en-US" w:eastAsia="zh-CN"/>
        </w:rPr>
        <w:t>4、危废处理情况</w:t>
      </w:r>
    </w:p>
    <w:p>
      <w:pPr>
        <w:bidi w:val="0"/>
        <w:rPr>
          <w:rFonts w:hint="eastAsia"/>
          <w:lang w:val="en-US" w:eastAsia="zh-CN"/>
        </w:rPr>
      </w:pPr>
      <w:r>
        <w:drawing>
          <wp:inline distT="0" distB="0" distL="114300" distR="114300">
            <wp:extent cx="5271135" cy="7033260"/>
            <wp:effectExtent l="0" t="0" r="5715" b="152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8"/>
                    <a:stretch>
                      <a:fillRect/>
                    </a:stretch>
                  </pic:blipFill>
                  <pic:spPr>
                    <a:xfrm>
                      <a:off x="0" y="0"/>
                      <a:ext cx="5271135" cy="7033260"/>
                    </a:xfrm>
                    <a:prstGeom prst="rect">
                      <a:avLst/>
                    </a:prstGeom>
                    <a:noFill/>
                    <a:ln>
                      <a:noFill/>
                    </a:ln>
                  </pic:spPr>
                </pic:pic>
              </a:graphicData>
            </a:graphic>
          </wp:inline>
        </w:drawing>
      </w:r>
      <w:r>
        <w:drawing>
          <wp:inline distT="0" distB="0" distL="114300" distR="114300">
            <wp:extent cx="5269230" cy="7016115"/>
            <wp:effectExtent l="0" t="0" r="7620" b="1333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9"/>
                    <a:stretch>
                      <a:fillRect/>
                    </a:stretch>
                  </pic:blipFill>
                  <pic:spPr>
                    <a:xfrm>
                      <a:off x="0" y="0"/>
                      <a:ext cx="5269230" cy="7016115"/>
                    </a:xfrm>
                    <a:prstGeom prst="rect">
                      <a:avLst/>
                    </a:prstGeom>
                    <a:noFill/>
                    <a:ln>
                      <a:noFill/>
                    </a:ln>
                  </pic:spPr>
                </pic:pic>
              </a:graphicData>
            </a:graphic>
          </wp:inline>
        </w:drawing>
      </w:r>
      <w:r>
        <w:drawing>
          <wp:inline distT="0" distB="0" distL="114300" distR="114300">
            <wp:extent cx="5268595" cy="6958330"/>
            <wp:effectExtent l="0" t="0" r="8255" b="1397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50"/>
                    <a:stretch>
                      <a:fillRect/>
                    </a:stretch>
                  </pic:blipFill>
                  <pic:spPr>
                    <a:xfrm>
                      <a:off x="0" y="0"/>
                      <a:ext cx="5268595" cy="6958330"/>
                    </a:xfrm>
                    <a:prstGeom prst="rect">
                      <a:avLst/>
                    </a:prstGeom>
                    <a:noFill/>
                    <a:ln>
                      <a:noFill/>
                    </a:ln>
                  </pic:spPr>
                </pic:pic>
              </a:graphicData>
            </a:graphic>
          </wp:inline>
        </w:drawing>
      </w:r>
      <w:r>
        <w:drawing>
          <wp:inline distT="0" distB="0" distL="114300" distR="114300">
            <wp:extent cx="5268595" cy="6884035"/>
            <wp:effectExtent l="0" t="0" r="8255" b="1206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51"/>
                    <a:stretch>
                      <a:fillRect/>
                    </a:stretch>
                  </pic:blipFill>
                  <pic:spPr>
                    <a:xfrm>
                      <a:off x="0" y="0"/>
                      <a:ext cx="5268595" cy="6884035"/>
                    </a:xfrm>
                    <a:prstGeom prst="rect">
                      <a:avLst/>
                    </a:prstGeom>
                    <a:noFill/>
                    <a:ln>
                      <a:noFill/>
                    </a:ln>
                  </pic:spPr>
                </pic:pic>
              </a:graphicData>
            </a:graphic>
          </wp:inline>
        </w:drawing>
      </w:r>
      <w:r>
        <w:drawing>
          <wp:inline distT="0" distB="0" distL="114300" distR="114300">
            <wp:extent cx="5268595" cy="7002780"/>
            <wp:effectExtent l="0" t="0" r="8255" b="762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2"/>
                    <a:stretch>
                      <a:fillRect/>
                    </a:stretch>
                  </pic:blipFill>
                  <pic:spPr>
                    <a:xfrm>
                      <a:off x="0" y="0"/>
                      <a:ext cx="5268595" cy="7002780"/>
                    </a:xfrm>
                    <a:prstGeom prst="rect">
                      <a:avLst/>
                    </a:prstGeom>
                    <a:noFill/>
                    <a:ln>
                      <a:noFill/>
                    </a:ln>
                  </pic:spPr>
                </pic:pic>
              </a:graphicData>
            </a:graphic>
          </wp:inline>
        </w:drawing>
      </w:r>
      <w:r>
        <w:drawing>
          <wp:inline distT="0" distB="0" distL="114300" distR="114300">
            <wp:extent cx="5269865" cy="7348855"/>
            <wp:effectExtent l="0" t="0" r="6985" b="4445"/>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
                    <pic:cNvPicPr>
                      <a:picLocks noChangeAspect="1"/>
                    </pic:cNvPicPr>
                  </pic:nvPicPr>
                  <pic:blipFill>
                    <a:blip r:embed="rId53"/>
                    <a:stretch>
                      <a:fillRect/>
                    </a:stretch>
                  </pic:blipFill>
                  <pic:spPr>
                    <a:xfrm>
                      <a:off x="0" y="0"/>
                      <a:ext cx="5269865" cy="7348855"/>
                    </a:xfrm>
                    <a:prstGeom prst="rect">
                      <a:avLst/>
                    </a:prstGeom>
                    <a:noFill/>
                    <a:ln>
                      <a:noFill/>
                    </a:ln>
                  </pic:spPr>
                </pic:pic>
              </a:graphicData>
            </a:graphic>
          </wp:inline>
        </w:drawing>
      </w:r>
      <w:r>
        <w:drawing>
          <wp:inline distT="0" distB="0" distL="114300" distR="114300">
            <wp:extent cx="5273040" cy="7451725"/>
            <wp:effectExtent l="0" t="0" r="3810" b="15875"/>
            <wp:docPr id="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
                    <pic:cNvPicPr>
                      <a:picLocks noChangeAspect="1"/>
                    </pic:cNvPicPr>
                  </pic:nvPicPr>
                  <pic:blipFill>
                    <a:blip r:embed="rId54"/>
                    <a:stretch>
                      <a:fillRect/>
                    </a:stretch>
                  </pic:blipFill>
                  <pic:spPr>
                    <a:xfrm>
                      <a:off x="0" y="0"/>
                      <a:ext cx="5273040" cy="7451725"/>
                    </a:xfrm>
                    <a:prstGeom prst="rect">
                      <a:avLst/>
                    </a:prstGeom>
                    <a:noFill/>
                    <a:ln>
                      <a:noFill/>
                    </a:ln>
                  </pic:spPr>
                </pic:pic>
              </a:graphicData>
            </a:graphic>
          </wp:inline>
        </w:drawing>
      </w:r>
      <w:r>
        <w:drawing>
          <wp:inline distT="0" distB="0" distL="114300" distR="114300">
            <wp:extent cx="5272405" cy="7447915"/>
            <wp:effectExtent l="0" t="0" r="4445" b="635"/>
            <wp:docPr id="9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4"/>
                    <pic:cNvPicPr>
                      <a:picLocks noChangeAspect="1"/>
                    </pic:cNvPicPr>
                  </pic:nvPicPr>
                  <pic:blipFill>
                    <a:blip r:embed="rId55"/>
                    <a:stretch>
                      <a:fillRect/>
                    </a:stretch>
                  </pic:blipFill>
                  <pic:spPr>
                    <a:xfrm>
                      <a:off x="0" y="0"/>
                      <a:ext cx="5272405" cy="7447915"/>
                    </a:xfrm>
                    <a:prstGeom prst="rect">
                      <a:avLst/>
                    </a:prstGeom>
                    <a:noFill/>
                    <a:ln>
                      <a:noFill/>
                    </a:ln>
                  </pic:spPr>
                </pic:pic>
              </a:graphicData>
            </a:graphic>
          </wp:inline>
        </w:drawing>
      </w:r>
      <w:r>
        <w:drawing>
          <wp:inline distT="0" distB="0" distL="114300" distR="114300">
            <wp:extent cx="5269865" cy="7519035"/>
            <wp:effectExtent l="0" t="0" r="6985" b="5715"/>
            <wp:docPr id="9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5"/>
                    <pic:cNvPicPr>
                      <a:picLocks noChangeAspect="1"/>
                    </pic:cNvPicPr>
                  </pic:nvPicPr>
                  <pic:blipFill>
                    <a:blip r:embed="rId56"/>
                    <a:stretch>
                      <a:fillRect/>
                    </a:stretch>
                  </pic:blipFill>
                  <pic:spPr>
                    <a:xfrm>
                      <a:off x="0" y="0"/>
                      <a:ext cx="5269865" cy="7519035"/>
                    </a:xfrm>
                    <a:prstGeom prst="rect">
                      <a:avLst/>
                    </a:prstGeom>
                    <a:noFill/>
                    <a:ln>
                      <a:noFill/>
                    </a:ln>
                  </pic:spPr>
                </pic:pic>
              </a:graphicData>
            </a:graphic>
          </wp:inline>
        </w:drawing>
      </w:r>
      <w:r>
        <w:drawing>
          <wp:inline distT="0" distB="0" distL="114300" distR="114300">
            <wp:extent cx="5270500" cy="7253605"/>
            <wp:effectExtent l="0" t="0" r="6350" b="4445"/>
            <wp:docPr id="9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6"/>
                    <pic:cNvPicPr>
                      <a:picLocks noChangeAspect="1"/>
                    </pic:cNvPicPr>
                  </pic:nvPicPr>
                  <pic:blipFill>
                    <a:blip r:embed="rId57"/>
                    <a:stretch>
                      <a:fillRect/>
                    </a:stretch>
                  </pic:blipFill>
                  <pic:spPr>
                    <a:xfrm>
                      <a:off x="0" y="0"/>
                      <a:ext cx="5270500" cy="7253605"/>
                    </a:xfrm>
                    <a:prstGeom prst="rect">
                      <a:avLst/>
                    </a:prstGeom>
                    <a:noFill/>
                    <a:ln>
                      <a:noFill/>
                    </a:ln>
                  </pic:spPr>
                </pic:pic>
              </a:graphicData>
            </a:graphic>
          </wp:inline>
        </w:drawing>
      </w:r>
    </w:p>
    <w:p>
      <w:pPr>
        <w:numPr>
          <w:ilvl w:val="0"/>
          <w:numId w:val="1"/>
        </w:numPr>
        <w:bidi w:val="0"/>
        <w:jc w:val="left"/>
        <w:rPr>
          <w:rFonts w:hint="eastAsia"/>
        </w:rPr>
      </w:pPr>
      <w:r>
        <w:rPr>
          <w:rFonts w:hint="eastAsia"/>
        </w:rPr>
        <w:br w:type="page"/>
      </w:r>
    </w:p>
    <w:p>
      <w:pPr>
        <w:pStyle w:val="3"/>
        <w:spacing w:before="0" w:after="0" w:line="240" w:lineRule="auto"/>
        <w:ind w:firstLine="151" w:firstLineChars="50"/>
        <w:rPr>
          <w:rFonts w:hint="eastAsia" w:ascii="Times New Roman" w:hAnsi="Times New Roman" w:eastAsia="宋体"/>
          <w:sz w:val="24"/>
          <w:szCs w:val="24"/>
          <w:lang w:val="en-US" w:eastAsia="zh-CN"/>
        </w:rPr>
      </w:pPr>
      <w:bookmarkStart w:id="387" w:name="_Toc8677"/>
      <w:r>
        <w:rPr>
          <w:rFonts w:hint="eastAsia"/>
          <w:kern w:val="2"/>
          <w:sz w:val="30"/>
          <w:szCs w:val="30"/>
        </w:rPr>
        <w:t>（</w:t>
      </w:r>
      <w:r>
        <w:rPr>
          <w:rFonts w:hint="eastAsia"/>
          <w:kern w:val="2"/>
          <w:sz w:val="30"/>
          <w:szCs w:val="30"/>
          <w:lang w:val="en-US" w:eastAsia="zh-CN"/>
        </w:rPr>
        <w:t>7</w:t>
      </w:r>
      <w:r>
        <w:rPr>
          <w:rFonts w:hint="eastAsia"/>
          <w:kern w:val="2"/>
          <w:sz w:val="30"/>
          <w:szCs w:val="30"/>
        </w:rPr>
        <w:t>）其他证明文件</w:t>
      </w:r>
      <w:bookmarkEnd w:id="387"/>
    </w:p>
    <w:p>
      <w:pPr>
        <w:bidi w:val="0"/>
      </w:pPr>
    </w:p>
    <w:p>
      <w:pPr>
        <w:bidi w:val="0"/>
        <w:sectPr>
          <w:pgSz w:w="11906" w:h="16838"/>
          <w:pgMar w:top="1440" w:right="1800" w:bottom="1440" w:left="1800" w:header="1417" w:footer="1134" w:gutter="0"/>
          <w:cols w:space="720" w:num="1"/>
          <w:docGrid w:type="lines" w:linePitch="326" w:charSpace="0"/>
        </w:sectPr>
      </w:pPr>
      <w:r>
        <w:drawing>
          <wp:inline distT="0" distB="0" distL="114300" distR="114300">
            <wp:extent cx="5267960" cy="7123430"/>
            <wp:effectExtent l="0" t="0" r="8890" b="1270"/>
            <wp:docPr id="9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7"/>
                    <pic:cNvPicPr>
                      <a:picLocks noChangeAspect="1"/>
                    </pic:cNvPicPr>
                  </pic:nvPicPr>
                  <pic:blipFill>
                    <a:blip r:embed="rId58"/>
                    <a:stretch>
                      <a:fillRect/>
                    </a:stretch>
                  </pic:blipFill>
                  <pic:spPr>
                    <a:xfrm>
                      <a:off x="0" y="0"/>
                      <a:ext cx="5267960" cy="7123430"/>
                    </a:xfrm>
                    <a:prstGeom prst="rect">
                      <a:avLst/>
                    </a:prstGeom>
                    <a:noFill/>
                    <a:ln>
                      <a:noFill/>
                    </a:ln>
                  </pic:spPr>
                </pic:pic>
              </a:graphicData>
            </a:graphic>
          </wp:inline>
        </w:drawing>
      </w:r>
    </w:p>
    <w:p>
      <w:pPr>
        <w:widowControl/>
        <w:jc w:val="both"/>
        <w:rPr>
          <w:rFonts w:ascii="Times New Roman" w:hAnsi="Times New Roman" w:eastAsia="宋体"/>
          <w:sz w:val="24"/>
          <w:szCs w:val="24"/>
        </w:rPr>
      </w:pPr>
      <w:r>
        <w:drawing>
          <wp:inline distT="0" distB="0" distL="114300" distR="114300">
            <wp:extent cx="5273040" cy="7527925"/>
            <wp:effectExtent l="0" t="0" r="3810" b="15875"/>
            <wp:docPr id="9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8"/>
                    <pic:cNvPicPr>
                      <a:picLocks noChangeAspect="1"/>
                    </pic:cNvPicPr>
                  </pic:nvPicPr>
                  <pic:blipFill>
                    <a:blip r:embed="rId59"/>
                    <a:stretch>
                      <a:fillRect/>
                    </a:stretch>
                  </pic:blipFill>
                  <pic:spPr>
                    <a:xfrm>
                      <a:off x="0" y="0"/>
                      <a:ext cx="5273040" cy="7527925"/>
                    </a:xfrm>
                    <a:prstGeom prst="rect">
                      <a:avLst/>
                    </a:prstGeom>
                    <a:noFill/>
                    <a:ln>
                      <a:noFill/>
                    </a:ln>
                  </pic:spPr>
                </pic:pic>
              </a:graphicData>
            </a:graphic>
          </wp:inline>
        </w:drawing>
      </w:r>
      <w:r>
        <w:drawing>
          <wp:inline distT="0" distB="0" distL="114300" distR="114300">
            <wp:extent cx="5271135" cy="7409815"/>
            <wp:effectExtent l="0" t="0" r="5715" b="635"/>
            <wp:docPr id="9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9"/>
                    <pic:cNvPicPr>
                      <a:picLocks noChangeAspect="1"/>
                    </pic:cNvPicPr>
                  </pic:nvPicPr>
                  <pic:blipFill>
                    <a:blip r:embed="rId60"/>
                    <a:stretch>
                      <a:fillRect/>
                    </a:stretch>
                  </pic:blipFill>
                  <pic:spPr>
                    <a:xfrm>
                      <a:off x="0" y="0"/>
                      <a:ext cx="5271135" cy="7409815"/>
                    </a:xfrm>
                    <a:prstGeom prst="rect">
                      <a:avLst/>
                    </a:prstGeom>
                    <a:noFill/>
                    <a:ln>
                      <a:noFill/>
                    </a:ln>
                  </pic:spPr>
                </pic:pic>
              </a:graphicData>
            </a:graphic>
          </wp:inline>
        </w:drawing>
      </w:r>
      <w:r>
        <w:drawing>
          <wp:inline distT="0" distB="0" distL="114300" distR="114300">
            <wp:extent cx="5271135" cy="8017510"/>
            <wp:effectExtent l="0" t="0" r="5715" b="2540"/>
            <wp:docPr id="1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0"/>
                    <pic:cNvPicPr>
                      <a:picLocks noChangeAspect="1"/>
                    </pic:cNvPicPr>
                  </pic:nvPicPr>
                  <pic:blipFill>
                    <a:blip r:embed="rId61"/>
                    <a:stretch>
                      <a:fillRect/>
                    </a:stretch>
                  </pic:blipFill>
                  <pic:spPr>
                    <a:xfrm>
                      <a:off x="0" y="0"/>
                      <a:ext cx="5271135" cy="8017510"/>
                    </a:xfrm>
                    <a:prstGeom prst="rect">
                      <a:avLst/>
                    </a:prstGeom>
                    <a:noFill/>
                    <a:ln>
                      <a:noFill/>
                    </a:ln>
                  </pic:spPr>
                </pic:pic>
              </a:graphicData>
            </a:graphic>
          </wp:inline>
        </w:drawing>
      </w:r>
    </w:p>
    <w:sectPr>
      <w:pgSz w:w="11906" w:h="16838"/>
      <w:pgMar w:top="1440" w:right="1800" w:bottom="1440" w:left="1800" w:header="964"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Cambria">
    <w:panose1 w:val="02040503050406030204"/>
    <w:charset w:val="00"/>
    <w:family w:val="roman"/>
    <w:pitch w:val="default"/>
    <w:sig w:usb0="E00002FF" w:usb1="400004FF" w:usb2="00000000" w:usb3="00000000" w:csb0="2000019F" w:csb1="00000000"/>
  </w:font>
  <w:font w:name="方正仿宋简体">
    <w:altName w:val="微软雅黑"/>
    <w:panose1 w:val="03000509000000000000"/>
    <w:charset w:val="86"/>
    <w:family w:val="auto"/>
    <w:pitch w:val="default"/>
    <w:sig w:usb0="00000000" w:usb1="00000000" w:usb2="00000000" w:usb3="00000000" w:csb0="00000000" w:csb1="00000000"/>
  </w:font>
  <w:font w:name="Arial Unicode MS">
    <w:altName w:val="Arial"/>
    <w:panose1 w:val="020B0604020202020204"/>
    <w:charset w:val="00"/>
    <w:family w:val="roman"/>
    <w:pitch w:val="default"/>
    <w:sig w:usb0="00000000" w:usb1="00000000" w:usb2="00000000" w:usb3="00000000" w:csb0="00000001" w:csb1="00000000"/>
  </w:font>
  <w:font w:name="仿宋_GB2312">
    <w:altName w:val="仿宋"/>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Adobe 宋体 Std L">
    <w:altName w:val="宋体"/>
    <w:panose1 w:val="00000000000000000000"/>
    <w:charset w:val="86"/>
    <w:family w:val="roman"/>
    <w:pitch w:val="default"/>
    <w:sig w:usb0="00000000" w:usb1="00000000" w:usb2="00000016" w:usb3="00000000" w:csb0="00060007" w:csb1="00000000"/>
  </w:font>
  <w:font w:name="华文中宋">
    <w:altName w:val="宋体"/>
    <w:panose1 w:val="00000000000000000000"/>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p>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305933"/>
      <w:docPartObj>
        <w:docPartGallery w:val="autotext"/>
      </w:docPartObj>
    </w:sdtPr>
    <w:sdtContent>
      <w:p>
        <w:pPr>
          <w:pStyle w:val="19"/>
          <w:jc w:val="center"/>
        </w:pPr>
        <w:r>
          <w:fldChar w:fldCharType="begin"/>
        </w:r>
        <w:r>
          <w:instrText xml:space="preserve"> PAGE   \* MERGEFORMAT </w:instrText>
        </w:r>
        <w:r>
          <w:fldChar w:fldCharType="separate"/>
        </w:r>
        <w:r>
          <w:rPr>
            <w:lang w:val="zh-CN"/>
          </w:rPr>
          <w:t>74</w:t>
        </w:r>
        <w:r>
          <w:rPr>
            <w:lang w:val="zh-CN"/>
          </w:rPr>
          <w:fldChar w:fldCharType="end"/>
        </w:r>
      </w:p>
    </w:sdtContent>
  </w:sdt>
  <w:p>
    <w:pPr>
      <w:pStyle w:val="1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1B6D339"/>
    <w:multiLevelType w:val="singleLevel"/>
    <w:tmpl w:val="61B6D339"/>
    <w:lvl w:ilvl="0" w:tentative="0">
      <w:start w:val="4"/>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lNWM1YjkzY2MwMzRhNTFmZGVjMTU4ZWI2NDgwZDgifQ=="/>
  </w:docVars>
  <w:rsids>
    <w:rsidRoot w:val="00E76027"/>
    <w:rsid w:val="00001861"/>
    <w:rsid w:val="0000381C"/>
    <w:rsid w:val="00004AA7"/>
    <w:rsid w:val="00011B7F"/>
    <w:rsid w:val="0001434A"/>
    <w:rsid w:val="00016639"/>
    <w:rsid w:val="00017A14"/>
    <w:rsid w:val="00023F7B"/>
    <w:rsid w:val="000240D0"/>
    <w:rsid w:val="00032377"/>
    <w:rsid w:val="00032763"/>
    <w:rsid w:val="00040273"/>
    <w:rsid w:val="00042E6A"/>
    <w:rsid w:val="0004332B"/>
    <w:rsid w:val="0004353C"/>
    <w:rsid w:val="00047E9D"/>
    <w:rsid w:val="0005078E"/>
    <w:rsid w:val="000542E7"/>
    <w:rsid w:val="00056941"/>
    <w:rsid w:val="00056D52"/>
    <w:rsid w:val="00057A05"/>
    <w:rsid w:val="000717E3"/>
    <w:rsid w:val="00071FF7"/>
    <w:rsid w:val="00073B53"/>
    <w:rsid w:val="000761BB"/>
    <w:rsid w:val="00087D1D"/>
    <w:rsid w:val="0009478B"/>
    <w:rsid w:val="000A0BBF"/>
    <w:rsid w:val="000C408F"/>
    <w:rsid w:val="000C4D5A"/>
    <w:rsid w:val="000C5990"/>
    <w:rsid w:val="000E38B6"/>
    <w:rsid w:val="000E3E39"/>
    <w:rsid w:val="000E6B97"/>
    <w:rsid w:val="000F2542"/>
    <w:rsid w:val="000F3840"/>
    <w:rsid w:val="000F581E"/>
    <w:rsid w:val="000F7D9C"/>
    <w:rsid w:val="00105131"/>
    <w:rsid w:val="00106E66"/>
    <w:rsid w:val="0011091C"/>
    <w:rsid w:val="00113A45"/>
    <w:rsid w:val="00116D3D"/>
    <w:rsid w:val="0011700B"/>
    <w:rsid w:val="001247F8"/>
    <w:rsid w:val="00127D5D"/>
    <w:rsid w:val="0013013F"/>
    <w:rsid w:val="001311BB"/>
    <w:rsid w:val="00136BE5"/>
    <w:rsid w:val="00137823"/>
    <w:rsid w:val="00142033"/>
    <w:rsid w:val="0014432F"/>
    <w:rsid w:val="00154558"/>
    <w:rsid w:val="00155533"/>
    <w:rsid w:val="00155BE2"/>
    <w:rsid w:val="00163D56"/>
    <w:rsid w:val="0017064B"/>
    <w:rsid w:val="00181F8E"/>
    <w:rsid w:val="00186633"/>
    <w:rsid w:val="00192874"/>
    <w:rsid w:val="0019386F"/>
    <w:rsid w:val="00195732"/>
    <w:rsid w:val="001A2D03"/>
    <w:rsid w:val="001A2DC7"/>
    <w:rsid w:val="001A5E34"/>
    <w:rsid w:val="001A6081"/>
    <w:rsid w:val="001B7AA3"/>
    <w:rsid w:val="001C1730"/>
    <w:rsid w:val="001D1402"/>
    <w:rsid w:val="001D251E"/>
    <w:rsid w:val="001D65C9"/>
    <w:rsid w:val="001D78FB"/>
    <w:rsid w:val="001E0285"/>
    <w:rsid w:val="001E24F5"/>
    <w:rsid w:val="001E5660"/>
    <w:rsid w:val="001E6FDD"/>
    <w:rsid w:val="001F1A76"/>
    <w:rsid w:val="001F3922"/>
    <w:rsid w:val="0020103F"/>
    <w:rsid w:val="00201EE6"/>
    <w:rsid w:val="00202A8E"/>
    <w:rsid w:val="00211031"/>
    <w:rsid w:val="00215AC2"/>
    <w:rsid w:val="00217DFE"/>
    <w:rsid w:val="002300C5"/>
    <w:rsid w:val="002332EB"/>
    <w:rsid w:val="00242CA9"/>
    <w:rsid w:val="00247CB3"/>
    <w:rsid w:val="002622BF"/>
    <w:rsid w:val="00265979"/>
    <w:rsid w:val="0027400A"/>
    <w:rsid w:val="00280F68"/>
    <w:rsid w:val="002850FC"/>
    <w:rsid w:val="00292EDA"/>
    <w:rsid w:val="002933C6"/>
    <w:rsid w:val="00293E93"/>
    <w:rsid w:val="002A0AD7"/>
    <w:rsid w:val="002A39F3"/>
    <w:rsid w:val="002A44AC"/>
    <w:rsid w:val="002A5981"/>
    <w:rsid w:val="002B1EC1"/>
    <w:rsid w:val="002B2304"/>
    <w:rsid w:val="002B2A44"/>
    <w:rsid w:val="002B3D60"/>
    <w:rsid w:val="002C635B"/>
    <w:rsid w:val="002D0B8B"/>
    <w:rsid w:val="002E1B01"/>
    <w:rsid w:val="002F441B"/>
    <w:rsid w:val="00303AC3"/>
    <w:rsid w:val="00315735"/>
    <w:rsid w:val="00320B83"/>
    <w:rsid w:val="0034235E"/>
    <w:rsid w:val="00343B90"/>
    <w:rsid w:val="00346D96"/>
    <w:rsid w:val="003509CE"/>
    <w:rsid w:val="00353980"/>
    <w:rsid w:val="00354644"/>
    <w:rsid w:val="00354EA0"/>
    <w:rsid w:val="003610ED"/>
    <w:rsid w:val="003636F8"/>
    <w:rsid w:val="0036489B"/>
    <w:rsid w:val="00370181"/>
    <w:rsid w:val="003706D0"/>
    <w:rsid w:val="003850E8"/>
    <w:rsid w:val="003871C0"/>
    <w:rsid w:val="00390DAD"/>
    <w:rsid w:val="00394619"/>
    <w:rsid w:val="00395795"/>
    <w:rsid w:val="003A1166"/>
    <w:rsid w:val="003A7E4C"/>
    <w:rsid w:val="003B1452"/>
    <w:rsid w:val="003C0E05"/>
    <w:rsid w:val="003C2916"/>
    <w:rsid w:val="003D01F1"/>
    <w:rsid w:val="003D1C47"/>
    <w:rsid w:val="003D778A"/>
    <w:rsid w:val="003E4B6A"/>
    <w:rsid w:val="003F046F"/>
    <w:rsid w:val="003F6AAC"/>
    <w:rsid w:val="00402738"/>
    <w:rsid w:val="0040535E"/>
    <w:rsid w:val="004065F7"/>
    <w:rsid w:val="00407C04"/>
    <w:rsid w:val="00413005"/>
    <w:rsid w:val="00413941"/>
    <w:rsid w:val="004152B6"/>
    <w:rsid w:val="00416838"/>
    <w:rsid w:val="0041743C"/>
    <w:rsid w:val="00445F9E"/>
    <w:rsid w:val="00452D06"/>
    <w:rsid w:val="0045746D"/>
    <w:rsid w:val="00461675"/>
    <w:rsid w:val="004671CE"/>
    <w:rsid w:val="00487F90"/>
    <w:rsid w:val="004915CF"/>
    <w:rsid w:val="00497770"/>
    <w:rsid w:val="004A2733"/>
    <w:rsid w:val="004A78EA"/>
    <w:rsid w:val="004B1AB9"/>
    <w:rsid w:val="004C038C"/>
    <w:rsid w:val="004D6FB2"/>
    <w:rsid w:val="004D786D"/>
    <w:rsid w:val="004F3028"/>
    <w:rsid w:val="004F4645"/>
    <w:rsid w:val="00502BCF"/>
    <w:rsid w:val="0050621E"/>
    <w:rsid w:val="0051313C"/>
    <w:rsid w:val="00514AFF"/>
    <w:rsid w:val="005154FF"/>
    <w:rsid w:val="00534C84"/>
    <w:rsid w:val="005351B0"/>
    <w:rsid w:val="005376BE"/>
    <w:rsid w:val="0054312D"/>
    <w:rsid w:val="00547008"/>
    <w:rsid w:val="0055140B"/>
    <w:rsid w:val="00551F17"/>
    <w:rsid w:val="00552A3C"/>
    <w:rsid w:val="0055611C"/>
    <w:rsid w:val="00557838"/>
    <w:rsid w:val="0056283D"/>
    <w:rsid w:val="00567780"/>
    <w:rsid w:val="00573B57"/>
    <w:rsid w:val="00574AEE"/>
    <w:rsid w:val="00576D0C"/>
    <w:rsid w:val="00577BDC"/>
    <w:rsid w:val="00581277"/>
    <w:rsid w:val="0058218E"/>
    <w:rsid w:val="0058686B"/>
    <w:rsid w:val="0059199E"/>
    <w:rsid w:val="00595495"/>
    <w:rsid w:val="005971FD"/>
    <w:rsid w:val="005A26C7"/>
    <w:rsid w:val="005A37D5"/>
    <w:rsid w:val="005A5CAF"/>
    <w:rsid w:val="005B22CB"/>
    <w:rsid w:val="005B338D"/>
    <w:rsid w:val="005C5669"/>
    <w:rsid w:val="005D3736"/>
    <w:rsid w:val="005E4C59"/>
    <w:rsid w:val="005F15BE"/>
    <w:rsid w:val="005F4C2C"/>
    <w:rsid w:val="005F4C97"/>
    <w:rsid w:val="006132AE"/>
    <w:rsid w:val="006156CF"/>
    <w:rsid w:val="00622452"/>
    <w:rsid w:val="00630CA0"/>
    <w:rsid w:val="00632AB3"/>
    <w:rsid w:val="00651C2B"/>
    <w:rsid w:val="00652809"/>
    <w:rsid w:val="00663EC1"/>
    <w:rsid w:val="00670705"/>
    <w:rsid w:val="00674230"/>
    <w:rsid w:val="00680537"/>
    <w:rsid w:val="0069028A"/>
    <w:rsid w:val="00693720"/>
    <w:rsid w:val="006938ED"/>
    <w:rsid w:val="006A61EE"/>
    <w:rsid w:val="006B05A5"/>
    <w:rsid w:val="006B1644"/>
    <w:rsid w:val="006B4F3A"/>
    <w:rsid w:val="006B512D"/>
    <w:rsid w:val="006C42AE"/>
    <w:rsid w:val="006D0C22"/>
    <w:rsid w:val="006D3FAF"/>
    <w:rsid w:val="006D46EA"/>
    <w:rsid w:val="006D67FE"/>
    <w:rsid w:val="006E4AAC"/>
    <w:rsid w:val="006E53B0"/>
    <w:rsid w:val="006E6106"/>
    <w:rsid w:val="00707F0D"/>
    <w:rsid w:val="00714AA3"/>
    <w:rsid w:val="00721A1D"/>
    <w:rsid w:val="007238A0"/>
    <w:rsid w:val="00723B8B"/>
    <w:rsid w:val="00724659"/>
    <w:rsid w:val="00725864"/>
    <w:rsid w:val="00727BE2"/>
    <w:rsid w:val="00733546"/>
    <w:rsid w:val="007366EB"/>
    <w:rsid w:val="00740EF9"/>
    <w:rsid w:val="00742C5A"/>
    <w:rsid w:val="007552F8"/>
    <w:rsid w:val="00764187"/>
    <w:rsid w:val="00764B95"/>
    <w:rsid w:val="007714CD"/>
    <w:rsid w:val="00776A93"/>
    <w:rsid w:val="0078004E"/>
    <w:rsid w:val="00780F13"/>
    <w:rsid w:val="00790FE3"/>
    <w:rsid w:val="00797F6B"/>
    <w:rsid w:val="007A31DC"/>
    <w:rsid w:val="007A4E00"/>
    <w:rsid w:val="007B1BA8"/>
    <w:rsid w:val="007B7C6D"/>
    <w:rsid w:val="007C0AF8"/>
    <w:rsid w:val="007C123D"/>
    <w:rsid w:val="007C4A2B"/>
    <w:rsid w:val="007D00C2"/>
    <w:rsid w:val="007D0F01"/>
    <w:rsid w:val="007D54CE"/>
    <w:rsid w:val="007D57A1"/>
    <w:rsid w:val="007E2511"/>
    <w:rsid w:val="007E3A98"/>
    <w:rsid w:val="007F148E"/>
    <w:rsid w:val="007F5629"/>
    <w:rsid w:val="008001D6"/>
    <w:rsid w:val="00804FB1"/>
    <w:rsid w:val="00806AFE"/>
    <w:rsid w:val="00807020"/>
    <w:rsid w:val="00811EC0"/>
    <w:rsid w:val="00825BB8"/>
    <w:rsid w:val="008266A9"/>
    <w:rsid w:val="00833F99"/>
    <w:rsid w:val="008434ED"/>
    <w:rsid w:val="00844BC1"/>
    <w:rsid w:val="00847A06"/>
    <w:rsid w:val="00863556"/>
    <w:rsid w:val="00864BE5"/>
    <w:rsid w:val="0086604A"/>
    <w:rsid w:val="0086622F"/>
    <w:rsid w:val="00867A6A"/>
    <w:rsid w:val="00876644"/>
    <w:rsid w:val="008802FA"/>
    <w:rsid w:val="008846B4"/>
    <w:rsid w:val="00884EB8"/>
    <w:rsid w:val="00891C7D"/>
    <w:rsid w:val="008D310E"/>
    <w:rsid w:val="008D31DF"/>
    <w:rsid w:val="008D408D"/>
    <w:rsid w:val="008E3599"/>
    <w:rsid w:val="008E4F0C"/>
    <w:rsid w:val="008F43F2"/>
    <w:rsid w:val="0093188C"/>
    <w:rsid w:val="009322C0"/>
    <w:rsid w:val="009336C9"/>
    <w:rsid w:val="009336FB"/>
    <w:rsid w:val="009342F1"/>
    <w:rsid w:val="009355B9"/>
    <w:rsid w:val="00935690"/>
    <w:rsid w:val="009367BB"/>
    <w:rsid w:val="009405CF"/>
    <w:rsid w:val="00940BE8"/>
    <w:rsid w:val="00941949"/>
    <w:rsid w:val="0095309D"/>
    <w:rsid w:val="009716B0"/>
    <w:rsid w:val="00972C97"/>
    <w:rsid w:val="00972D68"/>
    <w:rsid w:val="00974D1B"/>
    <w:rsid w:val="00982495"/>
    <w:rsid w:val="00984E0D"/>
    <w:rsid w:val="00985C18"/>
    <w:rsid w:val="00990875"/>
    <w:rsid w:val="00993A31"/>
    <w:rsid w:val="009A1D7D"/>
    <w:rsid w:val="009A60D0"/>
    <w:rsid w:val="009A661D"/>
    <w:rsid w:val="009A7718"/>
    <w:rsid w:val="009D174C"/>
    <w:rsid w:val="009D24B9"/>
    <w:rsid w:val="009D3A44"/>
    <w:rsid w:val="009F1226"/>
    <w:rsid w:val="009F519D"/>
    <w:rsid w:val="00A03DA2"/>
    <w:rsid w:val="00A05CC2"/>
    <w:rsid w:val="00A06724"/>
    <w:rsid w:val="00A13C9F"/>
    <w:rsid w:val="00A22E38"/>
    <w:rsid w:val="00A264BA"/>
    <w:rsid w:val="00A31347"/>
    <w:rsid w:val="00A32240"/>
    <w:rsid w:val="00A33313"/>
    <w:rsid w:val="00A34934"/>
    <w:rsid w:val="00A41AC2"/>
    <w:rsid w:val="00A44894"/>
    <w:rsid w:val="00A5729C"/>
    <w:rsid w:val="00A6077C"/>
    <w:rsid w:val="00A7163F"/>
    <w:rsid w:val="00A73F1A"/>
    <w:rsid w:val="00A7486C"/>
    <w:rsid w:val="00A76D71"/>
    <w:rsid w:val="00A8358E"/>
    <w:rsid w:val="00A91E1C"/>
    <w:rsid w:val="00A95CAF"/>
    <w:rsid w:val="00AA5EE5"/>
    <w:rsid w:val="00AA61C8"/>
    <w:rsid w:val="00AA645C"/>
    <w:rsid w:val="00AB023E"/>
    <w:rsid w:val="00AB4236"/>
    <w:rsid w:val="00AD7497"/>
    <w:rsid w:val="00AF2C72"/>
    <w:rsid w:val="00AF5609"/>
    <w:rsid w:val="00B104A1"/>
    <w:rsid w:val="00B11D25"/>
    <w:rsid w:val="00B13857"/>
    <w:rsid w:val="00B16F85"/>
    <w:rsid w:val="00B41593"/>
    <w:rsid w:val="00B45686"/>
    <w:rsid w:val="00B475E5"/>
    <w:rsid w:val="00B55563"/>
    <w:rsid w:val="00B55870"/>
    <w:rsid w:val="00B561FB"/>
    <w:rsid w:val="00B60C33"/>
    <w:rsid w:val="00B70DC5"/>
    <w:rsid w:val="00B71BFE"/>
    <w:rsid w:val="00B73CC7"/>
    <w:rsid w:val="00B759D2"/>
    <w:rsid w:val="00B76FAE"/>
    <w:rsid w:val="00B80A92"/>
    <w:rsid w:val="00B83A54"/>
    <w:rsid w:val="00B9439B"/>
    <w:rsid w:val="00B95396"/>
    <w:rsid w:val="00B95562"/>
    <w:rsid w:val="00BB06FF"/>
    <w:rsid w:val="00BB171D"/>
    <w:rsid w:val="00BB2870"/>
    <w:rsid w:val="00BC27CA"/>
    <w:rsid w:val="00BC356F"/>
    <w:rsid w:val="00BC3D95"/>
    <w:rsid w:val="00BC3E24"/>
    <w:rsid w:val="00BC4013"/>
    <w:rsid w:val="00BC597A"/>
    <w:rsid w:val="00BC6577"/>
    <w:rsid w:val="00BC6EA1"/>
    <w:rsid w:val="00BC7472"/>
    <w:rsid w:val="00BD2221"/>
    <w:rsid w:val="00BE45A4"/>
    <w:rsid w:val="00BF1B0A"/>
    <w:rsid w:val="00C00DA9"/>
    <w:rsid w:val="00C126A7"/>
    <w:rsid w:val="00C204C6"/>
    <w:rsid w:val="00C23B2F"/>
    <w:rsid w:val="00C271AD"/>
    <w:rsid w:val="00C56F21"/>
    <w:rsid w:val="00C60F4F"/>
    <w:rsid w:val="00C60FAF"/>
    <w:rsid w:val="00C67BC0"/>
    <w:rsid w:val="00C75B9F"/>
    <w:rsid w:val="00C77040"/>
    <w:rsid w:val="00C80CAD"/>
    <w:rsid w:val="00C83EE5"/>
    <w:rsid w:val="00C848F5"/>
    <w:rsid w:val="00C8514E"/>
    <w:rsid w:val="00C91429"/>
    <w:rsid w:val="00C942B8"/>
    <w:rsid w:val="00C96C73"/>
    <w:rsid w:val="00CA0279"/>
    <w:rsid w:val="00CA2353"/>
    <w:rsid w:val="00CA2919"/>
    <w:rsid w:val="00CA42F8"/>
    <w:rsid w:val="00CA687C"/>
    <w:rsid w:val="00CA76C6"/>
    <w:rsid w:val="00CB00DC"/>
    <w:rsid w:val="00CB0C6B"/>
    <w:rsid w:val="00CB25AC"/>
    <w:rsid w:val="00CB3466"/>
    <w:rsid w:val="00CC16E8"/>
    <w:rsid w:val="00CC7231"/>
    <w:rsid w:val="00CD08AD"/>
    <w:rsid w:val="00CD3BED"/>
    <w:rsid w:val="00CD66C2"/>
    <w:rsid w:val="00CD6B77"/>
    <w:rsid w:val="00CE2A1C"/>
    <w:rsid w:val="00CF0A6F"/>
    <w:rsid w:val="00CF2CF5"/>
    <w:rsid w:val="00CF2F5A"/>
    <w:rsid w:val="00CF3E16"/>
    <w:rsid w:val="00D026EE"/>
    <w:rsid w:val="00D07BB9"/>
    <w:rsid w:val="00D100AE"/>
    <w:rsid w:val="00D119C9"/>
    <w:rsid w:val="00D1640C"/>
    <w:rsid w:val="00D17376"/>
    <w:rsid w:val="00D21726"/>
    <w:rsid w:val="00D21D66"/>
    <w:rsid w:val="00D27ABD"/>
    <w:rsid w:val="00D30086"/>
    <w:rsid w:val="00D35FFD"/>
    <w:rsid w:val="00D42F83"/>
    <w:rsid w:val="00D472E0"/>
    <w:rsid w:val="00D54554"/>
    <w:rsid w:val="00D54BBD"/>
    <w:rsid w:val="00D559FF"/>
    <w:rsid w:val="00D56166"/>
    <w:rsid w:val="00D56E3E"/>
    <w:rsid w:val="00D571CD"/>
    <w:rsid w:val="00D7081B"/>
    <w:rsid w:val="00D726A5"/>
    <w:rsid w:val="00D81B0D"/>
    <w:rsid w:val="00D83534"/>
    <w:rsid w:val="00D873AA"/>
    <w:rsid w:val="00D92991"/>
    <w:rsid w:val="00DA2B58"/>
    <w:rsid w:val="00DB0A11"/>
    <w:rsid w:val="00DB30EE"/>
    <w:rsid w:val="00DB3F72"/>
    <w:rsid w:val="00DB605B"/>
    <w:rsid w:val="00DC040C"/>
    <w:rsid w:val="00DC3CAB"/>
    <w:rsid w:val="00DC79C2"/>
    <w:rsid w:val="00DD1DEB"/>
    <w:rsid w:val="00DD2A0A"/>
    <w:rsid w:val="00DD3CF2"/>
    <w:rsid w:val="00DD51FB"/>
    <w:rsid w:val="00DD56D5"/>
    <w:rsid w:val="00DF6782"/>
    <w:rsid w:val="00E150E8"/>
    <w:rsid w:val="00E17EEF"/>
    <w:rsid w:val="00E20567"/>
    <w:rsid w:val="00E21C95"/>
    <w:rsid w:val="00E22797"/>
    <w:rsid w:val="00E227D7"/>
    <w:rsid w:val="00E2715B"/>
    <w:rsid w:val="00E32781"/>
    <w:rsid w:val="00E37056"/>
    <w:rsid w:val="00E41D26"/>
    <w:rsid w:val="00E444C0"/>
    <w:rsid w:val="00E50D90"/>
    <w:rsid w:val="00E54C2F"/>
    <w:rsid w:val="00E54E97"/>
    <w:rsid w:val="00E55F5A"/>
    <w:rsid w:val="00E660FC"/>
    <w:rsid w:val="00E66CA6"/>
    <w:rsid w:val="00E73BD5"/>
    <w:rsid w:val="00E76027"/>
    <w:rsid w:val="00E7684D"/>
    <w:rsid w:val="00E85FF4"/>
    <w:rsid w:val="00E86D5F"/>
    <w:rsid w:val="00E9305D"/>
    <w:rsid w:val="00E966B8"/>
    <w:rsid w:val="00E97600"/>
    <w:rsid w:val="00EA4516"/>
    <w:rsid w:val="00EA53C9"/>
    <w:rsid w:val="00EA67F3"/>
    <w:rsid w:val="00EA7F3A"/>
    <w:rsid w:val="00EB09CB"/>
    <w:rsid w:val="00EB6766"/>
    <w:rsid w:val="00EC28BB"/>
    <w:rsid w:val="00EC78AA"/>
    <w:rsid w:val="00EE3BD6"/>
    <w:rsid w:val="00F206DF"/>
    <w:rsid w:val="00F20785"/>
    <w:rsid w:val="00F24C24"/>
    <w:rsid w:val="00F251AE"/>
    <w:rsid w:val="00F34777"/>
    <w:rsid w:val="00F410BA"/>
    <w:rsid w:val="00F438C0"/>
    <w:rsid w:val="00F45371"/>
    <w:rsid w:val="00F6055A"/>
    <w:rsid w:val="00F63688"/>
    <w:rsid w:val="00F652B0"/>
    <w:rsid w:val="00F658ED"/>
    <w:rsid w:val="00F7270D"/>
    <w:rsid w:val="00F72D06"/>
    <w:rsid w:val="00F82C75"/>
    <w:rsid w:val="00F83749"/>
    <w:rsid w:val="00F849E5"/>
    <w:rsid w:val="00FA1AD0"/>
    <w:rsid w:val="00FA357F"/>
    <w:rsid w:val="00FA509E"/>
    <w:rsid w:val="00FB193A"/>
    <w:rsid w:val="00FB59E5"/>
    <w:rsid w:val="00FB5FA7"/>
    <w:rsid w:val="00FB611A"/>
    <w:rsid w:val="00FB782F"/>
    <w:rsid w:val="00FC4C4F"/>
    <w:rsid w:val="00FD1B06"/>
    <w:rsid w:val="00FD1F6A"/>
    <w:rsid w:val="00FD25B5"/>
    <w:rsid w:val="00FD3EF8"/>
    <w:rsid w:val="00FE20B4"/>
    <w:rsid w:val="00FE3B17"/>
    <w:rsid w:val="00FE7115"/>
    <w:rsid w:val="00FF25A5"/>
    <w:rsid w:val="00FF31C5"/>
    <w:rsid w:val="00FF3B65"/>
    <w:rsid w:val="00FF3ED2"/>
    <w:rsid w:val="00FF7A10"/>
    <w:rsid w:val="011109F8"/>
    <w:rsid w:val="024503D4"/>
    <w:rsid w:val="080C0413"/>
    <w:rsid w:val="0D965679"/>
    <w:rsid w:val="1062715C"/>
    <w:rsid w:val="123F526F"/>
    <w:rsid w:val="12A17B6D"/>
    <w:rsid w:val="149C7C9D"/>
    <w:rsid w:val="1E59626A"/>
    <w:rsid w:val="22883309"/>
    <w:rsid w:val="22A62E39"/>
    <w:rsid w:val="22B52354"/>
    <w:rsid w:val="238A61AC"/>
    <w:rsid w:val="264B6E27"/>
    <w:rsid w:val="26D83BC2"/>
    <w:rsid w:val="288A7DDB"/>
    <w:rsid w:val="28C372D6"/>
    <w:rsid w:val="2A29088A"/>
    <w:rsid w:val="2F68074A"/>
    <w:rsid w:val="3A775A97"/>
    <w:rsid w:val="3D234593"/>
    <w:rsid w:val="3E0739D0"/>
    <w:rsid w:val="3F25658D"/>
    <w:rsid w:val="401804E1"/>
    <w:rsid w:val="40FA44E7"/>
    <w:rsid w:val="41920A29"/>
    <w:rsid w:val="477470DF"/>
    <w:rsid w:val="48376C14"/>
    <w:rsid w:val="48534972"/>
    <w:rsid w:val="49115ECC"/>
    <w:rsid w:val="4CC634B8"/>
    <w:rsid w:val="51686DA9"/>
    <w:rsid w:val="51F41578"/>
    <w:rsid w:val="53C10CE2"/>
    <w:rsid w:val="5695790E"/>
    <w:rsid w:val="57240720"/>
    <w:rsid w:val="57A27403"/>
    <w:rsid w:val="58080039"/>
    <w:rsid w:val="586F7B52"/>
    <w:rsid w:val="58AE5C79"/>
    <w:rsid w:val="5E7B7C39"/>
    <w:rsid w:val="636E73D6"/>
    <w:rsid w:val="63AC1337"/>
    <w:rsid w:val="642A15F1"/>
    <w:rsid w:val="672D0B67"/>
    <w:rsid w:val="69DB7936"/>
    <w:rsid w:val="6B797562"/>
    <w:rsid w:val="6BD27A85"/>
    <w:rsid w:val="6F2A2D4B"/>
    <w:rsid w:val="70254D5B"/>
    <w:rsid w:val="712F5542"/>
    <w:rsid w:val="71324822"/>
    <w:rsid w:val="718A5BB5"/>
    <w:rsid w:val="72E924DD"/>
    <w:rsid w:val="7A1952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1"/>
    <w:qFormat/>
    <w:uiPriority w:val="0"/>
    <w:pPr>
      <w:keepNext/>
      <w:keepLines/>
      <w:widowControl/>
      <w:adjustRightInd w:val="0"/>
      <w:snapToGrid w:val="0"/>
      <w:spacing w:before="340" w:after="330" w:line="578" w:lineRule="auto"/>
      <w:jc w:val="left"/>
      <w:outlineLvl w:val="0"/>
    </w:pPr>
    <w:rPr>
      <w:rFonts w:ascii="Tahoma" w:hAnsi="Tahoma" w:eastAsia="微软雅黑"/>
      <w:b/>
      <w:bCs/>
      <w:kern w:val="44"/>
      <w:sz w:val="44"/>
      <w:szCs w:val="44"/>
    </w:rPr>
  </w:style>
  <w:style w:type="paragraph" w:styleId="3">
    <w:name w:val="heading 2"/>
    <w:basedOn w:val="1"/>
    <w:next w:val="1"/>
    <w:link w:val="32"/>
    <w:unhideWhenUsed/>
    <w:qFormat/>
    <w:uiPriority w:val="0"/>
    <w:pPr>
      <w:keepNext/>
      <w:keepLines/>
      <w:widowControl/>
      <w:adjustRightInd w:val="0"/>
      <w:snapToGrid w:val="0"/>
      <w:spacing w:before="260" w:after="260" w:line="416" w:lineRule="auto"/>
      <w:jc w:val="left"/>
      <w:outlineLvl w:val="1"/>
    </w:pPr>
    <w:rPr>
      <w:rFonts w:ascii="Cambria" w:hAnsi="Cambria" w:eastAsia="宋体" w:cs="Times New Roman"/>
      <w:b/>
      <w:bCs/>
      <w:kern w:val="0"/>
      <w:sz w:val="32"/>
      <w:szCs w:val="32"/>
    </w:rPr>
  </w:style>
  <w:style w:type="paragraph" w:styleId="4">
    <w:name w:val="heading 3"/>
    <w:basedOn w:val="5"/>
    <w:next w:val="1"/>
    <w:link w:val="33"/>
    <w:unhideWhenUsed/>
    <w:qFormat/>
    <w:uiPriority w:val="0"/>
    <w:pPr>
      <w:keepNext/>
      <w:keepLines/>
      <w:widowControl/>
      <w:adjustRightInd w:val="0"/>
      <w:snapToGrid w:val="0"/>
      <w:spacing w:before="260" w:after="260" w:line="416" w:lineRule="auto"/>
      <w:jc w:val="left"/>
      <w:outlineLvl w:val="2"/>
    </w:pPr>
    <w:rPr>
      <w:rFonts w:ascii="Tahoma" w:hAnsi="Tahoma" w:eastAsia="微软雅黑" w:cs="Times New Roman"/>
      <w:b/>
      <w:bCs/>
      <w:kern w:val="0"/>
      <w:sz w:val="32"/>
      <w:szCs w:val="32"/>
    </w:rPr>
  </w:style>
  <w:style w:type="paragraph" w:styleId="6">
    <w:name w:val="heading 4"/>
    <w:basedOn w:val="1"/>
    <w:next w:val="1"/>
    <w:link w:val="34"/>
    <w:unhideWhenUsed/>
    <w:qFormat/>
    <w:uiPriority w:val="0"/>
    <w:pPr>
      <w:keepNext/>
      <w:keepLines/>
      <w:widowControl/>
      <w:adjustRightInd w:val="0"/>
      <w:snapToGrid w:val="0"/>
      <w:spacing w:before="280" w:after="290" w:line="376" w:lineRule="auto"/>
      <w:jc w:val="left"/>
      <w:outlineLvl w:val="3"/>
    </w:pPr>
    <w:rPr>
      <w:rFonts w:ascii="Cambria" w:hAnsi="Cambria" w:eastAsia="宋体" w:cs="Times New Roman"/>
      <w:b/>
      <w:bCs/>
      <w:kern w:val="0"/>
      <w:sz w:val="28"/>
      <w:szCs w:val="28"/>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5">
    <w:name w:val="Plain Text"/>
    <w:basedOn w:val="1"/>
    <w:unhideWhenUsed/>
    <w:qFormat/>
    <w:uiPriority w:val="0"/>
    <w:rPr>
      <w:rFonts w:ascii="宋体" w:hAnsi="Courier New" w:cs="Courier New"/>
      <w:szCs w:val="21"/>
    </w:rPr>
  </w:style>
  <w:style w:type="paragraph" w:styleId="7">
    <w:name w:val="toc 7"/>
    <w:basedOn w:val="1"/>
    <w:next w:val="1"/>
    <w:unhideWhenUsed/>
    <w:qFormat/>
    <w:uiPriority w:val="39"/>
    <w:pPr>
      <w:ind w:left="2520" w:leftChars="1200"/>
    </w:pPr>
  </w:style>
  <w:style w:type="paragraph" w:styleId="8">
    <w:name w:val="Normal Indent"/>
    <w:basedOn w:val="1"/>
    <w:qFormat/>
    <w:uiPriority w:val="0"/>
    <w:pPr>
      <w:ind w:firstLine="420"/>
    </w:pPr>
  </w:style>
  <w:style w:type="paragraph" w:styleId="9">
    <w:name w:val="Document Map"/>
    <w:basedOn w:val="1"/>
    <w:link w:val="47"/>
    <w:semiHidden/>
    <w:unhideWhenUsed/>
    <w:qFormat/>
    <w:uiPriority w:val="99"/>
    <w:rPr>
      <w:rFonts w:ascii="宋体" w:eastAsia="宋体"/>
      <w:sz w:val="18"/>
      <w:szCs w:val="18"/>
    </w:rPr>
  </w:style>
  <w:style w:type="paragraph" w:styleId="10">
    <w:name w:val="annotation text"/>
    <w:basedOn w:val="1"/>
    <w:qFormat/>
    <w:uiPriority w:val="0"/>
    <w:pPr>
      <w:widowControl w:val="0"/>
      <w:adjustRightInd/>
      <w:snapToGrid/>
      <w:spacing w:after="0" w:line="360" w:lineRule="auto"/>
      <w:ind w:firstLine="200" w:firstLineChars="200"/>
    </w:pPr>
    <w:rPr>
      <w:rFonts w:ascii="Times New Roman" w:hAnsi="Times New Roman"/>
      <w:sz w:val="24"/>
      <w:szCs w:val="24"/>
    </w:rPr>
  </w:style>
  <w:style w:type="paragraph" w:styleId="11">
    <w:name w:val="Body Text"/>
    <w:basedOn w:val="1"/>
    <w:next w:val="12"/>
    <w:link w:val="58"/>
    <w:unhideWhenUsed/>
    <w:qFormat/>
    <w:uiPriority w:val="99"/>
    <w:pPr>
      <w:spacing w:after="120"/>
    </w:pPr>
  </w:style>
  <w:style w:type="paragraph" w:customStyle="1" w:styleId="12">
    <w:name w:val="xl27"/>
    <w:basedOn w:val="1"/>
    <w:qFormat/>
    <w:uiPriority w:val="0"/>
    <w:pPr>
      <w:widowControl/>
      <w:spacing w:beforeAutospacing="1" w:afterAutospacing="1"/>
      <w:jc w:val="left"/>
      <w:textAlignment w:val="center"/>
    </w:pPr>
    <w:rPr>
      <w:rFonts w:hint="eastAsia" w:ascii="方正仿宋简体" w:hAnsi="Arial Unicode MS" w:eastAsia="方正仿宋简体"/>
      <w:kern w:val="0"/>
      <w:sz w:val="24"/>
      <w:szCs w:val="24"/>
    </w:rPr>
  </w:style>
  <w:style w:type="paragraph" w:styleId="13">
    <w:name w:val="Body Text Indent"/>
    <w:basedOn w:val="1"/>
    <w:link w:val="56"/>
    <w:qFormat/>
    <w:uiPriority w:val="0"/>
    <w:pPr>
      <w:spacing w:beforeLines="50" w:line="360" w:lineRule="auto"/>
      <w:ind w:firstLine="470" w:firstLineChars="196"/>
    </w:pPr>
    <w:rPr>
      <w:rFonts w:ascii="仿宋_GB2312" w:hAnsi="Times New Roman" w:eastAsia="仿宋_GB2312" w:cs="Times New Roman"/>
      <w:color w:val="FF6600"/>
      <w:sz w:val="24"/>
      <w:szCs w:val="24"/>
    </w:rPr>
  </w:style>
  <w:style w:type="paragraph" w:styleId="14">
    <w:name w:val="toc 5"/>
    <w:basedOn w:val="1"/>
    <w:next w:val="1"/>
    <w:unhideWhenUsed/>
    <w:qFormat/>
    <w:uiPriority w:val="39"/>
    <w:pPr>
      <w:ind w:left="1680" w:leftChars="800"/>
    </w:pPr>
  </w:style>
  <w:style w:type="paragraph" w:styleId="15">
    <w:name w:val="toc 3"/>
    <w:basedOn w:val="1"/>
    <w:next w:val="1"/>
    <w:unhideWhenUsed/>
    <w:qFormat/>
    <w:uiPriority w:val="39"/>
    <w:pPr>
      <w:widowControl/>
      <w:spacing w:after="100" w:line="276" w:lineRule="auto"/>
      <w:ind w:left="440"/>
      <w:jc w:val="left"/>
    </w:pPr>
    <w:rPr>
      <w:kern w:val="0"/>
      <w:sz w:val="22"/>
    </w:rPr>
  </w:style>
  <w:style w:type="paragraph" w:styleId="16">
    <w:name w:val="toc 8"/>
    <w:basedOn w:val="1"/>
    <w:next w:val="1"/>
    <w:unhideWhenUsed/>
    <w:qFormat/>
    <w:uiPriority w:val="39"/>
    <w:pPr>
      <w:ind w:left="2940" w:leftChars="1400"/>
    </w:pPr>
  </w:style>
  <w:style w:type="paragraph" w:styleId="17">
    <w:name w:val="Body Text Indent 2"/>
    <w:basedOn w:val="1"/>
    <w:next w:val="1"/>
    <w:qFormat/>
    <w:uiPriority w:val="0"/>
    <w:pPr>
      <w:tabs>
        <w:tab w:val="left" w:pos="14"/>
      </w:tabs>
      <w:ind w:firstLine="567"/>
    </w:pPr>
    <w:rPr>
      <w:rFonts w:cs="Times New Roman"/>
      <w:sz w:val="20"/>
      <w:szCs w:val="20"/>
    </w:rPr>
  </w:style>
  <w:style w:type="paragraph" w:styleId="18">
    <w:name w:val="Balloon Text"/>
    <w:basedOn w:val="1"/>
    <w:link w:val="39"/>
    <w:semiHidden/>
    <w:unhideWhenUsed/>
    <w:qFormat/>
    <w:uiPriority w:val="99"/>
    <w:rPr>
      <w:sz w:val="18"/>
      <w:szCs w:val="18"/>
    </w:rPr>
  </w:style>
  <w:style w:type="paragraph" w:styleId="19">
    <w:name w:val="footer"/>
    <w:basedOn w:val="1"/>
    <w:link w:val="36"/>
    <w:unhideWhenUsed/>
    <w:qFormat/>
    <w:uiPriority w:val="99"/>
    <w:pPr>
      <w:tabs>
        <w:tab w:val="center" w:pos="4153"/>
        <w:tab w:val="right" w:pos="8306"/>
      </w:tabs>
      <w:snapToGrid w:val="0"/>
      <w:jc w:val="left"/>
    </w:pPr>
    <w:rPr>
      <w:sz w:val="18"/>
      <w:szCs w:val="18"/>
    </w:rPr>
  </w:style>
  <w:style w:type="paragraph" w:styleId="20">
    <w:name w:val="header"/>
    <w:basedOn w:val="1"/>
    <w:link w:val="35"/>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widowControl/>
      <w:spacing w:after="100" w:line="276" w:lineRule="auto"/>
      <w:jc w:val="left"/>
    </w:pPr>
    <w:rPr>
      <w:kern w:val="0"/>
      <w:sz w:val="22"/>
    </w:rPr>
  </w:style>
  <w:style w:type="paragraph" w:styleId="22">
    <w:name w:val="toc 4"/>
    <w:basedOn w:val="1"/>
    <w:next w:val="1"/>
    <w:unhideWhenUsed/>
    <w:qFormat/>
    <w:uiPriority w:val="39"/>
    <w:pPr>
      <w:ind w:left="1260" w:leftChars="600"/>
    </w:pPr>
  </w:style>
  <w:style w:type="paragraph" w:styleId="23">
    <w:name w:val="toc 6"/>
    <w:basedOn w:val="1"/>
    <w:next w:val="1"/>
    <w:unhideWhenUsed/>
    <w:qFormat/>
    <w:uiPriority w:val="39"/>
    <w:pPr>
      <w:ind w:left="2100" w:leftChars="1000"/>
    </w:pPr>
  </w:style>
  <w:style w:type="paragraph" w:styleId="24">
    <w:name w:val="toc 2"/>
    <w:basedOn w:val="1"/>
    <w:next w:val="1"/>
    <w:unhideWhenUsed/>
    <w:qFormat/>
    <w:uiPriority w:val="39"/>
    <w:pPr>
      <w:widowControl/>
      <w:spacing w:after="100" w:line="276" w:lineRule="auto"/>
      <w:ind w:left="220"/>
      <w:jc w:val="left"/>
    </w:pPr>
    <w:rPr>
      <w:kern w:val="0"/>
      <w:sz w:val="22"/>
    </w:rPr>
  </w:style>
  <w:style w:type="paragraph" w:styleId="25">
    <w:name w:val="toc 9"/>
    <w:basedOn w:val="1"/>
    <w:next w:val="1"/>
    <w:unhideWhenUsed/>
    <w:qFormat/>
    <w:uiPriority w:val="39"/>
    <w:pPr>
      <w:ind w:left="3360" w:leftChars="1600"/>
    </w:pPr>
  </w:style>
  <w:style w:type="paragraph" w:styleId="26">
    <w:name w:val="Normal (Web)"/>
    <w:basedOn w:val="1"/>
    <w:qFormat/>
    <w:uiPriority w:val="99"/>
    <w:pPr>
      <w:widowControl/>
      <w:spacing w:before="100" w:beforeAutospacing="1" w:after="100" w:afterAutospacing="1" w:line="360" w:lineRule="auto"/>
      <w:ind w:firstLine="200" w:firstLineChars="200"/>
      <w:jc w:val="left"/>
    </w:pPr>
    <w:rPr>
      <w:rFonts w:ascii="宋体" w:hAnsi="宋体" w:eastAsia="宋体" w:cs="宋体"/>
      <w:kern w:val="0"/>
      <w:sz w:val="24"/>
      <w:szCs w:val="24"/>
    </w:rPr>
  </w:style>
  <w:style w:type="table" w:styleId="28">
    <w:name w:val="Table Grid"/>
    <w:basedOn w:val="27"/>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30">
    <w:name w:val="Hyperlink"/>
    <w:basedOn w:val="29"/>
    <w:unhideWhenUsed/>
    <w:qFormat/>
    <w:uiPriority w:val="99"/>
    <w:rPr>
      <w:color w:val="0000FF" w:themeColor="hyperlink"/>
      <w:u w:val="single"/>
    </w:rPr>
  </w:style>
  <w:style w:type="character" w:customStyle="1" w:styleId="31">
    <w:name w:val="标题 1 Char"/>
    <w:basedOn w:val="29"/>
    <w:link w:val="2"/>
    <w:qFormat/>
    <w:uiPriority w:val="9"/>
    <w:rPr>
      <w:rFonts w:ascii="Tahoma" w:hAnsi="Tahoma" w:eastAsia="微软雅黑"/>
      <w:b/>
      <w:bCs/>
      <w:kern w:val="44"/>
      <w:sz w:val="44"/>
      <w:szCs w:val="44"/>
    </w:rPr>
  </w:style>
  <w:style w:type="character" w:customStyle="1" w:styleId="32">
    <w:name w:val="标题 2 Char"/>
    <w:basedOn w:val="29"/>
    <w:link w:val="3"/>
    <w:qFormat/>
    <w:uiPriority w:val="9"/>
    <w:rPr>
      <w:rFonts w:ascii="Cambria" w:hAnsi="Cambria" w:eastAsia="宋体" w:cs="Times New Roman"/>
      <w:b/>
      <w:bCs/>
      <w:kern w:val="0"/>
      <w:sz w:val="32"/>
      <w:szCs w:val="32"/>
    </w:rPr>
  </w:style>
  <w:style w:type="character" w:customStyle="1" w:styleId="33">
    <w:name w:val="标题 3 Char"/>
    <w:basedOn w:val="29"/>
    <w:link w:val="4"/>
    <w:qFormat/>
    <w:uiPriority w:val="9"/>
    <w:rPr>
      <w:rFonts w:ascii="Tahoma" w:hAnsi="Tahoma" w:eastAsia="微软雅黑" w:cs="Times New Roman"/>
      <w:b/>
      <w:bCs/>
      <w:kern w:val="0"/>
      <w:sz w:val="32"/>
      <w:szCs w:val="32"/>
    </w:rPr>
  </w:style>
  <w:style w:type="character" w:customStyle="1" w:styleId="34">
    <w:name w:val="标题 4 Char"/>
    <w:basedOn w:val="29"/>
    <w:link w:val="6"/>
    <w:qFormat/>
    <w:uiPriority w:val="9"/>
    <w:rPr>
      <w:rFonts w:ascii="Cambria" w:hAnsi="Cambria" w:eastAsia="宋体" w:cs="Times New Roman"/>
      <w:b/>
      <w:bCs/>
      <w:kern w:val="0"/>
      <w:sz w:val="28"/>
      <w:szCs w:val="28"/>
    </w:rPr>
  </w:style>
  <w:style w:type="character" w:customStyle="1" w:styleId="35">
    <w:name w:val="页眉 Char"/>
    <w:basedOn w:val="29"/>
    <w:link w:val="20"/>
    <w:semiHidden/>
    <w:qFormat/>
    <w:uiPriority w:val="99"/>
    <w:rPr>
      <w:sz w:val="18"/>
      <w:szCs w:val="18"/>
    </w:rPr>
  </w:style>
  <w:style w:type="character" w:customStyle="1" w:styleId="36">
    <w:name w:val="页脚 Char"/>
    <w:basedOn w:val="29"/>
    <w:link w:val="19"/>
    <w:qFormat/>
    <w:uiPriority w:val="99"/>
    <w:rPr>
      <w:sz w:val="18"/>
      <w:szCs w:val="18"/>
    </w:rPr>
  </w:style>
  <w:style w:type="character" w:customStyle="1" w:styleId="37">
    <w:name w:val="报告正文 Char"/>
    <w:link w:val="38"/>
    <w:qFormat/>
    <w:uiPriority w:val="0"/>
    <w:rPr>
      <w:rFonts w:ascii="Times New Roman" w:hAnsi="Times New Roman" w:eastAsia="宋体" w:cs="Times New Roman"/>
      <w:color w:val="000000"/>
      <w:sz w:val="24"/>
      <w:szCs w:val="20"/>
    </w:rPr>
  </w:style>
  <w:style w:type="paragraph" w:customStyle="1" w:styleId="38">
    <w:name w:val="报告正文"/>
    <w:basedOn w:val="1"/>
    <w:link w:val="37"/>
    <w:qFormat/>
    <w:uiPriority w:val="0"/>
    <w:pPr>
      <w:tabs>
        <w:tab w:val="left" w:pos="0"/>
      </w:tabs>
      <w:spacing w:line="360" w:lineRule="auto"/>
      <w:ind w:firstLine="200" w:firstLineChars="200"/>
    </w:pPr>
    <w:rPr>
      <w:rFonts w:ascii="Times New Roman" w:hAnsi="Times New Roman" w:eastAsia="宋体" w:cs="Times New Roman"/>
      <w:color w:val="000000"/>
      <w:sz w:val="24"/>
      <w:szCs w:val="20"/>
    </w:rPr>
  </w:style>
  <w:style w:type="character" w:customStyle="1" w:styleId="39">
    <w:name w:val="批注框文本 Char"/>
    <w:basedOn w:val="29"/>
    <w:link w:val="18"/>
    <w:semiHidden/>
    <w:qFormat/>
    <w:uiPriority w:val="99"/>
    <w:rPr>
      <w:sz w:val="18"/>
      <w:szCs w:val="18"/>
    </w:rPr>
  </w:style>
  <w:style w:type="paragraph" w:customStyle="1" w:styleId="40">
    <w:name w:val="reader-word-layer"/>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41">
    <w:name w:val="图标标题 Char"/>
    <w:basedOn w:val="29"/>
    <w:link w:val="42"/>
    <w:qFormat/>
    <w:uiPriority w:val="0"/>
    <w:rPr>
      <w:rFonts w:ascii="Times New Roman" w:hAnsi="宋体" w:eastAsia="黑体" w:cs="Times New Roman"/>
      <w:sz w:val="24"/>
      <w:szCs w:val="21"/>
    </w:rPr>
  </w:style>
  <w:style w:type="paragraph" w:customStyle="1" w:styleId="42">
    <w:name w:val="图标标题"/>
    <w:basedOn w:val="1"/>
    <w:link w:val="41"/>
    <w:qFormat/>
    <w:uiPriority w:val="0"/>
    <w:pPr>
      <w:widowControl/>
      <w:spacing w:line="360" w:lineRule="auto"/>
      <w:jc w:val="center"/>
    </w:pPr>
    <w:rPr>
      <w:rFonts w:ascii="Times New Roman" w:hAnsi="宋体" w:eastAsia="黑体" w:cs="Times New Roman"/>
      <w:sz w:val="24"/>
      <w:szCs w:val="21"/>
    </w:rPr>
  </w:style>
  <w:style w:type="character" w:customStyle="1" w:styleId="43">
    <w:name w:val="表格内容 Char"/>
    <w:basedOn w:val="29"/>
    <w:link w:val="44"/>
    <w:qFormat/>
    <w:uiPriority w:val="0"/>
    <w:rPr>
      <w:rFonts w:ascii="Times New Roman" w:hAnsi="Times New Roman"/>
      <w:kern w:val="18"/>
    </w:rPr>
  </w:style>
  <w:style w:type="paragraph" w:customStyle="1" w:styleId="44">
    <w:name w:val="表格内容"/>
    <w:basedOn w:val="45"/>
    <w:next w:val="38"/>
    <w:link w:val="43"/>
    <w:qFormat/>
    <w:uiPriority w:val="0"/>
    <w:pPr>
      <w:tabs>
        <w:tab w:val="right" w:leader="dot" w:pos="8302"/>
      </w:tabs>
      <w:spacing w:line="360" w:lineRule="auto"/>
    </w:pPr>
  </w:style>
  <w:style w:type="paragraph" w:customStyle="1" w:styleId="45">
    <w:name w:val="表文字"/>
    <w:link w:val="46"/>
    <w:qFormat/>
    <w:uiPriority w:val="0"/>
    <w:pPr>
      <w:widowControl w:val="0"/>
      <w:adjustRightInd w:val="0"/>
      <w:spacing w:line="270" w:lineRule="exact"/>
      <w:jc w:val="center"/>
    </w:pPr>
    <w:rPr>
      <w:rFonts w:ascii="Times New Roman" w:hAnsi="Times New Roman" w:eastAsiaTheme="minorEastAsia" w:cstheme="minorBidi"/>
      <w:kern w:val="18"/>
      <w:sz w:val="21"/>
      <w:szCs w:val="22"/>
      <w:lang w:val="en-US" w:eastAsia="zh-CN" w:bidi="ar-SA"/>
    </w:rPr>
  </w:style>
  <w:style w:type="character" w:customStyle="1" w:styleId="46">
    <w:name w:val="表文字 Char Char"/>
    <w:link w:val="45"/>
    <w:qFormat/>
    <w:locked/>
    <w:uiPriority w:val="0"/>
    <w:rPr>
      <w:rFonts w:ascii="Times New Roman" w:hAnsi="Times New Roman"/>
      <w:kern w:val="18"/>
    </w:rPr>
  </w:style>
  <w:style w:type="character" w:customStyle="1" w:styleId="47">
    <w:name w:val="文档结构图 Char"/>
    <w:basedOn w:val="29"/>
    <w:link w:val="9"/>
    <w:semiHidden/>
    <w:qFormat/>
    <w:uiPriority w:val="99"/>
    <w:rPr>
      <w:rFonts w:ascii="宋体" w:eastAsia="宋体"/>
      <w:sz w:val="18"/>
      <w:szCs w:val="18"/>
    </w:rPr>
  </w:style>
  <w:style w:type="paragraph" w:customStyle="1" w:styleId="48">
    <w:name w:val="图表文"/>
    <w:basedOn w:val="1"/>
    <w:qFormat/>
    <w:uiPriority w:val="0"/>
    <w:pPr>
      <w:jc w:val="center"/>
    </w:pPr>
    <w:rPr>
      <w:rFonts w:ascii="Times New Roman" w:hAnsi="Times New Roman" w:eastAsia="宋体" w:cs="Times New Roman"/>
      <w:szCs w:val="21"/>
    </w:rPr>
  </w:style>
  <w:style w:type="paragraph" w:customStyle="1" w:styleId="49">
    <w:name w:val="表头"/>
    <w:basedOn w:val="1"/>
    <w:qFormat/>
    <w:uiPriority w:val="0"/>
    <w:pPr>
      <w:spacing w:line="360" w:lineRule="auto"/>
      <w:jc w:val="center"/>
    </w:pPr>
    <w:rPr>
      <w:rFonts w:ascii="Times New Roman" w:hAnsi="Times New Roman" w:eastAsia="宋体" w:cs="Times New Roman"/>
      <w:b/>
      <w:szCs w:val="24"/>
    </w:rPr>
  </w:style>
  <w:style w:type="paragraph" w:customStyle="1" w:styleId="50">
    <w:name w:val="图表标题"/>
    <w:basedOn w:val="1"/>
    <w:qFormat/>
    <w:uiPriority w:val="0"/>
    <w:pPr>
      <w:spacing w:line="500" w:lineRule="exact"/>
      <w:jc w:val="center"/>
    </w:pPr>
    <w:rPr>
      <w:rFonts w:ascii="Times New Roman" w:hAnsi="Times New Roman" w:eastAsia="黑体" w:cs="Times New Roman"/>
      <w:bCs/>
      <w:sz w:val="24"/>
      <w:szCs w:val="24"/>
      <w:lang w:val="zh-CN"/>
    </w:rPr>
  </w:style>
  <w:style w:type="character" w:customStyle="1" w:styleId="51">
    <w:name w:val="图表表格 Char"/>
    <w:basedOn w:val="29"/>
    <w:link w:val="52"/>
    <w:qFormat/>
    <w:uiPriority w:val="0"/>
    <w:rPr>
      <w:rFonts w:ascii="Times New Roman" w:hAnsi="Times New Roman" w:eastAsia="Times New Roman"/>
      <w:color w:val="000000"/>
      <w:szCs w:val="21"/>
    </w:rPr>
  </w:style>
  <w:style w:type="paragraph" w:customStyle="1" w:styleId="52">
    <w:name w:val="图表表格"/>
    <w:basedOn w:val="1"/>
    <w:link w:val="51"/>
    <w:qFormat/>
    <w:uiPriority w:val="0"/>
    <w:pPr>
      <w:widowControl/>
      <w:spacing w:line="312" w:lineRule="auto"/>
      <w:jc w:val="center"/>
    </w:pPr>
    <w:rPr>
      <w:rFonts w:ascii="Times New Roman" w:hAnsi="Times New Roman" w:eastAsia="Times New Roman"/>
      <w:color w:val="000000"/>
      <w:szCs w:val="21"/>
    </w:rPr>
  </w:style>
  <w:style w:type="paragraph" w:styleId="53">
    <w:name w:val="List Paragraph"/>
    <w:basedOn w:val="1"/>
    <w:qFormat/>
    <w:uiPriority w:val="1"/>
    <w:pPr>
      <w:ind w:firstLine="420" w:firstLineChars="200"/>
    </w:pPr>
  </w:style>
  <w:style w:type="paragraph" w:customStyle="1" w:styleId="54">
    <w:name w:val="表格文字"/>
    <w:basedOn w:val="55"/>
    <w:qFormat/>
    <w:uiPriority w:val="0"/>
    <w:pPr>
      <w:tabs>
        <w:tab w:val="left" w:pos="-2848"/>
        <w:tab w:val="right" w:pos="1808"/>
      </w:tabs>
      <w:adjustRightInd w:val="0"/>
      <w:spacing w:line="360" w:lineRule="auto"/>
      <w:jc w:val="center"/>
      <w:textAlignment w:val="baseline"/>
    </w:pPr>
    <w:rPr>
      <w:rFonts w:ascii="Times New Roman" w:hAnsi="Times New Roman" w:eastAsia="宋体" w:cs="Times New Roman"/>
      <w:position w:val="-10"/>
      <w:szCs w:val="21"/>
    </w:rPr>
  </w:style>
  <w:style w:type="paragraph" w:customStyle="1" w:styleId="55">
    <w:name w:val="正文文字"/>
    <w:basedOn w:val="1"/>
    <w:qFormat/>
    <w:uiPriority w:val="0"/>
    <w:pPr>
      <w:ind w:firstLine="480"/>
    </w:pPr>
    <w:rPr>
      <w:rFonts w:eastAsia="仿宋_GB2312" w:cstheme="minorBidi"/>
    </w:rPr>
  </w:style>
  <w:style w:type="character" w:customStyle="1" w:styleId="56">
    <w:name w:val="正文文本缩进 Char"/>
    <w:basedOn w:val="29"/>
    <w:link w:val="13"/>
    <w:qFormat/>
    <w:uiPriority w:val="0"/>
    <w:rPr>
      <w:rFonts w:ascii="仿宋_GB2312" w:hAnsi="Times New Roman" w:eastAsia="仿宋_GB2312" w:cs="Times New Roman"/>
      <w:color w:val="FF6600"/>
      <w:sz w:val="24"/>
      <w:szCs w:val="24"/>
    </w:rPr>
  </w:style>
  <w:style w:type="paragraph" w:customStyle="1" w:styleId="57">
    <w:name w:val="TOC Heading"/>
    <w:basedOn w:val="2"/>
    <w:next w:val="1"/>
    <w:semiHidden/>
    <w:unhideWhenUsed/>
    <w:qFormat/>
    <w:uiPriority w:val="39"/>
    <w:pPr>
      <w:adjustRightInd/>
      <w:snapToGrid/>
      <w:spacing w:before="480" w:after="0" w:line="276" w:lineRule="auto"/>
      <w:outlineLvl w:val="9"/>
    </w:pPr>
    <w:rPr>
      <w:rFonts w:asciiTheme="majorHAnsi" w:hAnsiTheme="majorHAnsi" w:eastAsiaTheme="majorEastAsia" w:cstheme="majorBidi"/>
      <w:color w:val="366091" w:themeColor="accent1" w:themeShade="BF"/>
      <w:kern w:val="0"/>
      <w:sz w:val="28"/>
      <w:szCs w:val="28"/>
    </w:rPr>
  </w:style>
  <w:style w:type="character" w:customStyle="1" w:styleId="58">
    <w:name w:val="正文文本 Char"/>
    <w:basedOn w:val="29"/>
    <w:link w:val="11"/>
    <w:qFormat/>
    <w:uiPriority w:val="99"/>
  </w:style>
  <w:style w:type="paragraph" w:customStyle="1" w:styleId="59">
    <w:name w:val="Heading 3"/>
    <w:basedOn w:val="1"/>
    <w:qFormat/>
    <w:uiPriority w:val="1"/>
    <w:pPr>
      <w:autoSpaceDE w:val="0"/>
      <w:autoSpaceDN w:val="0"/>
      <w:ind w:left="873" w:hanging="632"/>
      <w:jc w:val="left"/>
      <w:outlineLvl w:val="3"/>
    </w:pPr>
    <w:rPr>
      <w:rFonts w:ascii="宋体" w:hAnsi="宋体" w:eastAsia="宋体" w:cs="宋体"/>
      <w:b/>
      <w:bCs/>
      <w:kern w:val="0"/>
      <w:sz w:val="28"/>
      <w:szCs w:val="28"/>
      <w:lang w:val="zh-CN" w:bidi="zh-CN"/>
    </w:rPr>
  </w:style>
  <w:style w:type="character" w:customStyle="1" w:styleId="60">
    <w:name w:val="Body text|1_"/>
    <w:basedOn w:val="29"/>
    <w:link w:val="61"/>
    <w:qFormat/>
    <w:uiPriority w:val="0"/>
    <w:rPr>
      <w:rFonts w:ascii="宋体" w:hAnsi="宋体" w:eastAsia="宋体" w:cs="宋体"/>
      <w:lang w:val="zh-TW" w:eastAsia="zh-TW" w:bidi="zh-TW"/>
    </w:rPr>
  </w:style>
  <w:style w:type="paragraph" w:customStyle="1" w:styleId="61">
    <w:name w:val="Body text|1"/>
    <w:basedOn w:val="1"/>
    <w:link w:val="60"/>
    <w:qFormat/>
    <w:uiPriority w:val="0"/>
    <w:pPr>
      <w:spacing w:line="480" w:lineRule="auto"/>
      <w:ind w:firstLine="400"/>
      <w:jc w:val="left"/>
    </w:pPr>
    <w:rPr>
      <w:rFonts w:ascii="宋体" w:hAnsi="宋体" w:eastAsia="宋体" w:cs="宋体"/>
      <w:lang w:val="zh-TW" w:eastAsia="zh-TW" w:bidi="zh-TW"/>
    </w:rPr>
  </w:style>
  <w:style w:type="table" w:customStyle="1" w:styleId="62">
    <w:name w:val="Table Normal"/>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paragraph" w:customStyle="1" w:styleId="63">
    <w:name w:val="Heading 4"/>
    <w:basedOn w:val="1"/>
    <w:qFormat/>
    <w:uiPriority w:val="1"/>
    <w:pPr>
      <w:autoSpaceDE w:val="0"/>
      <w:autoSpaceDN w:val="0"/>
      <w:jc w:val="center"/>
      <w:outlineLvl w:val="4"/>
    </w:pPr>
    <w:rPr>
      <w:rFonts w:ascii="楷体" w:hAnsi="楷体" w:eastAsia="楷体" w:cs="楷体"/>
      <w:b/>
      <w:bCs/>
      <w:kern w:val="0"/>
      <w:sz w:val="24"/>
      <w:szCs w:val="24"/>
      <w:lang w:val="zh-CN" w:bidi="zh-CN"/>
    </w:rPr>
  </w:style>
  <w:style w:type="paragraph" w:customStyle="1" w:styleId="64">
    <w:name w:val="Table Paragraph"/>
    <w:basedOn w:val="1"/>
    <w:qFormat/>
    <w:uiPriority w:val="1"/>
    <w:pPr>
      <w:autoSpaceDE w:val="0"/>
      <w:autoSpaceDN w:val="0"/>
      <w:jc w:val="left"/>
    </w:pPr>
    <w:rPr>
      <w:rFonts w:ascii="宋体" w:hAnsi="宋体" w:eastAsia="宋体" w:cs="宋体"/>
      <w:kern w:val="0"/>
      <w:sz w:val="22"/>
      <w:lang w:val="zh-CN" w:bidi="zh-CN"/>
    </w:rPr>
  </w:style>
  <w:style w:type="paragraph" w:customStyle="1" w:styleId="65">
    <w:name w:val="正文1"/>
    <w:qFormat/>
    <w:uiPriority w:val="0"/>
    <w:pPr>
      <w:jc w:val="both"/>
    </w:pPr>
    <w:rPr>
      <w:rFonts w:ascii="Calibri" w:hAnsi="Calibri" w:eastAsia="宋体" w:cs="宋体"/>
      <w:kern w:val="2"/>
      <w:sz w:val="21"/>
      <w:szCs w:val="21"/>
      <w:lang w:val="en-US" w:eastAsia="zh-CN" w:bidi="ar-SA"/>
    </w:rPr>
  </w:style>
  <w:style w:type="paragraph" w:customStyle="1" w:styleId="66">
    <w:name w:val="列出段落1"/>
    <w:basedOn w:val="1"/>
    <w:qFormat/>
    <w:uiPriority w:val="0"/>
    <w:pPr>
      <w:autoSpaceDE w:val="0"/>
      <w:autoSpaceDN w:val="0"/>
      <w:ind w:left="1682" w:firstLine="479"/>
      <w:jc w:val="left"/>
    </w:pPr>
    <w:rPr>
      <w:rFonts w:ascii="宋体" w:hAnsi="宋体" w:eastAsia="宋体" w:cs="宋体"/>
      <w:kern w:val="0"/>
      <w:sz w:val="22"/>
    </w:rPr>
  </w:style>
  <w:style w:type="paragraph" w:customStyle="1" w:styleId="67">
    <w:name w:val="正文2"/>
    <w:qFormat/>
    <w:uiPriority w:val="0"/>
    <w:pPr>
      <w:jc w:val="both"/>
    </w:pPr>
    <w:rPr>
      <w:rFonts w:ascii="Calibri" w:hAnsi="Calibri" w:eastAsia="宋体" w:cs="宋体"/>
      <w:kern w:val="2"/>
      <w:sz w:val="21"/>
      <w:szCs w:val="21"/>
      <w:lang w:val="en-US" w:eastAsia="zh-CN" w:bidi="ar-SA"/>
    </w:rPr>
  </w:style>
  <w:style w:type="paragraph" w:customStyle="1" w:styleId="68">
    <w:name w:val="正文3"/>
    <w:qFormat/>
    <w:uiPriority w:val="0"/>
    <w:pPr>
      <w:jc w:val="both"/>
    </w:pPr>
    <w:rPr>
      <w:rFonts w:ascii="Calibri" w:hAnsi="Calibri" w:eastAsia="宋体" w:cs="宋体"/>
      <w:kern w:val="2"/>
      <w:sz w:val="21"/>
      <w:szCs w:val="21"/>
      <w:lang w:val="en-US" w:eastAsia="zh-CN" w:bidi="ar-SA"/>
    </w:rPr>
  </w:style>
  <w:style w:type="paragraph" w:customStyle="1" w:styleId="69">
    <w:name w:val="列出段落2"/>
    <w:basedOn w:val="1"/>
    <w:qFormat/>
    <w:uiPriority w:val="0"/>
    <w:pPr>
      <w:autoSpaceDE w:val="0"/>
      <w:autoSpaceDN w:val="0"/>
      <w:ind w:left="1682" w:firstLine="479"/>
      <w:jc w:val="left"/>
    </w:pPr>
    <w:rPr>
      <w:rFonts w:ascii="宋体" w:hAnsi="宋体" w:eastAsia="宋体" w:cs="宋体"/>
      <w:kern w:val="0"/>
      <w:sz w:val="22"/>
    </w:rPr>
  </w:style>
  <w:style w:type="paragraph" w:customStyle="1" w:styleId="70">
    <w:name w:val="表格文字2"/>
    <w:basedOn w:val="1"/>
    <w:qFormat/>
    <w:uiPriority w:val="0"/>
    <w:pPr>
      <w:adjustRightInd w:val="0"/>
      <w:spacing w:after="100" w:afterAutospacing="1"/>
      <w:jc w:val="center"/>
      <w:textAlignment w:val="baseline"/>
    </w:pPr>
    <w:rPr>
      <w:rFonts w:ascii="Calibri" w:hAnsi="Calibri" w:eastAsia="宋体" w:cs="Times New Roman"/>
      <w:kern w:val="0"/>
      <w:sz w:val="20"/>
      <w:szCs w:val="20"/>
    </w:rPr>
  </w:style>
  <w:style w:type="paragraph" w:customStyle="1" w:styleId="71">
    <w:name w:val="样式 标题 3 + 首行缩进:  2 字符 段前: 0.5 行"/>
    <w:basedOn w:val="4"/>
    <w:next w:val="4"/>
    <w:qFormat/>
    <w:uiPriority w:val="0"/>
    <w:pPr>
      <w:widowControl w:val="0"/>
      <w:spacing w:before="0" w:after="0" w:line="360" w:lineRule="auto"/>
    </w:pPr>
    <w:rPr>
      <w:rFonts w:ascii="Times New Roman" w:hAnsi="Times New Roman" w:eastAsia="宋体" w:cs="宋体"/>
      <w:b w:val="0"/>
      <w:bCs w:val="0"/>
      <w:sz w:val="28"/>
      <w:szCs w:val="28"/>
    </w:rPr>
  </w:style>
  <w:style w:type="paragraph" w:customStyle="1" w:styleId="72">
    <w:name w:val="表格0"/>
    <w:basedOn w:val="1"/>
    <w:qFormat/>
    <w:uiPriority w:val="0"/>
    <w:pPr>
      <w:spacing w:after="100" w:afterAutospacing="1"/>
      <w:jc w:val="center"/>
    </w:pPr>
    <w:rPr>
      <w:rFonts w:ascii="宋体" w:hAnsi="Times New Roman" w:eastAsia="宋体" w:cs="Times New Roman"/>
      <w:szCs w:val="21"/>
    </w:rPr>
  </w:style>
  <w:style w:type="paragraph" w:customStyle="1" w:styleId="73">
    <w:name w:val="正文4"/>
    <w:qFormat/>
    <w:uiPriority w:val="0"/>
    <w:pPr>
      <w:jc w:val="both"/>
    </w:pPr>
    <w:rPr>
      <w:rFonts w:ascii="Times New Roman" w:hAnsi="Times New Roman" w:eastAsia="宋体" w:cs="Times New Roman"/>
      <w:kern w:val="2"/>
      <w:sz w:val="21"/>
      <w:szCs w:val="21"/>
      <w:lang w:val="en-US" w:eastAsia="zh-CN" w:bidi="ar-SA"/>
    </w:rPr>
  </w:style>
  <w:style w:type="paragraph" w:customStyle="1" w:styleId="74">
    <w:name w:val="表中内容"/>
    <w:basedOn w:val="1"/>
    <w:qFormat/>
    <w:uiPriority w:val="0"/>
    <w:pPr>
      <w:spacing w:after="100" w:afterAutospacing="1" w:line="400" w:lineRule="exact"/>
      <w:jc w:val="center"/>
    </w:pPr>
    <w:rPr>
      <w:rFonts w:ascii="Calibri" w:hAnsi="Calibri" w:eastAsia="宋体" w:cs="Times New Roman"/>
      <w:kern w:val="0"/>
      <w:sz w:val="20"/>
      <w:szCs w:val="20"/>
    </w:rPr>
  </w:style>
  <w:style w:type="paragraph" w:styleId="75">
    <w:name w:val="No Spacing"/>
    <w:basedOn w:val="1"/>
    <w:qFormat/>
    <w:uiPriority w:val="99"/>
    <w:pPr>
      <w:widowControl/>
      <w:adjustRightInd w:val="0"/>
      <w:snapToGrid w:val="0"/>
      <w:jc w:val="left"/>
    </w:pPr>
    <w:rPr>
      <w:rFonts w:ascii="Tahoma" w:hAnsi="Tahoma" w:eastAsia="宋体" w:cs="Times New Roman"/>
      <w:kern w:val="0"/>
      <w:sz w:val="24"/>
      <w:szCs w:val="24"/>
    </w:rPr>
  </w:style>
  <w:style w:type="paragraph" w:customStyle="1" w:styleId="76">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77">
    <w:name w:val="[无段落样式]"/>
    <w:qFormat/>
    <w:uiPriority w:val="0"/>
    <w:pPr>
      <w:widowControl w:val="0"/>
      <w:autoSpaceDE w:val="0"/>
      <w:autoSpaceDN w:val="0"/>
      <w:adjustRightInd w:val="0"/>
      <w:spacing w:line="288" w:lineRule="auto"/>
      <w:jc w:val="both"/>
      <w:textAlignment w:val="center"/>
    </w:pPr>
    <w:rPr>
      <w:rFonts w:ascii="Adobe 宋体 Std L" w:hAnsi="Calibri" w:eastAsia="Adobe 宋体 Std L" w:cs="Adobe 宋体 Std L"/>
      <w:color w:val="000000"/>
      <w:sz w:val="24"/>
      <w:szCs w:val="24"/>
      <w:lang w:val="zh-CN" w:eastAsia="zh-CN" w:bidi="ar-SA"/>
    </w:rPr>
  </w:style>
  <w:style w:type="character" w:customStyle="1" w:styleId="78">
    <w:name w:val="font41"/>
    <w:basedOn w:val="29"/>
    <w:qFormat/>
    <w:uiPriority w:val="0"/>
    <w:rPr>
      <w:rFonts w:hint="eastAsia" w:ascii="宋体" w:hAnsi="宋体" w:eastAsia="宋体" w:cs="宋体"/>
      <w:color w:val="000000"/>
      <w:sz w:val="22"/>
      <w:szCs w:val="22"/>
      <w:u w:val="none"/>
    </w:rPr>
  </w:style>
  <w:style w:type="character" w:customStyle="1" w:styleId="79">
    <w:name w:val="font11"/>
    <w:basedOn w:val="29"/>
    <w:qFormat/>
    <w:uiPriority w:val="0"/>
    <w:rPr>
      <w:rFonts w:hint="default" w:ascii="Times New Roman" w:hAnsi="Times New Roman" w:cs="Times New Roman"/>
      <w:color w:val="000000"/>
      <w:sz w:val="22"/>
      <w:szCs w:val="22"/>
      <w:u w:val="none"/>
    </w:rPr>
  </w:style>
  <w:style w:type="paragraph" w:customStyle="1" w:styleId="80">
    <w:name w:val="表标题"/>
    <w:basedOn w:val="1"/>
    <w:qFormat/>
    <w:uiPriority w:val="0"/>
    <w:pPr>
      <w:jc w:val="center"/>
    </w:pPr>
    <w:rPr>
      <w:rFonts w:ascii="Times New Roman" w:hAnsi="Times New Roman" w:eastAsia="宋体"/>
      <w:b/>
    </w:rPr>
  </w:style>
  <w:style w:type="paragraph" w:customStyle="1" w:styleId="81">
    <w:name w:val="样式 文字 + 首行缩进:  2 字符3"/>
    <w:basedOn w:val="1"/>
    <w:qFormat/>
    <w:uiPriority w:val="0"/>
    <w:pPr>
      <w:spacing w:line="360" w:lineRule="auto"/>
      <w:ind w:firstLine="200" w:firstLineChars="200"/>
    </w:pPr>
    <w:rPr>
      <w:rFonts w:eastAsia="仿宋_GB2312" w:cs="宋体"/>
      <w:sz w:val="28"/>
      <w:szCs w:val="28"/>
    </w:rPr>
  </w:style>
  <w:style w:type="paragraph" w:customStyle="1" w:styleId="82">
    <w:name w:val="Default"/>
    <w:qFormat/>
    <w:uiPriority w:val="0"/>
    <w:pPr>
      <w:widowControl w:val="0"/>
      <w:autoSpaceDE w:val="0"/>
      <w:autoSpaceDN w:val="0"/>
      <w:adjustRightInd w:val="0"/>
      <w:spacing w:after="0" w:line="240" w:lineRule="auto"/>
    </w:pPr>
    <w:rPr>
      <w:rFonts w:ascii="宋体" w:hAnsi="Times New Roman" w:eastAsia="宋体" w:cs="宋体"/>
      <w:color w:val="000000"/>
      <w:sz w:val="24"/>
      <w:szCs w:val="24"/>
      <w:lang w:val="en-US" w:eastAsia="zh-CN" w:bidi="ar-SA"/>
    </w:rPr>
  </w:style>
  <w:style w:type="character" w:customStyle="1" w:styleId="83">
    <w:name w:val="font01"/>
    <w:basedOn w:val="29"/>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5" Type="http://schemas.openxmlformats.org/officeDocument/2006/relationships/fontTable" Target="fontTable.xml"/><Relationship Id="rId64" Type="http://schemas.openxmlformats.org/officeDocument/2006/relationships/customXml" Target="../customXml/item2.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7A4EDA3-5CA6-453D-8D4C-E10BD6794850}">
  <ds:schemaRefs/>
</ds:datastoreItem>
</file>

<file path=docProps/app.xml><?xml version="1.0" encoding="utf-8"?>
<Properties xmlns="http://schemas.openxmlformats.org/officeDocument/2006/extended-properties" xmlns:vt="http://schemas.openxmlformats.org/officeDocument/2006/docPropsVTypes">
  <Template>Normal</Template>
  <Pages>124</Pages>
  <Words>40470</Words>
  <Characters>44003</Characters>
  <Lines>459</Lines>
  <Paragraphs>129</Paragraphs>
  <TotalTime>59</TotalTime>
  <ScaleCrop>false</ScaleCrop>
  <LinksUpToDate>false</LinksUpToDate>
  <CharactersWithSpaces>44894</CharactersWithSpaces>
  <Application>WPS Office_11.8.2.12011_F1E327BC-269C-435d-A152-05C5408002CA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2019-10-04T07:49:00Z</dcterms:created>
  <dc:creator>Admin</dc:creator>
  <cp:lastModifiedBy>Administrator</cp:lastModifiedBy>
  <cp:lastPrinted>2019-10-30T02:06:00Z</cp:lastPrinted>
  <dcterms:modified xsi:type="dcterms:W3CDTF">2024-06-28T04:09:07Z</dcterms:modified>
  <cp:revision>111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2052-11.8.2.12011</vt:lpwstr>
  </property>
  <property fmtid="{D5CDD505-2E9C-101B-9397-08002B2CF9AE}" pid="3" name="ICV">
    <vt:lpwstr>28C69A153DE14EB9B90064101F018B51</vt:lpwstr>
  </property>
</Properties>
</file>