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试验名称：耐温度变化性能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ECU及通风线束总成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BEC0010141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</w:t>
                </w:r>
                <w:r>
                  <w:rPr>
                    <w:rFonts w:hint="eastAsia" w:ascii="宋体" w:hAnsi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18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耐温度变化性能试验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  <w:r>
              <w:rPr>
                <w:rFonts w:hint="eastAsia" w:ascii="宋体" w:hAnsi="宋体" w:eastAsia="宋体"/>
                <w:lang w:val="en-US" w:eastAsia="zh-CN"/>
              </w:rPr>
              <w:t>ECU及通风线束总成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29106-2014标准进行耐温度变化性能试验，经检测符合标准要求。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本报告涵盖</w:t>
            </w:r>
            <w:r>
              <w:rPr>
                <w:rFonts w:hint="eastAsia" w:ascii="宋体" w:hAnsi="宋体" w:eastAsia="宋体"/>
                <w:lang w:val="en-US" w:eastAsia="zh-CN"/>
              </w:rPr>
              <w:t>单通风线束总成SLT0011215、</w:t>
            </w:r>
            <w:r>
              <w:rPr>
                <w:rFonts w:hint="eastAsia" w:ascii="宋体" w:hAnsi="宋体" w:eastAsia="宋体"/>
                <w:lang w:eastAsia="zh-CN"/>
              </w:rPr>
              <w:t>单加热线束总成</w:t>
            </w:r>
            <w:r>
              <w:rPr>
                <w:rFonts w:hint="eastAsia" w:ascii="宋体" w:hAnsi="宋体" w:eastAsia="宋体"/>
                <w:lang w:val="en-US" w:eastAsia="zh-CN"/>
              </w:rPr>
              <w:t>SLT0011325、风扇延长线BEC0000068、通风加热集成线束总成SLT0011307、J6P经典版项目单通风线束BEC0010280、J6P经典版项目单加热线束BEC0010277、高配加热通风系统线束总成BEC0010008。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44.9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31"/>
        <w:gridCol w:w="980"/>
        <w:gridCol w:w="1539"/>
        <w:gridCol w:w="1931"/>
        <w:gridCol w:w="1479"/>
        <w:gridCol w:w="2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高低温湿热交变试验箱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R</w:t>
            </w:r>
            <w:r>
              <w:rPr>
                <w:rFonts w:hint="eastAsia" w:ascii="宋体" w:hAnsi="宋体"/>
                <w:kern w:val="0"/>
                <w:szCs w:val="20"/>
              </w:rPr>
              <w:t>-093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GDJS-150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±</w:t>
            </w:r>
            <w:r>
              <w:rPr>
                <w:rFonts w:hint="eastAsia" w:ascii="宋体" w:hAnsi="宋体"/>
              </w:rPr>
              <w:t>0.5%/3.1%RH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</w:rPr>
              <w:t>-40℃环境下存放2h后，降温度升至100℃环境下放置2h，循环2次。温升或温降速率按照（1±0.2）℃/min、（3±0.6）℃/min或（5±1）℃/min执行。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3" name="图片 3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341880" cy="1208405"/>
                  <wp:effectExtent l="0" t="0" r="127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W w:w="9213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1847"/>
              <w:gridCol w:w="1581"/>
              <w:gridCol w:w="38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195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84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是否符合4.2及4.7要求</w:t>
                  </w:r>
                </w:p>
              </w:tc>
              <w:tc>
                <w:tcPr>
                  <w:tcW w:w="382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不符合项具体描述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8" w:hRule="atLeast"/>
              </w:trPr>
              <w:tc>
                <w:tcPr>
                  <w:tcW w:w="195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ECU及通风线束总成</w:t>
                  </w:r>
                </w:p>
              </w:tc>
              <w:tc>
                <w:tcPr>
                  <w:tcW w:w="184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080-018</w:t>
                  </w:r>
                  <w:bookmarkStart w:id="0" w:name="_GoBack"/>
                  <w:bookmarkEnd w:id="0"/>
                  <w:r>
                    <w:rPr>
                      <w:rFonts w:hint="eastAsia" w:ascii="宋体" w:hAnsi="宋体"/>
                      <w:lang w:val="en-US" w:eastAsia="zh-CN"/>
                    </w:rPr>
                    <w:t>-202405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线束/耐温度变化性能试验/IMG_20240701_140610.jpgIMG_20240701_140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线束/耐温度变化性能试验/IMG_20240701_140610.jpgIMG_20240701_140610"/>
                          <pic:cNvPicPr/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6" name="图片 16" descr="C:/Users/Administrator/Desktop/线束/耐温度变化性能试验/IMG_20240701_140621.jpgIMG_20240701_140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Administrator/Desktop/线束/耐温度变化性能试验/IMG_20240701_140621.jpgIMG_20240701_140621"/>
                          <pic:cNvPicPr/>
                        </pic:nvPicPr>
                        <pic:blipFill>
                          <a:blip r:embed="rId14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59635"/>
                  <wp:effectExtent l="0" t="0" r="15875" b="12065"/>
                  <wp:docPr id="10" name="图片 10" descr="C:/Users/Administrator/Desktop/线束/搭铁线4/GR20240522SQS080-0234-搭铁线总成4-耐温度变化性能试验/b0c52f44b4e6f276850abc7ba53d8b0a.jpgb0c52f44b4e6f276850abc7ba53d8b0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线束/搭铁线4/GR20240522SQS080-0234-搭铁线总成4-耐温度变化性能试验/b0c52f44b4e6f276850abc7ba53d8b0a.jpgb0c52f44b4e6f276850abc7ba53d8b0a"/>
                          <pic:cNvPicPr/>
                        </pic:nvPicPr>
                        <pic:blipFill>
                          <a:blip r:embed="rId15"/>
                          <a:srcRect l="3146" r="3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线束/耐温度变化性能试验/IMG_20240701_140614.jpgIMG_20240701_140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耐温度变化性能试验/IMG_20240701_140614.jpgIMG_20240701_140614"/>
                          <pic:cNvPicPr/>
                        </pic:nvPicPr>
                        <pic:blipFill>
                          <a:blip r:embed="rId1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7" name="图片 17" descr="C:/Users/Administrator/Desktop/线束/耐温度变化性能试验/IMG_20240701_140623.jpgIMG_20240701_140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:/Users/Administrator/Desktop/线束/耐温度变化性能试验/IMG_20240701_140623.jpgIMG_20240701_140623"/>
                          <pic:cNvPicPr/>
                        </pic:nvPicPr>
                        <pic:blipFill>
                          <a:blip r:embed="rId1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：GR20240522SQS080-</w:t>
    </w:r>
    <w:r>
      <w:rPr>
        <w:rFonts w:hint="eastAsia" w:ascii="宋体" w:hAnsi="宋体" w:eastAsia="宋体"/>
        <w:sz w:val="21"/>
        <w:szCs w:val="21"/>
        <w:lang w:val="en-US" w:eastAsia="zh-CN"/>
      </w:rPr>
      <w:t>0342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64CBD"/>
    <w:rsid w:val="0007406C"/>
    <w:rsid w:val="00085981"/>
    <w:rsid w:val="00085C39"/>
    <w:rsid w:val="0008795F"/>
    <w:rsid w:val="00093D31"/>
    <w:rsid w:val="0009657F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524B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4272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181E"/>
    <w:rsid w:val="00585E7B"/>
    <w:rsid w:val="005912E6"/>
    <w:rsid w:val="0059299A"/>
    <w:rsid w:val="005A0F8D"/>
    <w:rsid w:val="005A1C75"/>
    <w:rsid w:val="005A1E48"/>
    <w:rsid w:val="005A4466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3C17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B87"/>
    <w:rsid w:val="007D3D67"/>
    <w:rsid w:val="007D5FC0"/>
    <w:rsid w:val="007D7B0A"/>
    <w:rsid w:val="007E145D"/>
    <w:rsid w:val="007E3D0A"/>
    <w:rsid w:val="007E6358"/>
    <w:rsid w:val="00800D3F"/>
    <w:rsid w:val="00801D09"/>
    <w:rsid w:val="008042A0"/>
    <w:rsid w:val="008066E2"/>
    <w:rsid w:val="00812ADF"/>
    <w:rsid w:val="00821CF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55AD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790D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E6D14"/>
    <w:rsid w:val="00BF627A"/>
    <w:rsid w:val="00C01494"/>
    <w:rsid w:val="00C0377D"/>
    <w:rsid w:val="00C07B2B"/>
    <w:rsid w:val="00C27B77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0120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15E95"/>
    <w:rsid w:val="00F26B63"/>
    <w:rsid w:val="00F273F9"/>
    <w:rsid w:val="00F30937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AC53A5A"/>
    <w:rsid w:val="0E492A8B"/>
    <w:rsid w:val="13C13885"/>
    <w:rsid w:val="18B00F4B"/>
    <w:rsid w:val="19E971DB"/>
    <w:rsid w:val="1D554B87"/>
    <w:rsid w:val="23BF2024"/>
    <w:rsid w:val="2F574DBC"/>
    <w:rsid w:val="2FB56FB5"/>
    <w:rsid w:val="3A41222E"/>
    <w:rsid w:val="46273A99"/>
    <w:rsid w:val="4E12250E"/>
    <w:rsid w:val="576B22D6"/>
    <w:rsid w:val="623E53D1"/>
    <w:rsid w:val="723F4D5F"/>
    <w:rsid w:val="766649E6"/>
    <w:rsid w:val="79511238"/>
    <w:rsid w:val="7ABF0113"/>
    <w:rsid w:val="7C9A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1058E-9FEC-4AAC-92E5-9BFB33DA7F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784</Words>
  <Characters>1046</Characters>
  <Lines>10</Lines>
  <Paragraphs>2</Paragraphs>
  <TotalTime>1</TotalTime>
  <ScaleCrop>false</ScaleCrop>
  <LinksUpToDate>false</LinksUpToDate>
  <CharactersWithSpaces>1111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2024-07-01T12:26:57Z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