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bookmarkEnd w:id="0"/>
      <w:r>
        <w:rPr>
          <w:rFonts w:hint="eastAsia"/>
        </w:rPr>
        <w:t>猎聘服务合同</w:t>
      </w:r>
    </w:p>
    <w:p>
      <w:pPr>
        <w:pStyle w:val="6"/>
        <w:spacing w:before="0" w:beforeAutospacing="0" w:after="0" w:afterAutospacing="0" w:line="60" w:lineRule="atLeast"/>
        <w:ind w:left="4800" w:leftChars="2000"/>
        <w:jc w:val="left"/>
        <w:rPr>
          <w:rFonts w:hint="eastAsia"/>
          <w:sz w:val="18"/>
          <w:szCs w:val="18"/>
        </w:rPr>
      </w:pPr>
      <w:r>
        <w:rPr>
          <w:rFonts w:hint="eastAsia"/>
          <w:sz w:val="18"/>
          <w:szCs w:val="18"/>
        </w:rPr>
        <w:t>乙方合同编号：CON20240708010008</w:t>
      </w:r>
    </w:p>
    <w:p>
      <w:pPr>
        <w:pStyle w:val="6"/>
        <w:spacing w:before="60" w:beforeAutospacing="0" w:after="0" w:afterAutospacing="0"/>
        <w:rPr>
          <w:rFonts w:hint="eastAsia"/>
          <w:sz w:val="18"/>
          <w:szCs w:val="18"/>
        </w:rPr>
      </w:pPr>
      <w:r>
        <w:rPr>
          <w:rFonts w:hint="eastAsia"/>
          <w:b/>
          <w:bCs/>
          <w:sz w:val="18"/>
          <w:szCs w:val="18"/>
        </w:rPr>
        <w:t>甲     方：</w:t>
      </w:r>
      <w:r>
        <w:rPr>
          <w:rFonts w:hint="eastAsia"/>
          <w:sz w:val="18"/>
          <w:szCs w:val="18"/>
        </w:rPr>
        <w:t>北京光华荣昌汽车部件有限公司</w:t>
      </w:r>
    </w:p>
    <w:p/>
    <w:p>
      <w:pPr>
        <w:pStyle w:val="6"/>
        <w:spacing w:before="60" w:beforeAutospacing="0" w:after="0" w:afterAutospacing="0"/>
        <w:rPr>
          <w:rFonts w:hint="eastAsia"/>
          <w:sz w:val="18"/>
          <w:szCs w:val="18"/>
        </w:rPr>
      </w:pPr>
      <w:r>
        <w:rPr>
          <w:rFonts w:hint="eastAsia"/>
          <w:b/>
          <w:bCs/>
          <w:sz w:val="18"/>
          <w:szCs w:val="18"/>
        </w:rPr>
        <w:t>乙     方：</w:t>
      </w:r>
      <w:r>
        <w:rPr>
          <w:rFonts w:hint="eastAsia"/>
          <w:sz w:val="18"/>
          <w:szCs w:val="18"/>
        </w:rPr>
        <w:t>同道精英（天津）信息技术有限公司</w:t>
      </w:r>
    </w:p>
    <w:p/>
    <w:p>
      <w:pPr>
        <w:pStyle w:val="6"/>
        <w:spacing w:before="60" w:beforeAutospacing="0" w:after="0" w:afterAutospacing="0" w:line="240" w:lineRule="atLeast"/>
        <w:jc w:val="both"/>
        <w:rPr>
          <w:rFonts w:hint="eastAsia"/>
          <w:sz w:val="18"/>
          <w:szCs w:val="18"/>
        </w:rPr>
      </w:pPr>
      <w:r>
        <w:rPr>
          <w:rFonts w:hint="eastAsia"/>
          <w:sz w:val="18"/>
          <w:szCs w:val="18"/>
        </w:rPr>
        <w:t xml:space="preserve">    甲、乙双方经友好协商，就乙方经营的猎聘在服务有效期内为甲方提供平台信息服务事宜签订本合同。本合同包含《猎聘服务合同》和《猎聘通用服务条款》两部分，《猎聘通用服务条款》是本合同不可分割的重要组成部分。</w:t>
      </w:r>
    </w:p>
    <w:p/>
    <w:p>
      <w:pPr>
        <w:pStyle w:val="6"/>
        <w:spacing w:before="60" w:beforeAutospacing="0" w:after="0" w:afterAutospacing="0"/>
        <w:rPr>
          <w:rFonts w:hint="eastAsia"/>
          <w:b/>
          <w:bCs/>
          <w:sz w:val="18"/>
          <w:szCs w:val="18"/>
        </w:rPr>
      </w:pPr>
      <w:r>
        <w:rPr>
          <w:rFonts w:hint="eastAsia"/>
          <w:b/>
          <w:bCs/>
          <w:sz w:val="18"/>
          <w:szCs w:val="18"/>
        </w:rPr>
        <w:t>一、服务内容：</w:t>
      </w:r>
    </w:p>
    <w:p>
      <w:pPr>
        <w:spacing w:before="60" w:beforeAutospacing="0" w:after="0" w:afterAutospacing="0" w:line="240" w:lineRule="atLeast"/>
        <w:rPr>
          <w:rFonts w:hint="eastAsia"/>
          <w:b/>
          <w:bCs/>
          <w:sz w:val="18"/>
          <w:szCs w:val="18"/>
          <w:lang w:val="en-US" w:eastAsia="zh-CN"/>
        </w:rPr>
      </w:pPr>
      <w:r>
        <w:rPr>
          <w:rFonts w:hint="eastAsia"/>
          <w:b/>
          <w:bCs/>
          <w:sz w:val="18"/>
          <w:szCs w:val="18"/>
          <w:lang w:val="en-US" w:eastAsia="zh-CN"/>
        </w:rPr>
        <w:t>●企业版</w:t>
      </w:r>
    </w:p>
    <w:p>
      <w:pPr>
        <w:spacing w:before="60" w:beforeAutospacing="0" w:after="0" w:afterAutospacing="0" w:line="240" w:lineRule="atLeast"/>
        <w:rPr>
          <w:rFonts w:hint="eastAsia"/>
          <w:sz w:val="18"/>
          <w:szCs w:val="18"/>
          <w:lang w:val="en-US" w:eastAsia="zh-CN"/>
        </w:rPr>
      </w:pPr>
      <w:r>
        <w:rPr>
          <w:rFonts w:hint="eastAsia"/>
          <w:b/>
          <w:bCs/>
          <w:sz w:val="18"/>
          <w:szCs w:val="18"/>
          <w:lang w:val="en-US" w:eastAsia="zh-CN"/>
        </w:rPr>
        <w:t>购买内容：</w:t>
      </w:r>
      <w:r>
        <w:rPr>
          <w:rFonts w:hint="eastAsia"/>
          <w:sz w:val="18"/>
          <w:szCs w:val="18"/>
          <w:lang w:val="en-US" w:eastAsia="zh-CN"/>
        </w:rPr>
        <w:t>精英卡</w:t>
      </w:r>
      <w:r>
        <w:rPr>
          <w:rFonts w:hint="eastAsia"/>
          <w:sz w:val="18"/>
          <w:szCs w:val="18"/>
          <w:u w:val="single"/>
          <w:lang w:val="en-US" w:eastAsia="zh-CN"/>
        </w:rPr>
        <w:t>330</w:t>
      </w:r>
      <w:r>
        <w:rPr>
          <w:rFonts w:hint="eastAsia"/>
          <w:sz w:val="18"/>
          <w:szCs w:val="18"/>
          <w:lang w:val="en-US" w:eastAsia="zh-CN"/>
        </w:rPr>
        <w:t>张、企业VIP账号</w:t>
      </w:r>
      <w:r>
        <w:rPr>
          <w:rFonts w:hint="eastAsia"/>
          <w:sz w:val="18"/>
          <w:szCs w:val="18"/>
          <w:u w:val="single"/>
          <w:lang w:val="en-US" w:eastAsia="zh-CN"/>
        </w:rPr>
        <w:t>3</w:t>
      </w:r>
      <w:r>
        <w:rPr>
          <w:rFonts w:hint="eastAsia"/>
          <w:sz w:val="18"/>
          <w:szCs w:val="18"/>
          <w:lang w:val="en-US" w:eastAsia="zh-CN"/>
        </w:rPr>
        <w:t>个;</w:t>
      </w:r>
    </w:p>
    <w:p>
      <w:pPr>
        <w:spacing w:before="60" w:beforeAutospacing="0" w:after="0" w:afterAutospacing="0" w:line="240" w:lineRule="atLeast"/>
        <w:rPr>
          <w:rFonts w:hint="eastAsia"/>
          <w:sz w:val="18"/>
          <w:szCs w:val="18"/>
          <w:lang w:val="en-US" w:eastAsia="zh-CN"/>
        </w:rPr>
      </w:pPr>
      <w:r>
        <w:rPr>
          <w:rFonts w:hint="eastAsia"/>
          <w:b/>
          <w:bCs/>
          <w:sz w:val="18"/>
          <w:szCs w:val="18"/>
          <w:lang w:val="en-US" w:eastAsia="zh-CN"/>
        </w:rPr>
        <w:t>赠送内容：</w:t>
      </w:r>
      <w:r>
        <w:rPr>
          <w:rFonts w:hint="eastAsia"/>
          <w:sz w:val="18"/>
          <w:szCs w:val="18"/>
          <w:lang w:val="en-US" w:eastAsia="zh-CN"/>
        </w:rPr>
        <w:t>精英卡</w:t>
      </w:r>
      <w:r>
        <w:rPr>
          <w:rFonts w:hint="eastAsia"/>
          <w:sz w:val="18"/>
          <w:szCs w:val="18"/>
          <w:u w:val="single"/>
          <w:lang w:val="en-US" w:eastAsia="zh-CN"/>
        </w:rPr>
        <w:t>60</w:t>
      </w:r>
      <w:r>
        <w:rPr>
          <w:rFonts w:hint="eastAsia"/>
          <w:sz w:val="18"/>
          <w:szCs w:val="18"/>
          <w:lang w:val="en-US" w:eastAsia="zh-CN"/>
        </w:rPr>
        <w:t>张、电话卡</w:t>
      </w:r>
      <w:r>
        <w:rPr>
          <w:rFonts w:hint="eastAsia"/>
          <w:sz w:val="18"/>
          <w:szCs w:val="18"/>
          <w:u w:val="single"/>
          <w:lang w:val="en-US" w:eastAsia="zh-CN"/>
        </w:rPr>
        <w:t>50</w:t>
      </w:r>
      <w:r>
        <w:rPr>
          <w:rFonts w:hint="eastAsia"/>
          <w:sz w:val="18"/>
          <w:szCs w:val="18"/>
          <w:lang w:val="en-US" w:eastAsia="zh-CN"/>
        </w:rPr>
        <w:t>张、名企职位图片广告（一类城市）</w:t>
      </w:r>
      <w:r>
        <w:rPr>
          <w:rFonts w:hint="eastAsia"/>
          <w:sz w:val="18"/>
          <w:szCs w:val="18"/>
          <w:u w:val="single"/>
          <w:lang w:val="en-US" w:eastAsia="zh-CN"/>
        </w:rPr>
        <w:t>北京</w:t>
      </w:r>
      <w:r>
        <w:rPr>
          <w:rFonts w:hint="eastAsia"/>
          <w:sz w:val="18"/>
          <w:szCs w:val="18"/>
          <w:lang w:val="en-US" w:eastAsia="zh-CN"/>
        </w:rPr>
        <w:t>地区广告</w:t>
      </w:r>
      <w:r>
        <w:rPr>
          <w:rFonts w:hint="eastAsia"/>
          <w:sz w:val="18"/>
          <w:szCs w:val="18"/>
          <w:u w:val="single"/>
          <w:lang w:val="en-US" w:eastAsia="zh-CN"/>
        </w:rPr>
        <w:t>1</w:t>
      </w:r>
      <w:r>
        <w:rPr>
          <w:rFonts w:hint="eastAsia"/>
          <w:sz w:val="18"/>
          <w:szCs w:val="18"/>
          <w:lang w:val="en-US" w:eastAsia="zh-CN"/>
        </w:rPr>
        <w:t>周;</w:t>
      </w:r>
    </w:p>
    <w:p>
      <w:pPr>
        <w:spacing w:before="60" w:beforeAutospacing="0" w:after="0" w:afterAutospacing="0" w:line="240" w:lineRule="atLeast"/>
        <w:rPr>
          <w:rFonts w:hint="eastAsia"/>
          <w:sz w:val="18"/>
          <w:szCs w:val="18"/>
          <w:lang w:val="en-US" w:eastAsia="zh-CN"/>
        </w:rPr>
      </w:pPr>
      <w:r>
        <w:rPr>
          <w:rFonts w:hint="eastAsia"/>
          <w:b/>
          <w:bCs/>
          <w:sz w:val="18"/>
          <w:szCs w:val="18"/>
          <w:lang w:val="en-US" w:eastAsia="zh-CN"/>
        </w:rPr>
        <w:t>开通时间：</w:t>
      </w:r>
      <w:r>
        <w:rPr>
          <w:rFonts w:hint="eastAsia"/>
          <w:sz w:val="18"/>
          <w:szCs w:val="18"/>
          <w:lang w:val="en-US" w:eastAsia="zh-CN"/>
        </w:rPr>
        <w:t>乙方自收到甲方服务费用后于</w:t>
      </w:r>
      <w:r>
        <w:rPr>
          <w:rFonts w:hint="eastAsia"/>
          <w:sz w:val="18"/>
          <w:szCs w:val="18"/>
          <w:u w:val="single"/>
          <w:lang w:val="en-US" w:eastAsia="zh-CN"/>
        </w:rPr>
        <w:t>2024-09-01</w:t>
      </w:r>
      <w:r>
        <w:rPr>
          <w:rFonts w:hint="eastAsia"/>
          <w:sz w:val="18"/>
          <w:szCs w:val="18"/>
          <w:lang w:val="en-US" w:eastAsia="zh-CN"/>
        </w:rPr>
        <w:t>开通上述服务内容,服务有效期自服务开通之日起</w:t>
      </w:r>
      <w:r>
        <w:rPr>
          <w:rFonts w:hint="eastAsia"/>
          <w:sz w:val="18"/>
          <w:szCs w:val="18"/>
          <w:u w:val="single"/>
          <w:lang w:val="en-US" w:eastAsia="zh-CN"/>
        </w:rPr>
        <w:t>365</w:t>
      </w:r>
      <w:r>
        <w:rPr>
          <w:rFonts w:hint="eastAsia"/>
          <w:sz w:val="18"/>
          <w:szCs w:val="18"/>
          <w:lang w:val="en-US" w:eastAsia="zh-CN"/>
        </w:rPr>
        <w:t>个日历日止</w:t>
      </w:r>
    </w:p>
    <w:p/>
    <w:p>
      <w:pPr>
        <w:pStyle w:val="6"/>
        <w:spacing w:before="60" w:beforeAutospacing="0" w:after="120" w:afterAutospacing="0" w:line="240" w:lineRule="atLeast"/>
        <w:rPr>
          <w:rFonts w:hint="eastAsia"/>
          <w:b/>
          <w:bCs/>
          <w:sz w:val="18"/>
          <w:szCs w:val="18"/>
        </w:rPr>
      </w:pPr>
      <w:r>
        <w:rPr>
          <w:rFonts w:hint="eastAsia"/>
          <w:b/>
          <w:bCs/>
          <w:sz w:val="18"/>
          <w:szCs w:val="18"/>
        </w:rPr>
        <w:t>二、服务费用及支付方式：</w:t>
      </w:r>
    </w:p>
    <w:tbl>
      <w:tblPr>
        <w:tblStyle w:val="7"/>
        <w:tblW w:w="5000" w:type="pct"/>
        <w:tblInd w:w="0" w:type="dxa"/>
        <w:tblLayout w:type="autofit"/>
        <w:tblCellMar>
          <w:top w:w="15" w:type="dxa"/>
          <w:left w:w="15" w:type="dxa"/>
          <w:bottom w:w="15" w:type="dxa"/>
          <w:right w:w="15" w:type="dxa"/>
        </w:tblCellMar>
      </w:tblPr>
      <w:tblGrid>
        <w:gridCol w:w="2087"/>
        <w:gridCol w:w="6459"/>
      </w:tblGrid>
      <w:tr>
        <w:tblPrEx>
          <w:tblCellMar>
            <w:top w:w="15" w:type="dxa"/>
            <w:left w:w="15" w:type="dxa"/>
            <w:bottom w:w="15" w:type="dxa"/>
            <w:right w:w="15" w:type="dxa"/>
          </w:tblCellMar>
        </w:tblPrEx>
        <w:trPr>
          <w:wAfter w:w="3600" w:type="dxa"/>
        </w:trPr>
        <w:tc>
          <w:tcPr>
            <w:tcW w:w="150" w:type="dxa"/>
            <w:tcBorders>
              <w:top w:val="single" w:color="CCCCCC" w:sz="4" w:space="0"/>
              <w:left w:val="single" w:color="CCCCCC" w:sz="4" w:space="0"/>
              <w:bottom w:val="single" w:color="CCCCCC" w:sz="4" w:space="0"/>
            </w:tcBorders>
            <w:tcMar>
              <w:top w:w="120" w:type="dxa"/>
              <w:left w:w="120" w:type="dxa"/>
              <w:bottom w:w="120" w:type="dxa"/>
              <w:right w:w="120" w:type="dxa"/>
            </w:tcMar>
            <w:vAlign w:val="top"/>
          </w:tcPr>
          <w:p>
            <w:pPr>
              <w:jc w:val="left"/>
              <w:rPr>
                <w:sz w:val="18"/>
                <w:szCs w:val="18"/>
              </w:rPr>
            </w:pPr>
            <w:r>
              <w:rPr>
                <w:rFonts w:hint="eastAsia"/>
                <w:sz w:val="18"/>
                <w:szCs w:val="18"/>
              </w:rPr>
              <w:t>付款时间</w:t>
            </w:r>
          </w:p>
        </w:tc>
        <w:tc>
          <w:tcPr>
            <w:tcW w:w="1300" w:type="dxa"/>
            <w:tcBorders>
              <w:top w:val="single" w:color="CCCCCC" w:sz="4" w:space="0"/>
              <w:left w:val="single" w:color="CCCCCC" w:sz="4" w:space="0"/>
              <w:bottom w:val="single" w:color="CCCCCC" w:sz="4" w:space="0"/>
              <w:right w:val="single" w:color="CCCCCC" w:sz="4" w:space="0"/>
            </w:tcBorders>
            <w:tcMar>
              <w:top w:w="120" w:type="dxa"/>
              <w:left w:w="120" w:type="dxa"/>
              <w:bottom w:w="120" w:type="dxa"/>
              <w:right w:w="120" w:type="dxa"/>
            </w:tcMar>
            <w:vAlign w:val="top"/>
          </w:tcPr>
          <w:p>
            <w:pPr>
              <w:wordWrap w:val="0"/>
              <w:jc w:val="left"/>
              <w:rPr>
                <w:sz w:val="18"/>
                <w:szCs w:val="18"/>
              </w:rPr>
            </w:pPr>
            <w:r>
              <w:rPr>
                <w:rFonts w:hint="eastAsia"/>
                <w:sz w:val="18"/>
                <w:szCs w:val="18"/>
              </w:rPr>
              <w:t>甲方应于本合同签订并收到乙方开具的等额有效的</w:t>
            </w:r>
            <w:r>
              <w:rPr>
                <w:rFonts w:hint="eastAsia"/>
                <w:sz w:val="18"/>
                <w:szCs w:val="18"/>
                <w:u w:val="single"/>
              </w:rPr>
              <w:t>增值税发票</w:t>
            </w:r>
            <w:r>
              <w:rPr>
                <w:rFonts w:hint="eastAsia"/>
                <w:sz w:val="18"/>
                <w:szCs w:val="18"/>
              </w:rPr>
              <w:t>后</w:t>
            </w:r>
            <w:r>
              <w:rPr>
                <w:rFonts w:hint="eastAsia"/>
                <w:sz w:val="18"/>
                <w:szCs w:val="18"/>
                <w:u w:val="single"/>
              </w:rPr>
              <w:t>3</w:t>
            </w:r>
            <w:r>
              <w:rPr>
                <w:rFonts w:hint="eastAsia"/>
                <w:sz w:val="18"/>
                <w:szCs w:val="18"/>
              </w:rPr>
              <w:t>个日历日内支付服务费用</w:t>
            </w:r>
          </w:p>
        </w:tc>
      </w:tr>
      <w:tr>
        <w:tblPrEx>
          <w:tblCellMar>
            <w:top w:w="15" w:type="dxa"/>
            <w:left w:w="15" w:type="dxa"/>
            <w:bottom w:w="15" w:type="dxa"/>
            <w:right w:w="15" w:type="dxa"/>
          </w:tblCellMar>
        </w:tblPrEx>
        <w:tc>
          <w:tcPr>
            <w:tcW w:w="150" w:type="dxa"/>
            <w:tcBorders>
              <w:top w:val="single" w:color="CCCCCC" w:sz="4" w:space="0"/>
              <w:left w:val="single" w:color="CCCCCC" w:sz="4" w:space="0"/>
              <w:bottom w:val="single" w:color="CCCCCC" w:sz="4" w:space="0"/>
            </w:tcBorders>
            <w:tcMar>
              <w:top w:w="120" w:type="dxa"/>
              <w:left w:w="120" w:type="dxa"/>
              <w:bottom w:w="120" w:type="dxa"/>
              <w:right w:w="120" w:type="dxa"/>
            </w:tcMar>
            <w:vAlign w:val="top"/>
          </w:tcPr>
          <w:p>
            <w:pPr>
              <w:jc w:val="left"/>
              <w:rPr>
                <w:sz w:val="18"/>
                <w:szCs w:val="18"/>
              </w:rPr>
            </w:pPr>
            <w:r>
              <w:rPr>
                <w:rFonts w:hint="eastAsia"/>
                <w:sz w:val="18"/>
                <w:szCs w:val="18"/>
              </w:rPr>
              <w:t>付款金额</w:t>
            </w:r>
          </w:p>
        </w:tc>
        <w:tc>
          <w:tcPr>
            <w:tcW w:w="1300" w:type="dxa"/>
            <w:tcBorders>
              <w:left w:val="single" w:color="CCCCCC" w:sz="4" w:space="0"/>
              <w:bottom w:val="single" w:color="CCCCCC" w:sz="4" w:space="0"/>
              <w:right w:val="single" w:color="CCCCCC" w:sz="4" w:space="0"/>
            </w:tcBorders>
            <w:tcMar>
              <w:top w:w="120" w:type="dxa"/>
              <w:left w:w="120" w:type="dxa"/>
              <w:bottom w:w="120" w:type="dxa"/>
              <w:right w:w="120" w:type="dxa"/>
            </w:tcMar>
            <w:vAlign w:val="top"/>
          </w:tcPr>
          <w:p>
            <w:pPr>
              <w:pStyle w:val="6"/>
              <w:wordWrap w:val="0"/>
              <w:jc w:val="left"/>
              <w:rPr>
                <w:sz w:val="18"/>
                <w:szCs w:val="18"/>
              </w:rPr>
            </w:pPr>
            <w:r>
              <w:rPr>
                <w:rFonts w:hint="eastAsia"/>
                <w:sz w:val="18"/>
                <w:szCs w:val="18"/>
              </w:rPr>
              <w:t>含税价(税率6%)：￥</w:t>
            </w:r>
            <w:r>
              <w:rPr>
                <w:rFonts w:hint="eastAsia"/>
                <w:sz w:val="18"/>
                <w:szCs w:val="18"/>
                <w:u w:val="single"/>
              </w:rPr>
              <w:t>14,800.00</w:t>
            </w:r>
            <w:r>
              <w:rPr>
                <w:rFonts w:hint="eastAsia"/>
                <w:sz w:val="18"/>
                <w:szCs w:val="18"/>
              </w:rPr>
              <w:t>(小写)人民币壹万肆仟捌佰元整(大写)</w:t>
            </w:r>
          </w:p>
        </w:tc>
      </w:tr>
      <w:tr>
        <w:tblPrEx>
          <w:tblCellMar>
            <w:top w:w="15" w:type="dxa"/>
            <w:left w:w="15" w:type="dxa"/>
            <w:bottom w:w="15" w:type="dxa"/>
            <w:right w:w="15" w:type="dxa"/>
          </w:tblCellMar>
        </w:tblPrEx>
        <w:tc>
          <w:tcPr>
            <w:tcW w:w="150" w:type="dxa"/>
            <w:tcBorders>
              <w:top w:val="single" w:color="CCCCCC" w:sz="4" w:space="0"/>
              <w:left w:val="single" w:color="CCCCCC" w:sz="4" w:space="0"/>
              <w:bottom w:val="single" w:color="CCCCCC" w:sz="4" w:space="0"/>
            </w:tcBorders>
            <w:tcMar>
              <w:top w:w="120" w:type="dxa"/>
              <w:left w:w="120" w:type="dxa"/>
              <w:bottom w:w="120" w:type="dxa"/>
              <w:right w:w="120" w:type="dxa"/>
            </w:tcMar>
            <w:vAlign w:val="top"/>
          </w:tcPr>
          <w:p>
            <w:pPr>
              <w:jc w:val="left"/>
              <w:rPr>
                <w:sz w:val="18"/>
                <w:szCs w:val="18"/>
              </w:rPr>
            </w:pPr>
            <w:r>
              <w:rPr>
                <w:rFonts w:hint="eastAsia"/>
                <w:sz w:val="18"/>
                <w:szCs w:val="18"/>
              </w:rPr>
              <w:t>付款方式</w:t>
            </w:r>
          </w:p>
        </w:tc>
        <w:tc>
          <w:tcPr>
            <w:tcW w:w="1300" w:type="dxa"/>
            <w:tcBorders>
              <w:left w:val="single" w:color="CCCCCC" w:sz="4" w:space="0"/>
              <w:bottom w:val="single" w:color="CCCCCC" w:sz="4" w:space="0"/>
              <w:right w:val="single" w:color="CCCCCC" w:sz="4" w:space="0"/>
            </w:tcBorders>
            <w:tcMar>
              <w:top w:w="120" w:type="dxa"/>
              <w:left w:w="120" w:type="dxa"/>
              <w:bottom w:w="120" w:type="dxa"/>
              <w:right w:w="120" w:type="dxa"/>
            </w:tcMar>
            <w:vAlign w:val="top"/>
          </w:tcPr>
          <w:p>
            <w:pPr>
              <w:pStyle w:val="6"/>
              <w:wordWrap w:val="0"/>
              <w:jc w:val="left"/>
              <w:rPr>
                <w:rFonts w:hint="eastAsia"/>
                <w:sz w:val="18"/>
                <w:szCs w:val="18"/>
              </w:rPr>
            </w:pPr>
            <w:r>
              <w:rPr>
                <w:rFonts w:hint="eastAsia"/>
                <w:sz w:val="18"/>
                <w:szCs w:val="18"/>
              </w:rPr>
              <w:t>银行汇款</w:t>
            </w:r>
          </w:p>
        </w:tc>
      </w:tr>
      <w:tr>
        <w:tblPrEx>
          <w:tblCellMar>
            <w:top w:w="15" w:type="dxa"/>
            <w:left w:w="15" w:type="dxa"/>
            <w:bottom w:w="15" w:type="dxa"/>
            <w:right w:w="15" w:type="dxa"/>
          </w:tblCellMar>
        </w:tblPrEx>
        <w:tc>
          <w:tcPr>
            <w:tcW w:w="150" w:type="dxa"/>
            <w:tcBorders>
              <w:top w:val="single" w:color="CCCCCC" w:sz="4" w:space="0"/>
              <w:left w:val="single" w:color="CCCCCC" w:sz="4" w:space="0"/>
              <w:bottom w:val="single" w:color="CCCCCC" w:sz="4" w:space="0"/>
              <w:right w:val="single" w:color="CCCCCC" w:sz="4" w:space="0"/>
            </w:tcBorders>
            <w:tcMar>
              <w:top w:w="120" w:type="dxa"/>
              <w:left w:w="120" w:type="dxa"/>
              <w:bottom w:w="120" w:type="dxa"/>
              <w:right w:w="120" w:type="dxa"/>
            </w:tcMar>
            <w:vAlign w:val="top"/>
          </w:tcPr>
          <w:p>
            <w:pPr>
              <w:jc w:val="left"/>
              <w:rPr>
                <w:sz w:val="18"/>
                <w:szCs w:val="18"/>
              </w:rPr>
            </w:pPr>
            <w:r>
              <w:rPr>
                <w:rFonts w:hint="eastAsia"/>
                <w:sz w:val="18"/>
                <w:szCs w:val="18"/>
              </w:rPr>
              <w:t>收款信息</w:t>
            </w:r>
          </w:p>
        </w:tc>
        <w:tc>
          <w:tcPr>
            <w:tcW w:w="1300" w:type="dxa"/>
            <w:tcBorders>
              <w:left w:val="single" w:color="CCCCCC" w:sz="4" w:space="0"/>
              <w:bottom w:val="single" w:color="CCCCCC" w:sz="4" w:space="0"/>
              <w:right w:val="single" w:color="CCCCCC" w:sz="4" w:space="0"/>
            </w:tcBorders>
            <w:tcMar>
              <w:top w:w="120" w:type="dxa"/>
              <w:left w:w="120" w:type="dxa"/>
              <w:bottom w:w="120" w:type="dxa"/>
              <w:right w:w="120" w:type="dxa"/>
            </w:tcMar>
            <w:vAlign w:val="top"/>
          </w:tcPr>
          <w:p>
            <w:pPr>
              <w:wordWrap w:val="0"/>
              <w:rPr>
                <w:sz w:val="18"/>
                <w:szCs w:val="18"/>
              </w:rPr>
            </w:pPr>
            <w:r>
              <w:rPr>
                <w:rFonts w:hint="eastAsia"/>
                <w:sz w:val="18"/>
                <w:szCs w:val="18"/>
              </w:rPr>
              <w:t>开户名：同道精英（天津）信息技术有限公司</w:t>
            </w:r>
            <w:r>
              <w:rPr>
                <w:rFonts w:hint="eastAsia"/>
                <w:sz w:val="18"/>
                <w:szCs w:val="18"/>
              </w:rPr>
              <w:br w:type="textWrapping"/>
            </w:r>
            <w:r>
              <w:rPr>
                <w:rFonts w:hint="eastAsia"/>
                <w:sz w:val="18"/>
                <w:szCs w:val="18"/>
              </w:rPr>
              <w:t>账号：0302090219300491289</w:t>
            </w:r>
            <w:r>
              <w:rPr>
                <w:rFonts w:hint="eastAsia"/>
                <w:sz w:val="18"/>
                <w:szCs w:val="18"/>
              </w:rPr>
              <w:br w:type="textWrapping"/>
            </w:r>
            <w:r>
              <w:rPr>
                <w:rFonts w:hint="eastAsia"/>
                <w:sz w:val="18"/>
                <w:szCs w:val="18"/>
              </w:rPr>
              <w:t xml:space="preserve">开户行：中国工商银行天津第一支行 </w:t>
            </w:r>
          </w:p>
        </w:tc>
      </w:tr>
    </w:tbl>
    <w:p/>
    <w:p>
      <w:pPr>
        <w:pStyle w:val="2"/>
        <w:jc w:val="center"/>
        <w:rPr>
          <w:rFonts w:hint="eastAsia"/>
        </w:rPr>
      </w:pPr>
      <w:r>
        <w:rPr>
          <w:rFonts w:hint="eastAsia"/>
        </w:rPr>
        <w:t>猎聘通用服务条款</w:t>
      </w:r>
    </w:p>
    <w:tbl>
      <w:tblPr>
        <w:tblStyle w:val="7"/>
        <w:tblW w:w="5000" w:type="pct"/>
        <w:tblCellSpacing w:w="15" w:type="dxa"/>
        <w:tblInd w:w="0" w:type="dxa"/>
        <w:tblLayout w:type="autofit"/>
        <w:tblCellMar>
          <w:top w:w="15" w:type="dxa"/>
          <w:left w:w="15" w:type="dxa"/>
          <w:bottom w:w="15" w:type="dxa"/>
          <w:right w:w="15" w:type="dxa"/>
        </w:tblCellMar>
      </w:tblPr>
      <w:tblGrid>
        <w:gridCol w:w="8501"/>
      </w:tblGrid>
      <w:tr>
        <w:tblPrEx>
          <w:tblCellMar>
            <w:top w:w="15" w:type="dxa"/>
            <w:left w:w="15" w:type="dxa"/>
            <w:bottom w:w="15" w:type="dxa"/>
            <w:right w:w="15" w:type="dxa"/>
          </w:tblCellMar>
        </w:tblPrEx>
        <w:trPr>
          <w:tblCellSpacing w:w="15" w:type="dxa"/>
        </w:trPr>
        <w:tc>
          <w:tcPr>
            <w:tcW w:w="0" w:type="auto"/>
            <w:tcMar>
              <w:top w:w="15" w:type="dxa"/>
              <w:left w:w="120" w:type="dxa"/>
              <w:bottom w:w="15" w:type="dxa"/>
              <w:right w:w="15" w:type="dxa"/>
            </w:tcMar>
          </w:tcPr>
          <w:p>
            <w:pPr>
              <w:pStyle w:val="6"/>
              <w:wordWrap w:val="0"/>
              <w:spacing w:before="84" w:beforeAutospacing="0"/>
              <w:jc w:val="both"/>
              <w:rPr>
                <w:rFonts w:hint="eastAsia"/>
                <w:b/>
                <w:bCs/>
              </w:rPr>
            </w:pPr>
            <w:r>
              <w:rPr>
                <w:rFonts w:hint="eastAsia"/>
                <w:b/>
                <w:bCs/>
              </w:rPr>
              <w:t>第一条 甲方的权利与义务</w:t>
            </w:r>
          </w:p>
          <w:p>
            <w:pPr>
              <w:pStyle w:val="6"/>
              <w:wordWrap w:val="0"/>
              <w:spacing w:before="0" w:beforeAutospacing="0" w:after="120" w:afterAutospacing="0"/>
              <w:rPr>
                <w:sz w:val="17"/>
                <w:szCs w:val="17"/>
              </w:rPr>
            </w:pPr>
            <w:r>
              <w:rPr>
                <w:rFonts w:hint="eastAsia"/>
                <w:sz w:val="17"/>
                <w:szCs w:val="17"/>
              </w:rPr>
              <w:t>（1） 甲方有权在服务期限内在猎聘平台使用已购买的平台信息服务及多元化服务产品，具体详情及规则以平台展示内容为准。</w:t>
            </w:r>
          </w:p>
          <w:p>
            <w:pPr>
              <w:pStyle w:val="6"/>
              <w:wordWrap w:val="0"/>
              <w:spacing w:before="0" w:beforeAutospacing="0" w:after="120" w:afterAutospacing="0"/>
              <w:rPr>
                <w:sz w:val="17"/>
                <w:szCs w:val="17"/>
              </w:rPr>
            </w:pPr>
            <w:r>
              <w:rPr>
                <w:rFonts w:hint="eastAsia"/>
                <w:sz w:val="17"/>
                <w:szCs w:val="17"/>
              </w:rPr>
              <w:t>（2） 甲方保证其在猎聘发布的信息及提供的所有资料、素材之真实性、合法性、有效性，承诺上述信息、资料或素材不违反任何法律、法规，不会侵犯任何第三方的合法权益。甲方同意，乙方基于帮助甲方宣传信息目的，可将甲方发布在乙方的信息通过第三方渠道网站进行推广。</w:t>
            </w:r>
          </w:p>
          <w:p>
            <w:pPr>
              <w:pStyle w:val="6"/>
              <w:wordWrap w:val="0"/>
              <w:spacing w:before="0" w:beforeAutospacing="0" w:after="120" w:afterAutospacing="0"/>
              <w:rPr>
                <w:sz w:val="17"/>
                <w:szCs w:val="17"/>
              </w:rPr>
            </w:pPr>
            <w:r>
              <w:rPr>
                <w:rFonts w:hint="eastAsia"/>
                <w:sz w:val="17"/>
                <w:szCs w:val="17"/>
              </w:rPr>
              <w:t>（3） 甲方及其员工需在猎聘完成主体资质认证。甲方授权其招聘账号实际使用人为企业账号管理员，该管理员有权代表甲方确认猎聘服务所涉及的事项，并有权对甲方招聘账号及账号项下人员/资源/职位信息等进行审核、分配、管理。如：邀请分支机构账号/普通账号注册、授权其他账号以甲方名义入驻猎聘并进行招聘；审核相关招聘用户在职认证申请；开设分支机构账号，设置分支机构账号管理员；自行或授权分支机构账号管理员分配企业VIP账号等。</w:t>
            </w:r>
          </w:p>
          <w:p>
            <w:pPr>
              <w:pStyle w:val="6"/>
              <w:wordWrap w:val="0"/>
              <w:spacing w:before="0" w:beforeAutospacing="0" w:after="120" w:afterAutospacing="0"/>
              <w:rPr>
                <w:sz w:val="17"/>
                <w:szCs w:val="17"/>
              </w:rPr>
            </w:pPr>
            <w:r>
              <w:rPr>
                <w:rFonts w:hint="eastAsia"/>
                <w:sz w:val="17"/>
                <w:szCs w:val="17"/>
              </w:rPr>
              <w:t>（4） 甲方应妥善保管其在猎聘注册的用户名及密码，因甲方原因致使用户名及密码泄露产生的所有法律责任由甲方承担。在甲方发现密码泄露时，乙方应积极协助甲方更换密码，保护甲方账户安全。</w:t>
            </w:r>
          </w:p>
          <w:p>
            <w:pPr>
              <w:pStyle w:val="6"/>
              <w:wordWrap w:val="0"/>
              <w:spacing w:before="0" w:beforeAutospacing="0" w:after="120" w:afterAutospacing="0"/>
              <w:rPr>
                <w:sz w:val="17"/>
                <w:szCs w:val="17"/>
              </w:rPr>
            </w:pPr>
            <w:r>
              <w:rPr>
                <w:rFonts w:hint="eastAsia"/>
                <w:sz w:val="17"/>
                <w:szCs w:val="17"/>
              </w:rPr>
              <w:t>（5） 甲方知悉猎聘出于安全考虑，同一时间仅允许一人登录一个账号。如甲方向乙方申请多人同时登录猎聘同一账号权限的（主账号和分子账号同时登录的除外），则承诺愿意承担因此所产生的相应风险，包括但不限于账号被盗用等。</w:t>
            </w:r>
          </w:p>
          <w:p>
            <w:pPr>
              <w:pStyle w:val="6"/>
              <w:wordWrap w:val="0"/>
              <w:spacing w:before="0" w:beforeAutospacing="0" w:after="120" w:afterAutospacing="0"/>
              <w:rPr>
                <w:sz w:val="17"/>
                <w:szCs w:val="17"/>
              </w:rPr>
            </w:pPr>
            <w:r>
              <w:rPr>
                <w:rFonts w:hint="eastAsia"/>
                <w:sz w:val="17"/>
                <w:szCs w:val="17"/>
              </w:rPr>
              <w:t>（6） 甲方应在服务有效期内将服务产品使用完毕，非因乙方原因导致甲方资源未能在服务期限内使用完毕，乙方不予退费。</w:t>
            </w:r>
          </w:p>
          <w:p>
            <w:pPr>
              <w:pStyle w:val="6"/>
              <w:wordWrap w:val="0"/>
              <w:spacing w:before="84" w:beforeAutospacing="0"/>
              <w:jc w:val="both"/>
              <w:rPr>
                <w:rFonts w:hint="eastAsia"/>
                <w:b/>
                <w:bCs/>
              </w:rPr>
            </w:pPr>
            <w:r>
              <w:rPr>
                <w:rFonts w:hint="eastAsia"/>
                <w:b/>
                <w:bCs/>
              </w:rPr>
              <w:t>第二条 乙方的权利与义务</w:t>
            </w:r>
          </w:p>
          <w:p>
            <w:pPr>
              <w:pStyle w:val="6"/>
              <w:wordWrap w:val="0"/>
              <w:spacing w:before="0" w:beforeAutospacing="0" w:after="120" w:afterAutospacing="0"/>
              <w:rPr>
                <w:sz w:val="17"/>
                <w:szCs w:val="17"/>
              </w:rPr>
            </w:pPr>
            <w:r>
              <w:rPr>
                <w:rFonts w:hint="eastAsia"/>
                <w:sz w:val="17"/>
                <w:szCs w:val="17"/>
              </w:rPr>
              <w:t>（1） 因甲方将所获取的求职者信息用于甲方招聘以外的其他目的或利用第三方软件、通过其他网站登录、侵入乙方系统刷取乙方简历或发布的信息、提供的资料、素材违反法律法规、侵犯第三方合法权益或甲方利用乙方平台从事任何违法违规活动的，乙方有权在通知甲方后立即停止服务，因此产生的纠纷、处罚由甲方负责解决并承担相应法律责任，且乙方有权终止合同。</w:t>
            </w:r>
          </w:p>
          <w:p>
            <w:pPr>
              <w:pStyle w:val="6"/>
              <w:wordWrap w:val="0"/>
              <w:spacing w:before="0" w:beforeAutospacing="0" w:after="120" w:afterAutospacing="0"/>
              <w:rPr>
                <w:sz w:val="17"/>
                <w:szCs w:val="17"/>
              </w:rPr>
            </w:pPr>
            <w:r>
              <w:rPr>
                <w:rFonts w:hint="eastAsia"/>
                <w:sz w:val="17"/>
                <w:szCs w:val="17"/>
              </w:rPr>
              <w:t>（2） 乙方负有及时答复甲方的有关咨询、告知甲方操作使用方法的义务。</w:t>
            </w:r>
          </w:p>
          <w:p>
            <w:pPr>
              <w:pStyle w:val="6"/>
              <w:wordWrap w:val="0"/>
              <w:spacing w:before="0" w:beforeAutospacing="0" w:after="120" w:afterAutospacing="0"/>
              <w:rPr>
                <w:sz w:val="17"/>
                <w:szCs w:val="17"/>
              </w:rPr>
            </w:pPr>
            <w:r>
              <w:rPr>
                <w:rFonts w:hint="eastAsia"/>
                <w:sz w:val="17"/>
                <w:szCs w:val="17"/>
              </w:rPr>
              <w:t>（3） 乙方提供甲方与求职者之间的信息互通,但对非因乙方原因导致的甲方与求职者之间的纠纷不承担责任。</w:t>
            </w:r>
          </w:p>
          <w:p>
            <w:pPr>
              <w:pStyle w:val="6"/>
              <w:wordWrap w:val="0"/>
              <w:spacing w:before="0" w:beforeAutospacing="0" w:after="120" w:afterAutospacing="0"/>
              <w:rPr>
                <w:sz w:val="17"/>
                <w:szCs w:val="17"/>
              </w:rPr>
            </w:pPr>
            <w:r>
              <w:rPr>
                <w:rFonts w:hint="eastAsia"/>
                <w:sz w:val="17"/>
                <w:szCs w:val="17"/>
              </w:rPr>
              <w:t>（4） 乙方签署及履行本合同不违反法律法规、不侵犯第三方合法权益。如因乙方原因导致甲方受到损失，乙方应当承担赔偿责任。</w:t>
            </w:r>
          </w:p>
          <w:p>
            <w:pPr>
              <w:pStyle w:val="6"/>
              <w:wordWrap w:val="0"/>
              <w:spacing w:before="0" w:beforeAutospacing="0" w:after="120" w:afterAutospacing="0"/>
              <w:rPr>
                <w:sz w:val="17"/>
                <w:szCs w:val="17"/>
              </w:rPr>
            </w:pPr>
            <w:r>
              <w:rPr>
                <w:rFonts w:hint="eastAsia"/>
                <w:sz w:val="17"/>
                <w:szCs w:val="17"/>
              </w:rPr>
              <w:t>（5） 如甲方使用乐班班产品服务的，乙方保证甲方人事管理等相关信息在乐班班平台的安全性，且不会将甲方的人事管理信息泄露给第三方。</w:t>
            </w:r>
          </w:p>
          <w:p>
            <w:pPr>
              <w:pStyle w:val="6"/>
              <w:wordWrap w:val="0"/>
              <w:spacing w:before="84" w:beforeAutospacing="0"/>
              <w:jc w:val="both"/>
              <w:rPr>
                <w:rFonts w:hint="eastAsia"/>
                <w:b/>
                <w:bCs/>
              </w:rPr>
            </w:pPr>
            <w:r>
              <w:rPr>
                <w:rFonts w:hint="eastAsia"/>
                <w:b/>
                <w:bCs/>
              </w:rPr>
              <w:t>第三条 不可抗力</w:t>
            </w:r>
          </w:p>
          <w:p>
            <w:pPr>
              <w:pStyle w:val="6"/>
              <w:wordWrap w:val="0"/>
              <w:spacing w:before="0" w:beforeAutospacing="0" w:after="120" w:afterAutospacing="0"/>
              <w:rPr>
                <w:sz w:val="17"/>
                <w:szCs w:val="17"/>
              </w:rPr>
            </w:pPr>
            <w:r>
              <w:rPr>
                <w:rFonts w:hint="eastAsia"/>
                <w:sz w:val="17"/>
                <w:szCs w:val="17"/>
              </w:rPr>
              <w:t>（1） “不可抗力”是指合同双方不能合理控制、不可预见或即使预见亦无法避免的事件，该事件妨碍、影响或延误任何一方根据合同履行其全部或部分义务。</w:t>
            </w:r>
          </w:p>
          <w:p>
            <w:pPr>
              <w:pStyle w:val="6"/>
              <w:wordWrap w:val="0"/>
              <w:spacing w:before="0" w:beforeAutospacing="0" w:after="120" w:afterAutospacing="0"/>
              <w:rPr>
                <w:sz w:val="17"/>
                <w:szCs w:val="17"/>
              </w:rPr>
            </w:pPr>
            <w:r>
              <w:rPr>
                <w:rFonts w:hint="eastAsia"/>
                <w:sz w:val="17"/>
                <w:szCs w:val="17"/>
              </w:rPr>
              <w:t>（2） 由于以上所述不可抗力事件致使合同的部分或全部不能履行或延迟履行，则双方于彼此间不承担任何违约责任。但受不可抗力影响一方应尽量将对方的损失降至最低。</w:t>
            </w:r>
          </w:p>
          <w:p>
            <w:pPr>
              <w:pStyle w:val="6"/>
              <w:wordWrap w:val="0"/>
              <w:spacing w:before="84" w:beforeAutospacing="0"/>
              <w:jc w:val="both"/>
              <w:rPr>
                <w:rFonts w:hint="eastAsia"/>
                <w:b/>
                <w:bCs/>
              </w:rPr>
            </w:pPr>
            <w:r>
              <w:rPr>
                <w:rFonts w:hint="eastAsia"/>
                <w:b/>
                <w:bCs/>
              </w:rPr>
              <w:t>第四条 保密条款</w:t>
            </w:r>
          </w:p>
          <w:p>
            <w:pPr>
              <w:pStyle w:val="6"/>
              <w:wordWrap w:val="0"/>
              <w:spacing w:before="0" w:beforeAutospacing="0" w:after="120" w:afterAutospacing="0"/>
              <w:rPr>
                <w:sz w:val="17"/>
                <w:szCs w:val="17"/>
              </w:rPr>
            </w:pPr>
            <w:r>
              <w:rPr>
                <w:rFonts w:hint="eastAsia"/>
                <w:sz w:val="17"/>
                <w:szCs w:val="17"/>
              </w:rPr>
              <w:t>（1） 合同有效期内，甲乙双方及其员工均应采取适当措施对本合同项下的任何资料或信息、以及在履行本合同过程中所获取或接触到的对方任何非公开信息（以下简称“保密信息”）予以严格保密，未经对方的书面同意，任何一方不得将保密信息泄露给第三方。</w:t>
            </w:r>
          </w:p>
          <w:p>
            <w:pPr>
              <w:pStyle w:val="6"/>
              <w:wordWrap w:val="0"/>
              <w:spacing w:before="0" w:beforeAutospacing="0" w:after="120" w:afterAutospacing="0"/>
              <w:rPr>
                <w:sz w:val="17"/>
                <w:szCs w:val="17"/>
              </w:rPr>
            </w:pPr>
            <w:r>
              <w:rPr>
                <w:rFonts w:hint="eastAsia"/>
                <w:sz w:val="17"/>
                <w:szCs w:val="17"/>
              </w:rPr>
              <w:t>（2） 任何一方违反本条款之规定，而致他方有损害的，应由保密信息的接收方与其所属之违约人员连带对披露方负损害赔偿责任。</w:t>
            </w:r>
          </w:p>
          <w:p>
            <w:pPr>
              <w:pStyle w:val="6"/>
              <w:wordWrap w:val="0"/>
              <w:spacing w:before="0" w:beforeAutospacing="0" w:after="120" w:afterAutospacing="0"/>
              <w:rPr>
                <w:sz w:val="17"/>
                <w:szCs w:val="17"/>
              </w:rPr>
            </w:pPr>
            <w:r>
              <w:rPr>
                <w:rFonts w:hint="eastAsia"/>
                <w:sz w:val="17"/>
                <w:szCs w:val="17"/>
              </w:rPr>
              <w:t>（3） 该保密义务在服务合同终止后持续有效，本合同所述保密义务不适用于双方依据中华人民共和国法律、法规、规定或处理与本合同相关的争议所需要进行强制信息披露的信息和资料。但在此情形下，信息接收方应尽合理努力协助信息披露方采取相应合理措施将此等强制信息披露控制在法律法规允许的最小限度内。</w:t>
            </w:r>
          </w:p>
          <w:p>
            <w:pPr>
              <w:pStyle w:val="6"/>
              <w:wordWrap w:val="0"/>
              <w:spacing w:before="84" w:beforeAutospacing="0"/>
              <w:jc w:val="both"/>
              <w:rPr>
                <w:rFonts w:hint="eastAsia"/>
                <w:b/>
                <w:bCs/>
              </w:rPr>
            </w:pPr>
            <w:r>
              <w:rPr>
                <w:rFonts w:hint="eastAsia"/>
                <w:b/>
                <w:bCs/>
              </w:rPr>
              <w:t>第五条 反商业贿赂条款</w:t>
            </w:r>
          </w:p>
          <w:p>
            <w:pPr>
              <w:pStyle w:val="6"/>
              <w:wordWrap w:val="0"/>
              <w:spacing w:before="0" w:beforeAutospacing="0" w:after="120" w:afterAutospacing="0"/>
              <w:rPr>
                <w:sz w:val="17"/>
                <w:szCs w:val="17"/>
              </w:rPr>
            </w:pPr>
            <w:r>
              <w:rPr>
                <w:rFonts w:hint="eastAsia"/>
                <w:sz w:val="17"/>
                <w:szCs w:val="17"/>
              </w:rPr>
              <w:t>（1） 甲乙双方都清楚并愿意严格遵守中华人民共和国反商业贿赂的法律规定，双方都清楚任何形式的贿赂和贪渎行为都将触犯法律，并将受到法律的严惩。</w:t>
            </w:r>
          </w:p>
          <w:p>
            <w:pPr>
              <w:pStyle w:val="6"/>
              <w:wordWrap w:val="0"/>
              <w:spacing w:before="0" w:beforeAutospacing="0" w:after="120" w:afterAutospacing="0"/>
              <w:rPr>
                <w:sz w:val="17"/>
                <w:szCs w:val="17"/>
              </w:rPr>
            </w:pPr>
            <w:r>
              <w:rPr>
                <w:rFonts w:hint="eastAsia"/>
                <w:sz w:val="17"/>
                <w:szCs w:val="17"/>
              </w:rPr>
              <w:t>（2） 甲乙双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pPr>
              <w:pStyle w:val="6"/>
              <w:wordWrap w:val="0"/>
              <w:spacing w:before="84" w:beforeAutospacing="0"/>
              <w:jc w:val="both"/>
              <w:rPr>
                <w:rFonts w:hint="eastAsia"/>
                <w:b/>
                <w:bCs/>
              </w:rPr>
            </w:pPr>
            <w:r>
              <w:rPr>
                <w:rFonts w:hint="eastAsia"/>
                <w:b/>
                <w:bCs/>
              </w:rPr>
              <w:t>第六条 法律适用与争议解决</w:t>
            </w:r>
          </w:p>
          <w:p>
            <w:pPr>
              <w:pStyle w:val="6"/>
              <w:wordWrap w:val="0"/>
              <w:spacing w:before="0" w:beforeAutospacing="0" w:after="120" w:afterAutospacing="0"/>
              <w:rPr>
                <w:sz w:val="17"/>
                <w:szCs w:val="17"/>
              </w:rPr>
            </w:pPr>
            <w:r>
              <w:rPr>
                <w:rFonts w:hint="eastAsia"/>
                <w:sz w:val="17"/>
                <w:szCs w:val="17"/>
              </w:rPr>
              <w:t>（1） 本合同的订立、解释、履行及争议解决均适用中华人民共和国法律。</w:t>
            </w:r>
          </w:p>
          <w:p>
            <w:pPr>
              <w:pStyle w:val="6"/>
              <w:wordWrap w:val="0"/>
              <w:spacing w:before="0" w:beforeAutospacing="0" w:after="120" w:afterAutospacing="0"/>
              <w:rPr>
                <w:sz w:val="17"/>
                <w:szCs w:val="17"/>
              </w:rPr>
            </w:pPr>
            <w:r>
              <w:rPr>
                <w:rFonts w:hint="eastAsia"/>
                <w:sz w:val="17"/>
                <w:szCs w:val="17"/>
              </w:rPr>
              <w:t>（2） 如双方就本合同的内容或执行发生任何争议，应先进行友好协商；协商不成时，任何一方均可向甲方所在地的人民法院提起诉讼。</w:t>
            </w:r>
          </w:p>
          <w:p>
            <w:pPr>
              <w:pStyle w:val="6"/>
              <w:wordWrap w:val="0"/>
              <w:spacing w:before="84" w:beforeAutospacing="0"/>
              <w:jc w:val="both"/>
              <w:rPr>
                <w:rFonts w:hint="eastAsia"/>
                <w:b/>
                <w:bCs/>
              </w:rPr>
            </w:pPr>
            <w:r>
              <w:rPr>
                <w:rFonts w:hint="eastAsia"/>
                <w:b/>
                <w:bCs/>
              </w:rPr>
              <w:t>第七条 其他</w:t>
            </w:r>
          </w:p>
          <w:p>
            <w:pPr>
              <w:pStyle w:val="6"/>
              <w:wordWrap w:val="0"/>
              <w:spacing w:before="0" w:beforeAutospacing="0" w:after="120" w:afterAutospacing="0"/>
              <w:rPr>
                <w:sz w:val="17"/>
                <w:szCs w:val="17"/>
              </w:rPr>
            </w:pPr>
            <w:r>
              <w:rPr>
                <w:rFonts w:hint="eastAsia"/>
                <w:sz w:val="17"/>
                <w:szCs w:val="17"/>
              </w:rPr>
              <w:t>（1） 甲乙双方的联系方式如本合同所示，任何一方将通知、文件等发送至对方在盖章处所示的地址、电子邮箱的，视为发送至对方。任何一方变更联系方式的，应提前7日书面通知对方。若因未履行通知义务，而导致对方通知、文件等未能接收到的，由未履行通知义务一方自行承担相应责任。</w:t>
            </w:r>
          </w:p>
          <w:p>
            <w:pPr>
              <w:pStyle w:val="6"/>
              <w:wordWrap w:val="0"/>
              <w:spacing w:before="0" w:beforeAutospacing="0" w:after="120" w:afterAutospacing="0"/>
              <w:rPr>
                <w:sz w:val="17"/>
                <w:szCs w:val="17"/>
              </w:rPr>
            </w:pPr>
            <w:r>
              <w:rPr>
                <w:rFonts w:hint="eastAsia"/>
                <w:sz w:val="17"/>
                <w:szCs w:val="17"/>
              </w:rPr>
              <w:t>（2） 乙方未授权员工作出未经公司盖章确认的任何形式的保证或承诺，在合同签订时或交易过程中，乙方人员出具的涉及乙方义务的合同、协议、承诺、保证等文件时请务必要求加盖乙方公章或合同专用章，否则乙方对文件效力不予认可。</w:t>
            </w:r>
          </w:p>
          <w:p>
            <w:pPr>
              <w:pStyle w:val="6"/>
              <w:wordWrap w:val="0"/>
              <w:spacing w:before="0" w:beforeAutospacing="0" w:after="120" w:afterAutospacing="0"/>
              <w:rPr>
                <w:sz w:val="17"/>
                <w:szCs w:val="17"/>
              </w:rPr>
            </w:pPr>
            <w:r>
              <w:rPr>
                <w:rFonts w:hint="eastAsia"/>
                <w:sz w:val="17"/>
                <w:szCs w:val="17"/>
              </w:rPr>
              <w:t>（3） 本合同报价自乙方系统生成之日（</w:t>
            </w:r>
            <w:r>
              <w:rPr>
                <w:rFonts w:hint="eastAsia"/>
                <w:sz w:val="17"/>
                <w:szCs w:val="17"/>
                <w:u w:val="single"/>
              </w:rPr>
              <w:t>2024</w:t>
            </w:r>
            <w:r>
              <w:rPr>
                <w:rFonts w:hint="eastAsia"/>
                <w:sz w:val="17"/>
                <w:szCs w:val="17"/>
              </w:rPr>
              <w:t>年</w:t>
            </w:r>
            <w:r>
              <w:rPr>
                <w:rFonts w:hint="eastAsia"/>
                <w:sz w:val="17"/>
                <w:szCs w:val="17"/>
                <w:u w:val="single"/>
              </w:rPr>
              <w:t>07</w:t>
            </w:r>
            <w:r>
              <w:rPr>
                <w:rFonts w:hint="eastAsia"/>
                <w:sz w:val="17"/>
                <w:szCs w:val="17"/>
              </w:rPr>
              <w:t>月</w:t>
            </w:r>
            <w:r>
              <w:rPr>
                <w:rFonts w:hint="eastAsia"/>
                <w:sz w:val="17"/>
                <w:szCs w:val="17"/>
                <w:u w:val="single"/>
              </w:rPr>
              <w:t>08</w:t>
            </w:r>
            <w:r>
              <w:rPr>
                <w:rFonts w:hint="eastAsia"/>
                <w:sz w:val="17"/>
                <w:szCs w:val="17"/>
              </w:rPr>
              <w:t>日）起30个日历日内有效，甲方须在上述期限内完成签约向乙方提供盖章合同或完成付款，逾期本合同报价自动作废。</w:t>
            </w:r>
          </w:p>
          <w:p>
            <w:pPr>
              <w:pStyle w:val="6"/>
              <w:wordWrap w:val="0"/>
              <w:spacing w:before="0" w:beforeAutospacing="0" w:after="120" w:afterAutospacing="0"/>
              <w:rPr>
                <w:sz w:val="17"/>
                <w:szCs w:val="17"/>
              </w:rPr>
            </w:pPr>
            <w:r>
              <w:rPr>
                <w:rFonts w:hint="eastAsia"/>
                <w:sz w:val="17"/>
                <w:szCs w:val="17"/>
              </w:rPr>
              <w:t>（4） 本合同自甲乙双方盖章之日起生效，至服务有效期到期终止。本合同附件（如有）为本合同不可分割的组成部分。</w:t>
            </w:r>
          </w:p>
          <w:p>
            <w:pPr>
              <w:pStyle w:val="6"/>
              <w:wordWrap w:val="0"/>
              <w:spacing w:before="0" w:beforeAutospacing="0" w:after="120" w:afterAutospacing="0"/>
              <w:rPr>
                <w:sz w:val="17"/>
                <w:szCs w:val="17"/>
              </w:rPr>
            </w:pPr>
            <w:r>
              <w:rPr>
                <w:rFonts w:hint="eastAsia"/>
                <w:sz w:val="17"/>
                <w:szCs w:val="17"/>
              </w:rPr>
              <w:t>（5） 本合同一式贰份，甲方执壹份，乙方执壹份，具有同等法律效力。</w:t>
            </w:r>
          </w:p>
          <w:p>
            <w:pPr>
              <w:pStyle w:val="6"/>
              <w:wordWrap w:val="0"/>
              <w:spacing w:before="0" w:beforeAutospacing="0" w:after="120" w:afterAutospacing="0"/>
              <w:rPr>
                <w:sz w:val="17"/>
                <w:szCs w:val="17"/>
              </w:rPr>
            </w:pPr>
            <w:r>
              <w:rPr>
                <w:rFonts w:hint="eastAsia"/>
                <w:sz w:val="17"/>
                <w:szCs w:val="17"/>
              </w:rPr>
              <w:t>（本行以下无正文）</w:t>
            </w:r>
          </w:p>
        </w:tc>
      </w:tr>
    </w:tbl>
    <w:p>
      <w:pPr>
        <w:rPr>
          <w:vanish/>
        </w:rPr>
      </w:pPr>
    </w:p>
    <w:tbl>
      <w:tblPr>
        <w:tblStyle w:val="7"/>
        <w:tblW w:w="5000" w:type="pct"/>
        <w:tblCellSpacing w:w="0" w:type="dxa"/>
        <w:tblInd w:w="0" w:type="dxa"/>
        <w:tblLayout w:type="autofit"/>
        <w:tblCellMar>
          <w:top w:w="0" w:type="dxa"/>
          <w:left w:w="0" w:type="dxa"/>
          <w:bottom w:w="0" w:type="dxa"/>
          <w:right w:w="0" w:type="dxa"/>
        </w:tblCellMar>
      </w:tblPr>
      <w:tblGrid>
        <w:gridCol w:w="4163"/>
        <w:gridCol w:w="4163"/>
      </w:tblGrid>
      <w:tr>
        <w:tblPrEx>
          <w:tblCellMar>
            <w:top w:w="0" w:type="dxa"/>
            <w:left w:w="0" w:type="dxa"/>
            <w:bottom w:w="0" w:type="dxa"/>
            <w:right w:w="0" w:type="dxa"/>
          </w:tblCellMar>
        </w:tblPrEx>
        <w:trPr>
          <w:tblCellSpacing w:w="0" w:type="dxa"/>
        </w:trPr>
        <w:tc>
          <w:tcPr>
            <w:tcW w:w="3000" w:type="dxa"/>
            <w:tcBorders>
              <w:top w:val="single" w:color="CCCCCC" w:sz="4" w:space="0"/>
              <w:left w:val="single" w:color="CCCCCC" w:sz="4" w:space="0"/>
              <w:right w:val="single" w:color="CCCCCC" w:sz="4" w:space="0"/>
            </w:tcBorders>
            <w:tcMar>
              <w:top w:w="0" w:type="dxa"/>
              <w:left w:w="0" w:type="dxa"/>
              <w:bottom w:w="0" w:type="dxa"/>
              <w:right w:w="120" w:type="dxa"/>
            </w:tcMar>
          </w:tcPr>
          <w:p>
            <w:pPr>
              <w:pStyle w:val="6"/>
              <w:spacing w:before="36" w:beforeAutospacing="0" w:after="0" w:afterAutospacing="0"/>
              <w:rPr>
                <w:sz w:val="18"/>
                <w:szCs w:val="18"/>
              </w:rPr>
            </w:pPr>
            <w:r>
              <w:rPr>
                <w:rFonts w:hint="eastAsia"/>
                <w:sz w:val="18"/>
                <w:szCs w:val="18"/>
              </w:rPr>
              <w:t>甲方（盖章）：北京光华荣昌汽车部件有限公司</w:t>
            </w:r>
          </w:p>
        </w:tc>
        <w:tc>
          <w:tcPr>
            <w:tcW w:w="3000" w:type="dxa"/>
            <w:tcBorders>
              <w:top w:val="single" w:color="CCCCCC" w:sz="4" w:space="0"/>
              <w:right w:val="single" w:color="CCCCCC" w:sz="4" w:space="0"/>
            </w:tcBorders>
            <w:tcMar>
              <w:top w:w="0" w:type="dxa"/>
              <w:left w:w="120" w:type="dxa"/>
              <w:bottom w:w="0" w:type="dxa"/>
              <w:right w:w="0" w:type="dxa"/>
            </w:tcMar>
          </w:tcPr>
          <w:p>
            <w:pPr>
              <w:pStyle w:val="6"/>
              <w:wordWrap w:val="0"/>
              <w:spacing w:before="36" w:beforeAutospacing="0" w:after="0" w:afterAutospacing="0"/>
              <w:rPr>
                <w:sz w:val="18"/>
                <w:szCs w:val="18"/>
              </w:rPr>
            </w:pPr>
            <w:r>
              <w:rPr>
                <w:rFonts w:hint="eastAsia"/>
                <w:sz w:val="18"/>
                <w:szCs w:val="18"/>
              </w:rPr>
              <w:t>乙方（盖章）：同道精英（天津）信息技术有限公司</w:t>
            </w:r>
          </w:p>
        </w:tc>
      </w:tr>
      <w:tr>
        <w:tblPrEx>
          <w:tblCellMar>
            <w:top w:w="0" w:type="dxa"/>
            <w:left w:w="0" w:type="dxa"/>
            <w:bottom w:w="0" w:type="dxa"/>
            <w:right w:w="0" w:type="dxa"/>
          </w:tblCellMar>
        </w:tblPrEx>
        <w:trPr>
          <w:tblCellSpacing w:w="0" w:type="dxa"/>
        </w:trPr>
        <w:tc>
          <w:tcPr>
            <w:tcW w:w="3000" w:type="dxa"/>
            <w:tcBorders>
              <w:left w:val="single" w:color="CCCCCC" w:sz="4" w:space="0"/>
              <w:right w:val="single" w:color="CCCCCC" w:sz="4" w:space="0"/>
            </w:tcBorders>
            <w:tcMar>
              <w:top w:w="0" w:type="dxa"/>
              <w:left w:w="0" w:type="dxa"/>
              <w:bottom w:w="0" w:type="dxa"/>
              <w:right w:w="120" w:type="dxa"/>
            </w:tcMar>
          </w:tcPr>
          <w:p>
            <w:pPr>
              <w:pStyle w:val="6"/>
              <w:spacing w:before="36" w:beforeAutospacing="0" w:after="0" w:afterAutospacing="0"/>
              <w:rPr>
                <w:sz w:val="18"/>
                <w:szCs w:val="18"/>
              </w:rPr>
            </w:pPr>
            <w:r>
              <w:rPr>
                <w:rFonts w:hint="eastAsia"/>
                <w:sz w:val="18"/>
                <w:szCs w:val="18"/>
              </w:rPr>
              <w:t>地址：：北京昌平区流村镇工业园区</w:t>
            </w:r>
          </w:p>
        </w:tc>
        <w:tc>
          <w:tcPr>
            <w:tcW w:w="3000" w:type="dxa"/>
            <w:tcBorders>
              <w:right w:val="single" w:color="CCCCCC" w:sz="4" w:space="0"/>
            </w:tcBorders>
            <w:tcMar>
              <w:top w:w="0" w:type="dxa"/>
              <w:left w:w="120" w:type="dxa"/>
              <w:bottom w:w="0" w:type="dxa"/>
              <w:right w:w="0" w:type="dxa"/>
            </w:tcMar>
          </w:tcPr>
          <w:p>
            <w:pPr>
              <w:pStyle w:val="6"/>
              <w:wordWrap w:val="0"/>
              <w:spacing w:before="36" w:beforeAutospacing="0" w:after="0" w:afterAutospacing="0"/>
              <w:rPr>
                <w:sz w:val="18"/>
                <w:szCs w:val="18"/>
              </w:rPr>
            </w:pPr>
            <w:r>
              <w:rPr>
                <w:rFonts w:hint="eastAsia"/>
                <w:sz w:val="18"/>
                <w:szCs w:val="18"/>
              </w:rPr>
              <w:t>地址：天津经济技术开发区第二大街56号泰达MSD-A区A1座704单元</w:t>
            </w:r>
          </w:p>
        </w:tc>
      </w:tr>
      <w:tr>
        <w:tblPrEx>
          <w:tblCellMar>
            <w:top w:w="0" w:type="dxa"/>
            <w:left w:w="0" w:type="dxa"/>
            <w:bottom w:w="0" w:type="dxa"/>
            <w:right w:w="0" w:type="dxa"/>
          </w:tblCellMar>
        </w:tblPrEx>
        <w:trPr>
          <w:tblCellSpacing w:w="0" w:type="dxa"/>
        </w:trPr>
        <w:tc>
          <w:tcPr>
            <w:tcW w:w="3000" w:type="dxa"/>
            <w:tcBorders>
              <w:left w:val="single" w:color="CCCCCC" w:sz="4" w:space="0"/>
              <w:right w:val="single" w:color="CCCCCC" w:sz="4" w:space="0"/>
            </w:tcBorders>
            <w:tcMar>
              <w:top w:w="0" w:type="dxa"/>
              <w:left w:w="0" w:type="dxa"/>
              <w:bottom w:w="0" w:type="dxa"/>
              <w:right w:w="120" w:type="dxa"/>
            </w:tcMar>
          </w:tcPr>
          <w:p>
            <w:pPr>
              <w:pStyle w:val="6"/>
              <w:spacing w:before="36" w:beforeAutospacing="0" w:after="0" w:afterAutospacing="0"/>
              <w:rPr>
                <w:sz w:val="18"/>
                <w:szCs w:val="18"/>
              </w:rPr>
            </w:pPr>
            <w:r>
              <w:rPr>
                <w:rFonts w:hint="eastAsia"/>
                <w:sz w:val="18"/>
                <w:szCs w:val="18"/>
              </w:rPr>
              <w:t>联系人：李宏伟</w:t>
            </w:r>
          </w:p>
        </w:tc>
        <w:tc>
          <w:tcPr>
            <w:tcW w:w="3000" w:type="dxa"/>
            <w:tcBorders>
              <w:right w:val="single" w:color="CCCCCC" w:sz="4" w:space="0"/>
            </w:tcBorders>
            <w:tcMar>
              <w:top w:w="0" w:type="dxa"/>
              <w:left w:w="120" w:type="dxa"/>
              <w:bottom w:w="0" w:type="dxa"/>
              <w:right w:w="0" w:type="dxa"/>
            </w:tcMar>
          </w:tcPr>
          <w:p>
            <w:pPr>
              <w:pStyle w:val="6"/>
              <w:wordWrap w:val="0"/>
              <w:spacing w:before="36" w:beforeAutospacing="0" w:after="0" w:afterAutospacing="0"/>
              <w:rPr>
                <w:sz w:val="18"/>
                <w:szCs w:val="18"/>
              </w:rPr>
            </w:pPr>
            <w:r>
              <w:rPr>
                <w:rFonts w:hint="eastAsia"/>
                <w:sz w:val="18"/>
                <w:szCs w:val="18"/>
              </w:rPr>
              <w:t>联系人：李富刚</w:t>
            </w:r>
          </w:p>
        </w:tc>
      </w:tr>
      <w:tr>
        <w:tblPrEx>
          <w:tblCellMar>
            <w:top w:w="0" w:type="dxa"/>
            <w:left w:w="0" w:type="dxa"/>
            <w:bottom w:w="0" w:type="dxa"/>
            <w:right w:w="0" w:type="dxa"/>
          </w:tblCellMar>
        </w:tblPrEx>
        <w:trPr>
          <w:tblCellSpacing w:w="0" w:type="dxa"/>
        </w:trPr>
        <w:tc>
          <w:tcPr>
            <w:tcW w:w="3000" w:type="dxa"/>
            <w:tcBorders>
              <w:left w:val="single" w:color="CCCCCC" w:sz="4" w:space="0"/>
              <w:right w:val="single" w:color="CCCCCC" w:sz="4" w:space="0"/>
            </w:tcBorders>
            <w:tcMar>
              <w:top w:w="0" w:type="dxa"/>
              <w:left w:w="0" w:type="dxa"/>
              <w:bottom w:w="0" w:type="dxa"/>
              <w:right w:w="120" w:type="dxa"/>
            </w:tcMar>
          </w:tcPr>
          <w:p>
            <w:pPr>
              <w:pStyle w:val="6"/>
              <w:spacing w:before="36" w:beforeAutospacing="0" w:after="0" w:afterAutospacing="0"/>
              <w:rPr>
                <w:sz w:val="18"/>
                <w:szCs w:val="18"/>
              </w:rPr>
            </w:pPr>
            <w:r>
              <w:rPr>
                <w:rFonts w:hint="eastAsia"/>
                <w:sz w:val="18"/>
                <w:szCs w:val="18"/>
              </w:rPr>
              <w:t>联系电话：86-010-89774865</w:t>
            </w:r>
          </w:p>
        </w:tc>
        <w:tc>
          <w:tcPr>
            <w:tcW w:w="3000" w:type="dxa"/>
            <w:tcBorders>
              <w:right w:val="single" w:color="CCCCCC" w:sz="4" w:space="0"/>
            </w:tcBorders>
            <w:tcMar>
              <w:top w:w="0" w:type="dxa"/>
              <w:left w:w="120" w:type="dxa"/>
              <w:bottom w:w="0" w:type="dxa"/>
              <w:right w:w="0" w:type="dxa"/>
            </w:tcMar>
          </w:tcPr>
          <w:p>
            <w:pPr>
              <w:pStyle w:val="6"/>
              <w:wordWrap w:val="0"/>
              <w:spacing w:before="36" w:beforeAutospacing="0" w:after="0" w:afterAutospacing="0"/>
              <w:rPr>
                <w:sz w:val="18"/>
                <w:szCs w:val="18"/>
              </w:rPr>
            </w:pPr>
            <w:r>
              <w:rPr>
                <w:rFonts w:hint="eastAsia"/>
                <w:sz w:val="18"/>
                <w:szCs w:val="18"/>
              </w:rPr>
              <w:t>联系电话：01085148257</w:t>
            </w:r>
          </w:p>
        </w:tc>
      </w:tr>
      <w:tr>
        <w:tblPrEx>
          <w:tblCellMar>
            <w:top w:w="0" w:type="dxa"/>
            <w:left w:w="0" w:type="dxa"/>
            <w:bottom w:w="0" w:type="dxa"/>
            <w:right w:w="0" w:type="dxa"/>
          </w:tblCellMar>
        </w:tblPrEx>
        <w:trPr>
          <w:tblCellSpacing w:w="0" w:type="dxa"/>
        </w:trPr>
        <w:tc>
          <w:tcPr>
            <w:tcW w:w="3000" w:type="dxa"/>
            <w:tcBorders>
              <w:left w:val="single" w:color="CCCCCC" w:sz="4" w:space="0"/>
              <w:right w:val="single" w:color="CCCCCC" w:sz="4" w:space="0"/>
            </w:tcBorders>
            <w:tcMar>
              <w:top w:w="0" w:type="dxa"/>
              <w:left w:w="0" w:type="dxa"/>
              <w:bottom w:w="0" w:type="dxa"/>
              <w:right w:w="120" w:type="dxa"/>
            </w:tcMar>
          </w:tcPr>
          <w:p>
            <w:pPr>
              <w:pStyle w:val="6"/>
              <w:spacing w:before="36" w:beforeAutospacing="0" w:after="0" w:afterAutospacing="0"/>
              <w:rPr>
                <w:sz w:val="18"/>
                <w:szCs w:val="18"/>
              </w:rPr>
            </w:pPr>
            <w:r>
              <w:rPr>
                <w:rFonts w:hint="eastAsia"/>
                <w:sz w:val="18"/>
                <w:szCs w:val="18"/>
              </w:rPr>
              <w:t>联系邮箱：463200669@qq.com</w:t>
            </w:r>
          </w:p>
        </w:tc>
        <w:tc>
          <w:tcPr>
            <w:tcW w:w="3000" w:type="dxa"/>
            <w:tcBorders>
              <w:right w:val="single" w:color="CCCCCC" w:sz="4" w:space="0"/>
            </w:tcBorders>
            <w:tcMar>
              <w:top w:w="0" w:type="dxa"/>
              <w:left w:w="120" w:type="dxa"/>
              <w:bottom w:w="0" w:type="dxa"/>
              <w:right w:w="0" w:type="dxa"/>
            </w:tcMar>
          </w:tcPr>
          <w:p>
            <w:pPr>
              <w:pStyle w:val="6"/>
              <w:wordWrap w:val="0"/>
              <w:spacing w:before="36" w:beforeAutospacing="0" w:after="0" w:afterAutospacing="0"/>
              <w:rPr>
                <w:sz w:val="18"/>
                <w:szCs w:val="18"/>
              </w:rPr>
            </w:pPr>
            <w:r>
              <w:rPr>
                <w:rFonts w:hint="eastAsia"/>
                <w:sz w:val="18"/>
                <w:szCs w:val="18"/>
              </w:rPr>
              <w:t>联系邮箱：lifg@liepin.com</w:t>
            </w:r>
          </w:p>
        </w:tc>
      </w:tr>
      <w:tr>
        <w:tblPrEx>
          <w:tblCellMar>
            <w:top w:w="0" w:type="dxa"/>
            <w:left w:w="0" w:type="dxa"/>
            <w:bottom w:w="0" w:type="dxa"/>
            <w:right w:w="0" w:type="dxa"/>
          </w:tblCellMar>
        </w:tblPrEx>
        <w:trPr>
          <w:tblCellSpacing w:w="0" w:type="dxa"/>
        </w:trPr>
        <w:tc>
          <w:tcPr>
            <w:tcW w:w="3000" w:type="dxa"/>
            <w:tcBorders>
              <w:left w:val="single" w:color="CCCCCC" w:sz="4" w:space="0"/>
              <w:bottom w:val="single" w:color="CCCCCC" w:sz="4" w:space="0"/>
              <w:right w:val="single" w:color="CCCCCC" w:sz="4" w:space="0"/>
            </w:tcBorders>
            <w:tcMar>
              <w:top w:w="0" w:type="dxa"/>
              <w:left w:w="0" w:type="dxa"/>
              <w:bottom w:w="0" w:type="dxa"/>
              <w:right w:w="120" w:type="dxa"/>
            </w:tcMar>
          </w:tcPr>
          <w:p>
            <w:pPr>
              <w:pStyle w:val="6"/>
              <w:spacing w:before="36" w:beforeAutospacing="0" w:after="72" w:afterAutospacing="0"/>
              <w:rPr>
                <w:sz w:val="18"/>
                <w:szCs w:val="18"/>
              </w:rPr>
            </w:pPr>
            <w:r>
              <w:rPr>
                <w:rFonts w:hint="eastAsia"/>
                <w:sz w:val="18"/>
                <w:szCs w:val="18"/>
              </w:rPr>
              <w:t>签约日期：2024年07月08日</w:t>
            </w:r>
          </w:p>
        </w:tc>
        <w:tc>
          <w:tcPr>
            <w:tcW w:w="3000" w:type="dxa"/>
            <w:tcBorders>
              <w:bottom w:val="single" w:color="CCCCCC" w:sz="4" w:space="0"/>
              <w:right w:val="single" w:color="CCCCCC" w:sz="4" w:space="0"/>
            </w:tcBorders>
            <w:tcMar>
              <w:top w:w="0" w:type="dxa"/>
              <w:left w:w="120" w:type="dxa"/>
              <w:bottom w:w="0" w:type="dxa"/>
              <w:right w:w="0" w:type="dxa"/>
            </w:tcMar>
          </w:tcPr>
          <w:p>
            <w:pPr>
              <w:pStyle w:val="6"/>
              <w:wordWrap w:val="0"/>
              <w:spacing w:before="36" w:beforeAutospacing="0" w:after="72" w:afterAutospacing="0"/>
              <w:rPr>
                <w:sz w:val="18"/>
                <w:szCs w:val="18"/>
              </w:rPr>
            </w:pPr>
            <w:r>
              <w:rPr>
                <w:rFonts w:hint="eastAsia"/>
                <w:sz w:val="18"/>
                <w:szCs w:val="18"/>
              </w:rPr>
              <w:t>签约日期：2024年07月08日</w:t>
            </w:r>
          </w:p>
        </w:tc>
      </w:tr>
    </w:tbl>
    <w:p/>
    <w:sectPr>
      <w:headerReference r:id="rId3" w:type="default"/>
      <w:footerReference r:id="rId4" w:type="default"/>
      <w:pgSz w:w="11906" w:h="16838"/>
      <w:pgMar w:top="1440" w:right="1800" w:bottom="1440" w:left="180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5305"/>
      <w:docPartObj>
        <w:docPartGallery w:val="AutoText"/>
      </w:docPartObj>
    </w:sdtPr>
    <w:sdtContent>
      <w:p>
        <w:r>
          <w:rPr>
            <w:lang w:val="zh-CN"/>
          </w:rPr>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- 1 -</w:t>
        </w:r>
        <w:r>
          <w:rPr>
            <w:rFonts w:ascii="Times New Roman" w:hAnsi="Times New Roman" w:cs="Times New Roman"/>
          </w:rPr>
          <w:fldChar w:fldCharType="end"/>
        </w:r>
        <w:r>
          <w:rPr>
            <w:rFonts w:ascii="Times New Roman" w:hAnsi="Times New Roman" w:cs="Times New Roman"/>
            <w:lang w:val="zh-CN"/>
          </w:rPr>
          <w:t xml:space="preserve"> /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left"/>
    </w:pPr>
    <w:r>
      <w:drawing>
        <wp:inline distT="0" distB="0" distL="0" distR="0">
          <wp:extent cx="1089025" cy="417830"/>
          <wp:effectExtent l="19050" t="0" r="0" b="0"/>
          <wp:docPr id="2" name="图片 1" descr="image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001.jpeg"/>
                  <pic:cNvPicPr>
                    <a:picLocks noChangeAspect="1"/>
                  </pic:cNvPicPr>
                </pic:nvPicPr>
                <pic:blipFill>
                  <a:blip r:embed="rId1"/>
                  <a:stretch>
                    <a:fillRect/>
                  </a:stretch>
                </pic:blipFill>
                <pic:spPr>
                  <a:xfrm>
                    <a:off x="0" y="0"/>
                    <a:ext cx="1099177" cy="422149"/>
                  </a:xfrm>
                  <a:prstGeom prst="rect">
                    <a:avLst/>
                  </a:prstGeom>
                </pic:spPr>
              </pic:pic>
            </a:graphicData>
          </a:graphic>
        </wp:inline>
      </w:drawing>
    </w:r>
    <w:r>
      <w:tab/>
    </w:r>
    <w:r>
      <w:drawing>
        <wp:inline distT="0" distB="0" distL="0" distR="0">
          <wp:extent cx="1623060" cy="396240"/>
          <wp:effectExtent l="19050" t="0" r="0" b="0"/>
          <wp:docPr id="3" name="图片 2" descr="11s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1ss1.jpeg"/>
                  <pic:cNvPicPr>
                    <a:picLocks noChangeAspect="1"/>
                  </pic:cNvPicPr>
                </pic:nvPicPr>
                <pic:blipFill>
                  <a:blip r:embed="rId2"/>
                  <a:stretch>
                    <a:fillRect/>
                  </a:stretch>
                </pic:blipFill>
                <pic:spPr>
                  <a:xfrm>
                    <a:off x="0" y="0"/>
                    <a:ext cx="1623060" cy="3962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72"/>
    <w:rsid w:val="00064779"/>
    <w:rsid w:val="001C4D29"/>
    <w:rsid w:val="00232A35"/>
    <w:rsid w:val="002834D0"/>
    <w:rsid w:val="002C5B72"/>
    <w:rsid w:val="004852A6"/>
    <w:rsid w:val="006D5F09"/>
    <w:rsid w:val="00714158"/>
    <w:rsid w:val="009A4F8D"/>
    <w:rsid w:val="00BC4C54"/>
    <w:rsid w:val="00E565A3"/>
    <w:rsid w:val="64575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link w:val="9"/>
    <w:qFormat/>
    <w:uiPriority w:val="9"/>
    <w:pPr>
      <w:spacing w:before="100" w:beforeAutospacing="1" w:after="100" w:afterAutospacing="1"/>
      <w:outlineLvl w:val="1"/>
    </w:pPr>
    <w:rPr>
      <w:b/>
      <w:bCs/>
      <w:sz w:val="36"/>
      <w:szCs w:val="36"/>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100" w:beforeAutospacing="1" w:after="100" w:afterAutospacing="1"/>
    </w:pPr>
  </w:style>
  <w:style w:type="character" w:customStyle="1" w:styleId="9">
    <w:name w:val="标题 2 字符"/>
    <w:basedOn w:val="8"/>
    <w:link w:val="2"/>
    <w:semiHidden/>
    <w:uiPriority w:val="9"/>
    <w:rPr>
      <w:rFonts w:asciiTheme="majorHAnsi" w:hAnsiTheme="majorHAnsi" w:eastAsiaTheme="majorEastAsia" w:cstheme="majorBidi"/>
      <w:b/>
      <w:bCs/>
      <w:sz w:val="32"/>
      <w:szCs w:val="32"/>
    </w:rPr>
  </w:style>
  <w:style w:type="character" w:customStyle="1" w:styleId="10">
    <w:name w:val="页眉 字符"/>
    <w:basedOn w:val="8"/>
    <w:link w:val="5"/>
    <w:uiPriority w:val="99"/>
    <w:rPr>
      <w:rFonts w:ascii="宋体" w:hAnsi="宋体" w:eastAsia="宋体" w:cs="宋体"/>
      <w:sz w:val="18"/>
      <w:szCs w:val="18"/>
    </w:rPr>
  </w:style>
  <w:style w:type="character" w:customStyle="1" w:styleId="11">
    <w:name w:val="页脚 字符"/>
    <w:basedOn w:val="8"/>
    <w:link w:val="4"/>
    <w:uiPriority w:val="99"/>
    <w:rPr>
      <w:rFonts w:ascii="宋体" w:hAnsi="宋体" w:eastAsia="宋体" w:cs="宋体"/>
      <w:sz w:val="18"/>
      <w:szCs w:val="18"/>
    </w:rPr>
  </w:style>
  <w:style w:type="character" w:customStyle="1" w:styleId="12">
    <w:name w:val="批注框文本 字符"/>
    <w:basedOn w:val="8"/>
    <w:link w:val="3"/>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2765</Words>
  <Characters>2906</Characters>
  <Lines>14</Lines>
  <Paragraphs>3</Paragraphs>
  <TotalTime>1</TotalTime>
  <ScaleCrop>false</ScaleCrop>
  <LinksUpToDate>false</LinksUpToDate>
  <CharactersWithSpaces>2953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2024-05-06T07:11:00Z</dcterms:created>
  <dc:creator>Windows 用户</dc:creator>
  <cp:lastModifiedBy>猎聘-李富刚</cp:lastModifiedBy>
  <dcterms:modified xsi:type="dcterms:W3CDTF">2024-07-08T02:00:09Z</dcterms:modified>
  <dc:title>猎聘人才合同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5265EBC97702452A808949F7347940C5_13</vt:lpwstr>
  </property>
</Properties>
</file>