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黑体" w:hAnsi="黑体" w:eastAsia="黑体"/>
          <w:sz w:val="36"/>
          <w:szCs w:val="36"/>
        </w:rPr>
      </w:pPr>
      <w:bookmarkStart w:id="0" w:name="_Hlk523735664"/>
      <w:r>
        <w:rPr>
          <w:rFonts w:hint="eastAsia" w:ascii="黑体" w:hAnsi="黑体" w:eastAsia="黑体"/>
          <w:sz w:val="36"/>
          <w:szCs w:val="36"/>
        </w:rPr>
        <w:t>销售合同书</w:t>
      </w:r>
    </w:p>
    <w:p>
      <w:pPr>
        <w:spacing w:beforeLines="50" w:afterLines="50" w:line="360" w:lineRule="auto"/>
        <w:ind w:right="480"/>
        <w:jc w:val="right"/>
        <w:rPr>
          <w:rFonts w:hint="default" w:ascii="仿宋" w:hAnsi="仿宋" w:eastAsia="仿宋"/>
          <w:sz w:val="24"/>
          <w:lang w:val="en-US" w:eastAsia="zh-CN"/>
        </w:rPr>
      </w:pPr>
      <w:r>
        <w:rPr>
          <w:rFonts w:hint="eastAsia" w:ascii="仿宋" w:hAnsi="仿宋" w:eastAsia="仿宋"/>
          <w:sz w:val="24"/>
        </w:rPr>
        <w:t>合同编号：</w:t>
      </w:r>
      <w:r>
        <w:rPr>
          <w:rFonts w:hint="eastAsia" w:ascii="仿宋" w:hAnsi="仿宋" w:eastAsia="仿宋"/>
          <w:sz w:val="24"/>
          <w:lang w:val="en-US" w:eastAsia="zh-CN"/>
        </w:rPr>
        <w:t>HNGHRC20240709</w:t>
      </w:r>
    </w:p>
    <w:p>
      <w:pPr>
        <w:spacing w:beforeLines="50" w:afterLines="50" w:line="360" w:lineRule="auto"/>
        <w:rPr>
          <w:rFonts w:ascii="仿宋" w:hAnsi="仿宋" w:eastAsia="仿宋"/>
          <w:b/>
          <w:sz w:val="24"/>
        </w:rPr>
      </w:pPr>
    </w:p>
    <w:p>
      <w:pPr>
        <w:widowControl/>
        <w:adjustRightInd w:val="0"/>
        <w:snapToGrid w:val="0"/>
        <w:spacing w:line="360" w:lineRule="auto"/>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甲方（买方）：</w:t>
      </w:r>
      <w:r>
        <w:rPr>
          <w:rFonts w:hint="eastAsia" w:ascii="仿宋" w:hAnsi="仿宋" w:eastAsia="仿宋" w:cs="仿宋"/>
          <w:b/>
          <w:color w:val="000000"/>
          <w:sz w:val="24"/>
          <w:lang w:val="en-US" w:eastAsia="zh-CN"/>
        </w:rPr>
        <w:t>湖南光华荣昌汽车部件有限公司</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统一社会信用代码：</w:t>
      </w:r>
      <w:r>
        <w:rPr>
          <w:rFonts w:hint="eastAsia" w:ascii="仿宋" w:hAnsi="仿宋" w:eastAsia="仿宋" w:cs="仿宋"/>
          <w:b/>
          <w:color w:val="000000"/>
          <w:sz w:val="24"/>
          <w:lang w:val="en-US" w:eastAsia="zh-CN"/>
        </w:rPr>
        <w:t>91430211055811476G</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乙方（卖方）：</w:t>
      </w:r>
      <w:r>
        <w:rPr>
          <w:rFonts w:hint="eastAsia" w:ascii="仿宋" w:hAnsi="仿宋" w:eastAsia="仿宋" w:cs="仿宋"/>
          <w:b/>
          <w:color w:val="000000"/>
          <w:sz w:val="24"/>
          <w:lang w:val="en-US" w:eastAsia="zh-CN"/>
        </w:rPr>
        <w:t>湖南奥瑞格工贸有限公司</w:t>
      </w:r>
    </w:p>
    <w:p>
      <w:pPr>
        <w:widowControl/>
        <w:adjustRightInd w:val="0"/>
        <w:snapToGrid w:val="0"/>
        <w:spacing w:line="360" w:lineRule="auto"/>
        <w:ind w:firstLine="482" w:firstLineChars="200"/>
        <w:jc w:val="left"/>
        <w:rPr>
          <w:rFonts w:hint="eastAsia" w:ascii="仿宋" w:hAnsi="仿宋" w:eastAsia="仿宋" w:cs="仿宋"/>
          <w:b/>
          <w:color w:val="000000"/>
          <w:sz w:val="24"/>
          <w:lang w:val="en-US" w:eastAsia="zh-CN"/>
        </w:rPr>
      </w:pPr>
      <w:r>
        <w:rPr>
          <w:rFonts w:hint="eastAsia" w:ascii="仿宋" w:hAnsi="仿宋" w:eastAsia="仿宋" w:cs="仿宋"/>
          <w:b/>
          <w:color w:val="000000"/>
          <w:sz w:val="24"/>
        </w:rPr>
        <w:t>统一社会信用代码：</w:t>
      </w:r>
      <w:r>
        <w:rPr>
          <w:rFonts w:hint="eastAsia" w:ascii="仿宋" w:hAnsi="仿宋" w:eastAsia="仿宋" w:cs="仿宋"/>
          <w:b/>
          <w:color w:val="000000"/>
          <w:sz w:val="24"/>
          <w:lang w:val="en-US" w:eastAsia="zh-CN"/>
        </w:rPr>
        <w:t>91430111MA4QUJ353A</w:t>
      </w:r>
    </w:p>
    <w:p>
      <w:pPr>
        <w:pStyle w:val="2"/>
        <w:spacing w:beforeLines="50" w:afterLines="50"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甲、乙双方本着平等、自愿、互利的原则，依据《中华人民共和国民法典》等相关法律、法规的规定，经过友好协商，达成以下协议，以资双方共同信守。</w:t>
      </w:r>
    </w:p>
    <w:p>
      <w:pPr>
        <w:widowControl/>
        <w:spacing w:beforeLines="50" w:afterLines="50" w:line="360" w:lineRule="auto"/>
        <w:rPr>
          <w:rFonts w:ascii="仿宋" w:hAnsi="仿宋" w:eastAsia="仿宋" w:cs="宋体"/>
          <w:b/>
          <w:kern w:val="0"/>
          <w:sz w:val="24"/>
        </w:rPr>
      </w:pPr>
      <w:r>
        <w:rPr>
          <w:rFonts w:hint="eastAsia" w:ascii="仿宋" w:hAnsi="仿宋" w:eastAsia="仿宋" w:cs="宋体"/>
          <w:b/>
          <w:kern w:val="0"/>
          <w:sz w:val="24"/>
        </w:rPr>
        <w:t>第一条  产品的名称、规格等</w:t>
      </w:r>
    </w:p>
    <w:p>
      <w:pPr>
        <w:widowControl/>
        <w:spacing w:beforeLines="50" w:afterLines="50" w:line="360" w:lineRule="auto"/>
        <w:rPr>
          <w:rFonts w:ascii="仿宋" w:hAnsi="仿宋" w:eastAsia="仿宋" w:cs="宋体"/>
          <w:kern w:val="0"/>
          <w:sz w:val="24"/>
        </w:rPr>
      </w:pPr>
      <w:r>
        <w:rPr>
          <w:rFonts w:hint="eastAsia" w:ascii="仿宋" w:hAnsi="仿宋" w:eastAsia="仿宋" w:cs="宋体"/>
          <w:kern w:val="0"/>
          <w:sz w:val="24"/>
        </w:rPr>
        <w:t>货币单位：人民币（元）</w:t>
      </w:r>
    </w:p>
    <w:tbl>
      <w:tblPr>
        <w:tblStyle w:val="7"/>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8"/>
        <w:gridCol w:w="1260"/>
        <w:gridCol w:w="915"/>
        <w:gridCol w:w="1200"/>
        <w:gridCol w:w="1230"/>
        <w:gridCol w:w="1140"/>
        <w:gridCol w:w="1557"/>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1728"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产品名称</w:t>
            </w:r>
          </w:p>
        </w:tc>
        <w:tc>
          <w:tcPr>
            <w:tcW w:w="1260"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产品规格</w:t>
            </w:r>
          </w:p>
        </w:tc>
        <w:tc>
          <w:tcPr>
            <w:tcW w:w="915" w:type="dxa"/>
            <w:vAlign w:val="center"/>
          </w:tcPr>
          <w:p>
            <w:pPr>
              <w:widowControl/>
              <w:spacing w:beforeLines="50" w:afterLines="50" w:line="360" w:lineRule="auto"/>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数量（吨）</w:t>
            </w:r>
          </w:p>
        </w:tc>
        <w:tc>
          <w:tcPr>
            <w:tcW w:w="1200"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未税单价</w:t>
            </w:r>
          </w:p>
        </w:tc>
        <w:tc>
          <w:tcPr>
            <w:tcW w:w="1230"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未税</w:t>
            </w:r>
            <w:r>
              <w:rPr>
                <w:rFonts w:ascii="仿宋" w:hAnsi="仿宋" w:eastAsia="仿宋" w:cs="宋体"/>
                <w:kern w:val="0"/>
                <w:szCs w:val="21"/>
              </w:rPr>
              <w:t>金额</w:t>
            </w:r>
          </w:p>
        </w:tc>
        <w:tc>
          <w:tcPr>
            <w:tcW w:w="1140"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增值税</w:t>
            </w:r>
            <w:r>
              <w:rPr>
                <w:rFonts w:ascii="仿宋" w:hAnsi="仿宋" w:eastAsia="仿宋" w:cs="宋体"/>
                <w:kern w:val="0"/>
                <w:szCs w:val="21"/>
              </w:rPr>
              <w:t>额</w:t>
            </w:r>
          </w:p>
        </w:tc>
        <w:tc>
          <w:tcPr>
            <w:tcW w:w="1557"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产品含税总价</w:t>
            </w:r>
          </w:p>
        </w:tc>
        <w:tc>
          <w:tcPr>
            <w:tcW w:w="764" w:type="dxa"/>
            <w:vAlign w:val="center"/>
          </w:tcPr>
          <w:p>
            <w:pPr>
              <w:widowControl/>
              <w:spacing w:beforeLines="50" w:afterLines="50" w:line="360" w:lineRule="auto"/>
              <w:ind w:firstLine="105" w:firstLineChars="50"/>
              <w:jc w:val="center"/>
              <w:rPr>
                <w:rFonts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49" w:type="dxa"/>
            <w:vAlign w:val="center"/>
          </w:tcPr>
          <w:p>
            <w:pPr>
              <w:widowControl/>
              <w:spacing w:beforeLines="50" w:afterLines="50" w:line="360" w:lineRule="auto"/>
              <w:jc w:val="center"/>
              <w:rPr>
                <w:rFonts w:ascii="仿宋" w:hAnsi="仿宋" w:eastAsia="仿宋" w:cs="宋体"/>
                <w:kern w:val="0"/>
                <w:szCs w:val="21"/>
              </w:rPr>
            </w:pPr>
            <w:r>
              <w:rPr>
                <w:rFonts w:hint="eastAsia" w:ascii="仿宋" w:hAnsi="仿宋" w:eastAsia="仿宋" w:cs="宋体"/>
                <w:kern w:val="0"/>
                <w:szCs w:val="21"/>
              </w:rPr>
              <w:t>1</w:t>
            </w:r>
          </w:p>
        </w:tc>
        <w:tc>
          <w:tcPr>
            <w:tcW w:w="1728" w:type="dxa"/>
            <w:vAlign w:val="center"/>
          </w:tcPr>
          <w:p>
            <w:pPr>
              <w:keepNext w:val="0"/>
              <w:keepLines w:val="0"/>
              <w:widowControl/>
              <w:suppressLineNumbers w:val="0"/>
              <w:jc w:val="center"/>
              <w:textAlignment w:val="center"/>
              <w:rPr>
                <w:rFonts w:hint="default" w:ascii="仿宋" w:hAnsi="仿宋" w:eastAsia="仿宋" w:cs="宋体"/>
                <w:kern w:val="0"/>
                <w:szCs w:val="21"/>
                <w:lang w:val="en-US"/>
              </w:rPr>
            </w:pPr>
            <w:r>
              <w:rPr>
                <w:rFonts w:hint="eastAsia" w:ascii="仿宋" w:hAnsi="仿宋" w:eastAsia="仿宋" w:cs="仿宋"/>
                <w:i w:val="0"/>
                <w:iCs w:val="0"/>
                <w:color w:val="000000"/>
                <w:kern w:val="0"/>
                <w:sz w:val="21"/>
                <w:szCs w:val="21"/>
                <w:u w:val="none"/>
                <w:lang w:val="en-US" w:eastAsia="zh-CN" w:bidi="ar"/>
              </w:rPr>
              <w:t>ER50-6实芯 焊丝</w:t>
            </w:r>
          </w:p>
        </w:tc>
        <w:tc>
          <w:tcPr>
            <w:tcW w:w="1260" w:type="dxa"/>
            <w:vAlign w:val="center"/>
          </w:tcPr>
          <w:p>
            <w:pPr>
              <w:keepNext w:val="0"/>
              <w:keepLines w:val="0"/>
              <w:widowControl/>
              <w:suppressLineNumbers w:val="0"/>
              <w:jc w:val="center"/>
              <w:textAlignment w:val="center"/>
              <w:rPr>
                <w:rFonts w:hint="default" w:ascii="仿宋" w:hAnsi="仿宋" w:eastAsia="仿宋" w:cs="宋体"/>
                <w:kern w:val="0"/>
                <w:szCs w:val="21"/>
                <w:lang w:val="en-US"/>
              </w:rPr>
            </w:pPr>
            <w:r>
              <w:rPr>
                <w:rFonts w:hint="eastAsia" w:ascii="仿宋" w:hAnsi="仿宋" w:eastAsia="仿宋" w:cs="仿宋"/>
                <w:i w:val="0"/>
                <w:iCs w:val="0"/>
                <w:color w:val="000000"/>
                <w:kern w:val="0"/>
                <w:sz w:val="21"/>
                <w:szCs w:val="21"/>
                <w:u w:val="none"/>
                <w:lang w:val="en-US" w:eastAsia="zh-CN" w:bidi="ar"/>
              </w:rPr>
              <w:t>1.0盘</w:t>
            </w:r>
          </w:p>
        </w:tc>
        <w:tc>
          <w:tcPr>
            <w:tcW w:w="915" w:type="dxa"/>
            <w:vAlign w:val="center"/>
          </w:tcPr>
          <w:p>
            <w:pPr>
              <w:keepNext w:val="0"/>
              <w:keepLines w:val="0"/>
              <w:widowControl/>
              <w:suppressLineNumbers w:val="0"/>
              <w:jc w:val="center"/>
              <w:textAlignment w:val="center"/>
              <w:rPr>
                <w:rFonts w:hint="default" w:ascii="仿宋" w:hAnsi="仿宋" w:eastAsia="仿宋" w:cs="宋体"/>
                <w:kern w:val="0"/>
                <w:szCs w:val="21"/>
                <w:lang w:val="en-US" w:eastAsia="zh-CN"/>
              </w:rPr>
            </w:pPr>
            <w:r>
              <w:rPr>
                <w:rFonts w:hint="eastAsia" w:ascii="仿宋" w:hAnsi="仿宋" w:eastAsia="仿宋" w:cs="仿宋"/>
                <w:i w:val="0"/>
                <w:iCs w:val="0"/>
                <w:color w:val="000000"/>
                <w:kern w:val="0"/>
                <w:sz w:val="21"/>
                <w:szCs w:val="21"/>
                <w:u w:val="none"/>
                <w:lang w:val="en-US" w:eastAsia="zh-CN" w:bidi="ar"/>
              </w:rPr>
              <w:t>1.68</w:t>
            </w:r>
          </w:p>
        </w:tc>
        <w:tc>
          <w:tcPr>
            <w:tcW w:w="12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5044.25 </w:t>
            </w:r>
          </w:p>
        </w:tc>
        <w:tc>
          <w:tcPr>
            <w:tcW w:w="123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8474.34 </w:t>
            </w:r>
          </w:p>
        </w:tc>
        <w:tc>
          <w:tcPr>
            <w:tcW w:w="114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1101.66 </w:t>
            </w:r>
          </w:p>
        </w:tc>
        <w:tc>
          <w:tcPr>
            <w:tcW w:w="1557" w:type="dxa"/>
            <w:vAlign w:val="center"/>
          </w:tcPr>
          <w:p>
            <w:pPr>
              <w:keepNext w:val="0"/>
              <w:keepLines w:val="0"/>
              <w:widowControl/>
              <w:suppressLineNumbers w:val="0"/>
              <w:jc w:val="center"/>
              <w:textAlignment w:val="center"/>
              <w:rPr>
                <w:rFonts w:hint="default" w:ascii="仿宋" w:hAnsi="仿宋" w:eastAsia="仿宋" w:cs="宋体"/>
                <w:kern w:val="0"/>
                <w:szCs w:val="21"/>
                <w:lang w:val="en-US" w:eastAsia="zh-CN"/>
              </w:rPr>
            </w:pPr>
            <w:r>
              <w:rPr>
                <w:rFonts w:hint="eastAsia" w:ascii="仿宋" w:hAnsi="仿宋" w:eastAsia="仿宋" w:cs="仿宋"/>
                <w:i w:val="0"/>
                <w:iCs w:val="0"/>
                <w:color w:val="000000"/>
                <w:kern w:val="0"/>
                <w:sz w:val="21"/>
                <w:szCs w:val="21"/>
                <w:u w:val="none"/>
                <w:lang w:val="en-US" w:eastAsia="zh-CN" w:bidi="ar"/>
              </w:rPr>
              <w:t xml:space="preserve">9576 </w:t>
            </w:r>
          </w:p>
        </w:tc>
        <w:tc>
          <w:tcPr>
            <w:tcW w:w="764" w:type="dxa"/>
            <w:vAlign w:val="center"/>
          </w:tcPr>
          <w:p>
            <w:pPr>
              <w:widowControl/>
              <w:spacing w:beforeLines="50" w:afterLines="50"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9" w:type="dxa"/>
            <w:vAlign w:val="center"/>
          </w:tcPr>
          <w:p>
            <w:pPr>
              <w:widowControl/>
              <w:spacing w:beforeLines="50" w:afterLines="50" w:line="360" w:lineRule="auto"/>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1728" w:type="dxa"/>
            <w:vAlign w:val="center"/>
          </w:tcPr>
          <w:p>
            <w:pPr>
              <w:keepNext w:val="0"/>
              <w:keepLines w:val="0"/>
              <w:widowControl/>
              <w:suppressLineNumbers w:val="0"/>
              <w:jc w:val="center"/>
              <w:textAlignment w:val="center"/>
              <w:rPr>
                <w:rFonts w:hint="eastAsia" w:ascii="仿宋" w:hAnsi="仿宋" w:eastAsia="仿宋" w:cs="宋体"/>
                <w:kern w:val="0"/>
                <w:szCs w:val="21"/>
                <w:lang w:val="en-US" w:eastAsia="zh-CN"/>
              </w:rPr>
            </w:pPr>
            <w:r>
              <w:rPr>
                <w:rFonts w:hint="eastAsia" w:ascii="仿宋" w:hAnsi="仿宋" w:eastAsia="仿宋" w:cs="仿宋"/>
                <w:i w:val="0"/>
                <w:iCs w:val="0"/>
                <w:color w:val="000000"/>
                <w:kern w:val="0"/>
                <w:sz w:val="21"/>
                <w:szCs w:val="21"/>
                <w:u w:val="none"/>
                <w:lang w:val="en-US" w:eastAsia="zh-CN" w:bidi="ar"/>
              </w:rPr>
              <w:t>ER50-6实芯 焊丝</w:t>
            </w:r>
          </w:p>
        </w:tc>
        <w:tc>
          <w:tcPr>
            <w:tcW w:w="1260" w:type="dxa"/>
            <w:vAlign w:val="center"/>
          </w:tcPr>
          <w:p>
            <w:pPr>
              <w:keepNext w:val="0"/>
              <w:keepLines w:val="0"/>
              <w:widowControl/>
              <w:suppressLineNumbers w:val="0"/>
              <w:jc w:val="center"/>
              <w:textAlignment w:val="center"/>
              <w:rPr>
                <w:rFonts w:hint="default" w:ascii="仿宋" w:hAnsi="仿宋" w:eastAsia="仿宋" w:cs="宋体"/>
                <w:kern w:val="0"/>
                <w:szCs w:val="21"/>
                <w:lang w:val="en-US" w:eastAsia="zh-CN"/>
              </w:rPr>
            </w:pPr>
            <w:r>
              <w:rPr>
                <w:rFonts w:hint="eastAsia" w:ascii="仿宋" w:hAnsi="仿宋" w:eastAsia="仿宋" w:cs="仿宋"/>
                <w:i w:val="0"/>
                <w:iCs w:val="0"/>
                <w:color w:val="000000"/>
                <w:kern w:val="0"/>
                <w:sz w:val="21"/>
                <w:szCs w:val="21"/>
                <w:u w:val="none"/>
                <w:lang w:val="en-US" w:eastAsia="zh-CN" w:bidi="ar"/>
              </w:rPr>
              <w:t>1.0桶</w:t>
            </w:r>
          </w:p>
        </w:tc>
        <w:tc>
          <w:tcPr>
            <w:tcW w:w="915" w:type="dxa"/>
            <w:vAlign w:val="center"/>
          </w:tcPr>
          <w:p>
            <w:pPr>
              <w:keepNext w:val="0"/>
              <w:keepLines w:val="0"/>
              <w:widowControl/>
              <w:suppressLineNumbers w:val="0"/>
              <w:jc w:val="center"/>
              <w:textAlignment w:val="center"/>
              <w:rPr>
                <w:rFonts w:hint="default" w:ascii="仿宋" w:hAnsi="仿宋" w:eastAsia="仿宋" w:cs="宋体"/>
                <w:kern w:val="0"/>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120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5044.25 </w:t>
            </w:r>
          </w:p>
        </w:tc>
        <w:tc>
          <w:tcPr>
            <w:tcW w:w="123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6053.10 </w:t>
            </w:r>
          </w:p>
        </w:tc>
        <w:tc>
          <w:tcPr>
            <w:tcW w:w="114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786.90 </w:t>
            </w:r>
          </w:p>
        </w:tc>
        <w:tc>
          <w:tcPr>
            <w:tcW w:w="1557" w:type="dxa"/>
            <w:vAlign w:val="center"/>
          </w:tcPr>
          <w:p>
            <w:pPr>
              <w:keepNext w:val="0"/>
              <w:keepLines w:val="0"/>
              <w:widowControl/>
              <w:suppressLineNumbers w:val="0"/>
              <w:jc w:val="center"/>
              <w:textAlignment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6840</w:t>
            </w:r>
          </w:p>
        </w:tc>
        <w:tc>
          <w:tcPr>
            <w:tcW w:w="764" w:type="dxa"/>
            <w:vAlign w:val="center"/>
          </w:tcPr>
          <w:p>
            <w:pPr>
              <w:widowControl/>
              <w:spacing w:beforeLines="50" w:afterLines="50" w:line="360" w:lineRule="auto"/>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9" w:type="dxa"/>
            <w:vAlign w:val="center"/>
          </w:tcPr>
          <w:p>
            <w:pPr>
              <w:widowControl/>
              <w:spacing w:beforeLines="50" w:afterLines="50" w:line="360" w:lineRule="auto"/>
              <w:jc w:val="center"/>
              <w:rPr>
                <w:rFonts w:hint="eastAsia" w:ascii="仿宋" w:hAnsi="仿宋" w:eastAsia="仿宋" w:cs="宋体"/>
                <w:b/>
                <w:kern w:val="0"/>
                <w:szCs w:val="21"/>
              </w:rPr>
            </w:pPr>
          </w:p>
        </w:tc>
        <w:tc>
          <w:tcPr>
            <w:tcW w:w="5103" w:type="dxa"/>
            <w:gridSpan w:val="4"/>
            <w:vAlign w:val="center"/>
          </w:tcPr>
          <w:p>
            <w:pPr>
              <w:widowControl/>
              <w:spacing w:beforeLines="50" w:afterLines="50" w:line="360" w:lineRule="auto"/>
              <w:jc w:val="center"/>
              <w:rPr>
                <w:rFonts w:ascii="仿宋" w:hAnsi="仿宋" w:eastAsia="仿宋" w:cs="宋体"/>
                <w:b/>
                <w:kern w:val="0"/>
                <w:szCs w:val="21"/>
              </w:rPr>
            </w:pPr>
            <w:r>
              <w:rPr>
                <w:rFonts w:hint="eastAsia" w:ascii="仿宋" w:hAnsi="仿宋" w:eastAsia="仿宋" w:cs="宋体"/>
                <w:b/>
                <w:kern w:val="0"/>
                <w:szCs w:val="21"/>
              </w:rPr>
              <w:t>合   计</w:t>
            </w:r>
          </w:p>
        </w:tc>
        <w:tc>
          <w:tcPr>
            <w:tcW w:w="1230" w:type="dxa"/>
            <w:vAlign w:val="center"/>
          </w:tcPr>
          <w:p>
            <w:pPr>
              <w:widowControl/>
              <w:spacing w:beforeLines="50" w:afterLines="50" w:line="360" w:lineRule="auto"/>
              <w:rPr>
                <w:rFonts w:ascii="仿宋" w:hAnsi="仿宋" w:eastAsia="仿宋" w:cs="宋体"/>
                <w:b/>
                <w:kern w:val="0"/>
                <w:szCs w:val="21"/>
              </w:rPr>
            </w:pPr>
          </w:p>
        </w:tc>
        <w:tc>
          <w:tcPr>
            <w:tcW w:w="1140" w:type="dxa"/>
            <w:vAlign w:val="center"/>
          </w:tcPr>
          <w:p>
            <w:pPr>
              <w:widowControl/>
              <w:spacing w:beforeLines="50" w:afterLines="50" w:line="360" w:lineRule="auto"/>
              <w:rPr>
                <w:rFonts w:ascii="仿宋" w:hAnsi="仿宋" w:eastAsia="仿宋" w:cs="宋体"/>
                <w:b/>
                <w:kern w:val="0"/>
                <w:szCs w:val="21"/>
              </w:rPr>
            </w:pPr>
          </w:p>
        </w:tc>
        <w:tc>
          <w:tcPr>
            <w:tcW w:w="155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16416</w:t>
            </w:r>
          </w:p>
        </w:tc>
        <w:tc>
          <w:tcPr>
            <w:tcW w:w="764" w:type="dxa"/>
            <w:vAlign w:val="center"/>
          </w:tcPr>
          <w:p>
            <w:pPr>
              <w:widowControl/>
              <w:spacing w:beforeLines="50" w:afterLines="50" w:line="360" w:lineRule="auto"/>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9" w:type="dxa"/>
          </w:tcPr>
          <w:p>
            <w:pPr>
              <w:widowControl/>
              <w:spacing w:beforeLines="50" w:afterLines="50" w:line="360" w:lineRule="auto"/>
              <w:jc w:val="left"/>
              <w:rPr>
                <w:rFonts w:hint="eastAsia" w:ascii="仿宋" w:hAnsi="仿宋" w:eastAsia="仿宋" w:cs="宋体"/>
                <w:b/>
                <w:kern w:val="0"/>
                <w:szCs w:val="21"/>
              </w:rPr>
            </w:pPr>
          </w:p>
        </w:tc>
        <w:tc>
          <w:tcPr>
            <w:tcW w:w="9794" w:type="dxa"/>
            <w:gridSpan w:val="8"/>
          </w:tcPr>
          <w:p>
            <w:pPr>
              <w:widowControl/>
              <w:spacing w:beforeLines="50" w:afterLines="50" w:line="360" w:lineRule="auto"/>
              <w:jc w:val="left"/>
              <w:rPr>
                <w:rFonts w:ascii="仿宋" w:hAnsi="仿宋" w:eastAsia="仿宋" w:cs="宋体"/>
                <w:b/>
                <w:kern w:val="0"/>
                <w:szCs w:val="21"/>
              </w:rPr>
            </w:pPr>
            <w:r>
              <w:rPr>
                <w:rFonts w:hint="eastAsia" w:ascii="仿宋" w:hAnsi="仿宋" w:eastAsia="仿宋" w:cs="宋体"/>
                <w:b/>
                <w:kern w:val="0"/>
                <w:szCs w:val="21"/>
              </w:rPr>
              <w:t>人民</w:t>
            </w:r>
            <w:r>
              <w:rPr>
                <w:rFonts w:ascii="仿宋" w:hAnsi="仿宋" w:eastAsia="仿宋" w:cs="宋体"/>
                <w:b/>
                <w:kern w:val="0"/>
                <w:szCs w:val="21"/>
              </w:rPr>
              <w:t>币大写</w:t>
            </w:r>
            <w:r>
              <w:rPr>
                <w:rFonts w:hint="eastAsia" w:ascii="仿宋" w:hAnsi="仿宋" w:eastAsia="仿宋" w:cs="宋体"/>
                <w:b/>
                <w:kern w:val="0"/>
                <w:szCs w:val="21"/>
              </w:rPr>
              <w:t>：</w:t>
            </w:r>
            <w:r>
              <w:rPr>
                <w:rFonts w:hint="eastAsia" w:ascii="仿宋" w:hAnsi="仿宋" w:eastAsia="仿宋" w:cs="宋体"/>
                <w:b/>
                <w:kern w:val="0"/>
                <w:szCs w:val="21"/>
                <w:lang w:eastAsia="zh-CN"/>
              </w:rPr>
              <w:t>壹万陆仟肆佰壹壹拾陆元整</w:t>
            </w:r>
            <w:r>
              <w:rPr>
                <w:rFonts w:hint="eastAsia" w:ascii="仿宋" w:hAnsi="仿宋" w:eastAsia="仿宋" w:cs="宋体"/>
                <w:b/>
                <w:kern w:val="0"/>
                <w:szCs w:val="21"/>
              </w:rPr>
              <w:t>（</w:t>
            </w:r>
            <w:r>
              <w:rPr>
                <w:rFonts w:hint="eastAsia" w:ascii="仿宋" w:hAnsi="仿宋" w:eastAsia="仿宋" w:cs="宋体"/>
                <w:kern w:val="0"/>
                <w:szCs w:val="21"/>
              </w:rPr>
              <w:t xml:space="preserve">含增值税 </w:t>
            </w:r>
            <w:r>
              <w:rPr>
                <w:rFonts w:hint="eastAsia" w:ascii="仿宋" w:hAnsi="仿宋" w:eastAsia="仿宋" w:cs="宋体"/>
                <w:kern w:val="0"/>
                <w:szCs w:val="21"/>
                <w:lang w:val="en-US" w:eastAsia="zh-CN"/>
              </w:rPr>
              <w:t>13</w:t>
            </w:r>
            <w:r>
              <w:rPr>
                <w:rFonts w:hint="eastAsia" w:ascii="仿宋" w:hAnsi="仿宋" w:eastAsia="仿宋" w:cs="宋体"/>
                <w:kern w:val="0"/>
                <w:szCs w:val="21"/>
              </w:rPr>
              <w:t xml:space="preserve"> %）</w:t>
            </w:r>
          </w:p>
        </w:tc>
      </w:tr>
    </w:tbl>
    <w:p>
      <w:pPr>
        <w:widowControl/>
        <w:spacing w:beforeLines="50" w:afterLines="50" w:line="360" w:lineRule="auto"/>
        <w:rPr>
          <w:rFonts w:ascii="仿宋" w:hAnsi="仿宋" w:eastAsia="仿宋" w:cs="宋体"/>
          <w:kern w:val="0"/>
          <w:sz w:val="24"/>
        </w:rPr>
      </w:pPr>
      <w:r>
        <w:rPr>
          <w:rFonts w:hint="eastAsia" w:ascii="仿宋" w:hAnsi="仿宋" w:eastAsia="仿宋" w:cs="宋体"/>
          <w:kern w:val="0"/>
          <w:sz w:val="24"/>
        </w:rPr>
        <w:t>备注</w:t>
      </w:r>
      <w:r>
        <w:rPr>
          <w:rFonts w:ascii="仿宋" w:hAnsi="仿宋" w:eastAsia="仿宋" w:cs="宋体"/>
          <w:kern w:val="0"/>
          <w:sz w:val="24"/>
        </w:rPr>
        <w:t>：</w:t>
      </w:r>
      <w:r>
        <w:rPr>
          <w:rFonts w:hint="eastAsia" w:ascii="仿宋" w:hAnsi="仿宋" w:eastAsia="仿宋" w:cs="宋体"/>
          <w:kern w:val="0"/>
          <w:sz w:val="24"/>
        </w:rPr>
        <w:t>本合同不得要求乙方向甲方以外的第三方开具增值税发票。由甲方外的第三方支付相关款项，产生的涉税风险由甲方承担，乙方无需承担相关损失责任。</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auto"/>
          <w:kern w:val="0"/>
          <w:sz w:val="24"/>
          <w:u w:val="none"/>
        </w:rPr>
        <w:t>标准</w:t>
      </w:r>
      <w:r>
        <w:rPr>
          <w:rStyle w:val="9"/>
          <w:rFonts w:hint="eastAsia" w:ascii="仿宋" w:hAnsi="仿宋" w:eastAsia="仿宋" w:cs="宋体"/>
          <w:b/>
          <w:color w:val="auto"/>
          <w:kern w:val="0"/>
          <w:sz w:val="24"/>
          <w:u w:val="none"/>
        </w:rPr>
        <w:fldChar w:fldCharType="end"/>
      </w:r>
      <w:r>
        <w:rPr>
          <w:rFonts w:hint="eastAsia" w:ascii="仿宋" w:hAnsi="仿宋" w:eastAsia="仿宋" w:cs="宋体"/>
          <w:b/>
          <w:kern w:val="0"/>
          <w:sz w:val="24"/>
        </w:rPr>
        <w:t>：</w:t>
      </w:r>
      <w:r>
        <w:rPr>
          <w:rFonts w:hint="eastAsia" w:ascii="仿宋" w:hAnsi="仿宋" w:eastAsia="仿宋" w:cs="宋体"/>
          <w:kern w:val="0"/>
          <w:sz w:val="24"/>
        </w:rPr>
        <w:t xml:space="preserve">执行国家标准气保焊丝（GB/T8110-2008),埋弧焊丝 GB/T14957-94,GB/T10045-2001(药芯），并通过相关船级社认证。 </w:t>
      </w:r>
    </w:p>
    <w:p>
      <w:pPr>
        <w:widowControl/>
        <w:spacing w:beforeLines="50" w:afterLines="50" w:line="360" w:lineRule="auto"/>
        <w:rPr>
          <w:rFonts w:hint="default" w:ascii="仿宋" w:hAnsi="仿宋" w:eastAsia="仿宋" w:cs="宋体"/>
          <w:b/>
          <w:kern w:val="0"/>
          <w:sz w:val="24"/>
          <w:lang w:val="en-US" w:eastAsia="zh-CN"/>
        </w:rPr>
      </w:pPr>
      <w:r>
        <w:rPr>
          <w:rFonts w:hint="eastAsia" w:ascii="仿宋" w:hAnsi="仿宋" w:eastAsia="仿宋" w:cs="宋体"/>
          <w:b/>
          <w:kern w:val="0"/>
          <w:sz w:val="24"/>
        </w:rPr>
        <w:t>第三条　付款方式：</w:t>
      </w:r>
      <w:r>
        <w:rPr>
          <w:rFonts w:hint="eastAsia" w:ascii="仿宋" w:hAnsi="仿宋" w:eastAsia="仿宋" w:cs="宋体"/>
          <w:kern w:val="0"/>
          <w:sz w:val="24"/>
          <w:lang w:eastAsia="zh-CN"/>
        </w:rPr>
        <w:t>货到开具发票</w:t>
      </w:r>
      <w:r>
        <w:rPr>
          <w:rFonts w:hint="eastAsia" w:ascii="仿宋" w:hAnsi="仿宋" w:eastAsia="仿宋" w:cs="宋体"/>
          <w:b/>
          <w:kern w:val="0"/>
          <w:sz w:val="24"/>
          <w:lang w:eastAsia="zh-CN"/>
        </w:rPr>
        <w:t>，</w:t>
      </w:r>
      <w:r>
        <w:rPr>
          <w:rFonts w:hint="eastAsia" w:ascii="仿宋" w:hAnsi="仿宋" w:eastAsia="仿宋" w:cs="宋体"/>
          <w:kern w:val="0"/>
          <w:sz w:val="24"/>
          <w:lang w:eastAsia="zh-CN"/>
        </w:rPr>
        <w:t>收到发票</w:t>
      </w:r>
      <w:r>
        <w:rPr>
          <w:rFonts w:hint="eastAsia" w:ascii="仿宋" w:hAnsi="仿宋" w:eastAsia="仿宋" w:cs="宋体"/>
          <w:kern w:val="0"/>
          <w:sz w:val="24"/>
          <w:lang w:val="en-US" w:eastAsia="zh-CN"/>
        </w:rPr>
        <w:t>30日内付款，现金结算。</w:t>
      </w:r>
    </w:p>
    <w:p>
      <w:pPr>
        <w:widowControl/>
        <w:spacing w:beforeLines="50" w:afterLines="50" w:line="360" w:lineRule="auto"/>
        <w:ind w:firstLine="480" w:firstLineChars="200"/>
        <w:rPr>
          <w:rFonts w:ascii="仿宋" w:hAnsi="仿宋" w:eastAsia="仿宋" w:cs="宋体"/>
          <w:bCs/>
          <w:kern w:val="0"/>
          <w:sz w:val="24"/>
        </w:rPr>
      </w:pPr>
      <w:r>
        <w:rPr>
          <w:rFonts w:hint="eastAsia" w:ascii="仿宋" w:hAnsi="仿宋" w:eastAsia="仿宋" w:cs="宋体"/>
          <w:bCs/>
          <w:kern w:val="0"/>
          <w:sz w:val="24"/>
        </w:rPr>
        <w:t>1．合同签订后，乙方按照</w:t>
      </w:r>
      <w:bookmarkStart w:id="1" w:name="_GoBack"/>
      <w:bookmarkEnd w:id="1"/>
      <w:r>
        <w:rPr>
          <w:rFonts w:hint="eastAsia" w:ascii="仿宋" w:hAnsi="仿宋" w:eastAsia="仿宋" w:cs="宋体"/>
          <w:bCs/>
          <w:kern w:val="0"/>
          <w:sz w:val="24"/>
        </w:rPr>
        <w:t>本合同要求将产品送至甲方指定收货地点。</w:t>
      </w:r>
    </w:p>
    <w:p>
      <w:pPr>
        <w:widowControl/>
        <w:spacing w:beforeLines="50" w:afterLines="50" w:line="360" w:lineRule="auto"/>
        <w:ind w:firstLine="480" w:firstLineChars="200"/>
        <w:rPr>
          <w:rFonts w:ascii="仿宋" w:hAnsi="仿宋" w:eastAsia="仿宋" w:cs="宋体"/>
          <w:kern w:val="0"/>
          <w:sz w:val="24"/>
        </w:rPr>
      </w:pPr>
      <w:r>
        <w:rPr>
          <w:rFonts w:ascii="仿宋" w:hAnsi="仿宋" w:eastAsia="仿宋" w:cs="宋体"/>
          <w:bCs/>
          <w:kern w:val="0"/>
          <w:sz w:val="24"/>
        </w:rPr>
        <w:t>2</w:t>
      </w:r>
      <w:r>
        <w:rPr>
          <w:rFonts w:hint="eastAsia" w:ascii="仿宋" w:hAnsi="仿宋" w:eastAsia="仿宋" w:cs="宋体"/>
          <w:bCs/>
          <w:kern w:val="0"/>
          <w:sz w:val="24"/>
        </w:rPr>
        <w:t>．</w:t>
      </w:r>
      <w:r>
        <w:rPr>
          <w:rFonts w:hint="eastAsia" w:ascii="仿宋" w:hAnsi="仿宋" w:eastAsia="仿宋"/>
          <w:bCs/>
          <w:sz w:val="24"/>
        </w:rPr>
        <w:t>乙方应及时向甲方提供实际银行账户，其银行账户如有变更，应立即通知甲方。</w:t>
      </w:r>
    </w:p>
    <w:p>
      <w:pPr>
        <w:spacing w:beforeLines="50" w:afterLines="50" w:line="360" w:lineRule="auto"/>
        <w:rPr>
          <w:rFonts w:ascii="仿宋" w:hAnsi="仿宋" w:eastAsia="仿宋"/>
          <w:sz w:val="24"/>
        </w:rPr>
      </w:pPr>
      <w:r>
        <w:rPr>
          <w:rFonts w:hint="eastAsia" w:ascii="仿宋" w:hAnsi="仿宋" w:eastAsia="仿宋" w:cs="宋体"/>
          <w:b/>
          <w:kern w:val="0"/>
          <w:sz w:val="24"/>
        </w:rPr>
        <w:t>第四条　包装与运费</w:t>
      </w:r>
      <w:r>
        <w:rPr>
          <w:rFonts w:hint="eastAsia" w:ascii="仿宋" w:hAnsi="仿宋" w:eastAsia="仿宋" w:cs="宋体"/>
          <w:kern w:val="0"/>
          <w:sz w:val="24"/>
        </w:rPr>
        <w:t>：</w:t>
      </w:r>
      <w:r>
        <w:rPr>
          <w:rFonts w:hint="eastAsia" w:ascii="仿宋" w:hAnsi="仿宋" w:eastAsia="仿宋"/>
          <w:sz w:val="24"/>
        </w:rPr>
        <w:t>乙方负责产品的常规包装及</w:t>
      </w:r>
      <w:r>
        <w:rPr>
          <w:rFonts w:hint="eastAsia" w:ascii="仿宋" w:hAnsi="仿宋" w:eastAsia="仿宋"/>
          <w:sz w:val="24"/>
          <w:lang w:eastAsia="zh-CN"/>
        </w:rPr>
        <w:t>装车</w:t>
      </w:r>
      <w:r>
        <w:rPr>
          <w:rFonts w:hint="eastAsia" w:ascii="仿宋" w:hAnsi="仿宋" w:eastAsia="仿宋"/>
          <w:sz w:val="24"/>
        </w:rPr>
        <w:t>。甲方有特殊要求的，超出部分由甲方自行承担。</w:t>
      </w:r>
    </w:p>
    <w:p>
      <w:pPr>
        <w:spacing w:beforeLines="50" w:afterLines="50" w:line="360" w:lineRule="auto"/>
        <w:rPr>
          <w:rFonts w:hint="eastAsia" w:ascii="仿宋" w:hAnsi="仿宋" w:eastAsia="仿宋"/>
          <w:sz w:val="24"/>
          <w:lang w:eastAsia="zh-CN"/>
        </w:rPr>
      </w:pPr>
      <w:r>
        <w:rPr>
          <w:rFonts w:hint="eastAsia" w:ascii="仿宋" w:hAnsi="仿宋" w:eastAsia="仿宋"/>
          <w:sz w:val="24"/>
        </w:rPr>
        <w:t>收货地点：株洲市栗雨街道泰山西路北京海纳川工业园湖南光华荣昌汽车部件有限公司</w:t>
      </w:r>
      <w:r>
        <w:rPr>
          <w:rFonts w:hint="eastAsia" w:ascii="仿宋" w:hAnsi="仿宋" w:eastAsia="仿宋"/>
          <w:sz w:val="24"/>
          <w:lang w:eastAsia="zh-CN"/>
        </w:rPr>
        <w:t>贺海岸</w:t>
      </w:r>
      <w:r>
        <w:rPr>
          <w:rFonts w:hint="eastAsia" w:ascii="仿宋" w:hAnsi="仿宋" w:eastAsia="仿宋"/>
          <w:sz w:val="24"/>
        </w:rPr>
        <w:t xml:space="preserve"> </w:t>
      </w:r>
      <w:r>
        <w:rPr>
          <w:rFonts w:hint="eastAsia" w:ascii="仿宋" w:hAnsi="仿宋" w:eastAsia="仿宋"/>
          <w:sz w:val="24"/>
          <w:lang w:val="en-US" w:eastAsia="zh-CN"/>
        </w:rPr>
        <w:t>15886338376</w:t>
      </w:r>
      <w:r>
        <w:rPr>
          <w:rFonts w:hint="eastAsia" w:ascii="仿宋" w:hAnsi="仿宋" w:eastAsia="仿宋"/>
          <w:sz w:val="24"/>
        </w:rPr>
        <w:t xml:space="preserve"> </w:t>
      </w:r>
    </w:p>
    <w:p>
      <w:pPr>
        <w:spacing w:beforeLines="50" w:afterLines="50" w:line="360" w:lineRule="auto"/>
        <w:rPr>
          <w:rFonts w:hint="default" w:ascii="仿宋" w:hAnsi="仿宋" w:eastAsia="仿宋"/>
          <w:sz w:val="24"/>
          <w:u w:val="single"/>
          <w:lang w:val="en-US" w:eastAsia="zh-CN"/>
        </w:rPr>
      </w:pPr>
      <w:r>
        <w:rPr>
          <w:rFonts w:hint="eastAsia" w:ascii="仿宋" w:hAnsi="仿宋" w:eastAsia="仿宋"/>
          <w:sz w:val="24"/>
        </w:rPr>
        <w:t>发货日期：</w:t>
      </w:r>
      <w:r>
        <w:rPr>
          <w:rFonts w:hint="eastAsia" w:ascii="仿宋" w:hAnsi="仿宋" w:eastAsia="仿宋"/>
          <w:sz w:val="24"/>
          <w:lang w:val="en-US" w:eastAsia="zh-CN"/>
        </w:rPr>
        <w:t>根据客户要求</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第五条　交货期及验收</w:t>
      </w:r>
      <w:r>
        <w:rPr>
          <w:rFonts w:hint="eastAsia" w:ascii="仿宋" w:hAnsi="仿宋" w:eastAsia="仿宋" w:cs="宋体"/>
          <w:kern w:val="0"/>
          <w:sz w:val="24"/>
        </w:rPr>
        <w:t>：甲方收货后应及时验收，如有不合格产品，甲方及时向乙方反馈，收货后3日内未提出异议的视为验收合格。</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第六条　违约责任</w:t>
      </w:r>
      <w:r>
        <w:rPr>
          <w:rFonts w:hint="eastAsia" w:ascii="仿宋" w:hAnsi="仿宋" w:eastAsia="仿宋" w:cs="宋体"/>
          <w:kern w:val="0"/>
          <w:sz w:val="24"/>
        </w:rPr>
        <w:t>：乙方逾期交货或所发货品有不合规格、严重产品质量问题等情况，视为乙方违约，甲方将追究乙方责任，并保留索赔权利。</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第七条</w:t>
      </w:r>
      <w:r>
        <w:rPr>
          <w:rFonts w:hint="eastAsia" w:ascii="仿宋" w:hAnsi="仿宋" w:eastAsia="仿宋" w:cs="宋体"/>
          <w:kern w:val="0"/>
          <w:sz w:val="24"/>
        </w:rPr>
        <w:t>　</w:t>
      </w:r>
      <w:r>
        <w:rPr>
          <w:rFonts w:hint="eastAsia" w:ascii="仿宋" w:hAnsi="仿宋" w:eastAsia="仿宋"/>
          <w:b/>
          <w:sz w:val="24"/>
        </w:rPr>
        <w:t>免责事宜：</w:t>
      </w:r>
      <w:r>
        <w:rPr>
          <w:rFonts w:hint="eastAsia" w:ascii="仿宋" w:hAnsi="仿宋" w:eastAsia="仿宋" w:cs="宋体"/>
          <w:kern w:val="0"/>
          <w:sz w:val="24"/>
        </w:rPr>
        <w:t>因不可抗力不能履行合同时，应当及时通知对方，并在合理期限内提供有关机构出具的证明，可以协商全部或部分免除该方当事人的责任。</w:t>
      </w:r>
    </w:p>
    <w:p>
      <w:pPr>
        <w:spacing w:beforeLines="50" w:afterLines="50" w:line="360" w:lineRule="auto"/>
        <w:jc w:val="left"/>
        <w:rPr>
          <w:rFonts w:ascii="仿宋" w:hAnsi="仿宋" w:eastAsia="仿宋"/>
          <w:sz w:val="24"/>
        </w:rPr>
      </w:pPr>
      <w:r>
        <w:rPr>
          <w:rFonts w:hint="eastAsia" w:ascii="仿宋" w:hAnsi="仿宋" w:eastAsia="仿宋" w:cs="宋体"/>
          <w:b/>
          <w:kern w:val="0"/>
          <w:sz w:val="24"/>
        </w:rPr>
        <w:t>第八条</w:t>
      </w:r>
      <w:r>
        <w:rPr>
          <w:rFonts w:hint="eastAsia" w:ascii="仿宋" w:hAnsi="仿宋" w:eastAsia="仿宋" w:cs="宋体"/>
          <w:kern w:val="0"/>
          <w:sz w:val="24"/>
        </w:rPr>
        <w:t>　</w:t>
      </w:r>
      <w:r>
        <w:rPr>
          <w:rFonts w:hint="eastAsia" w:ascii="仿宋" w:hAnsi="仿宋" w:eastAsia="仿宋"/>
          <w:b/>
          <w:bCs/>
          <w:sz w:val="24"/>
        </w:rPr>
        <w:t>争议解决</w:t>
      </w:r>
      <w:r>
        <w:rPr>
          <w:rFonts w:hint="eastAsia" w:ascii="仿宋" w:hAnsi="仿宋" w:eastAsia="仿宋" w:cs="宋体"/>
          <w:kern w:val="0"/>
          <w:sz w:val="24"/>
        </w:rPr>
        <w:t>：</w:t>
      </w:r>
      <w:r>
        <w:rPr>
          <w:rFonts w:hint="eastAsia" w:ascii="仿宋" w:hAnsi="仿宋" w:eastAsia="仿宋"/>
          <w:sz w:val="24"/>
        </w:rPr>
        <w:t>本合同履行过程中发生与本合同有关的纠纷或争议，可以通过协商解决；协商不成的，各方均有权向原告所在地有管辖权的人民法院提起诉讼。因此发生的诉讼费、执行费、公告费、保全费、律师费、差旅费等相关费用由败诉方承担。</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第九条</w:t>
      </w:r>
      <w:r>
        <w:rPr>
          <w:rFonts w:hint="eastAsia" w:ascii="仿宋" w:hAnsi="仿宋" w:eastAsia="仿宋" w:cs="宋体"/>
          <w:kern w:val="0"/>
          <w:sz w:val="24"/>
        </w:rPr>
        <w:t>　履行期间，合同因故不能履行或需要修改，须经双方同意并确认后，签订补充协议。</w:t>
      </w:r>
    </w:p>
    <w:p>
      <w:pPr>
        <w:spacing w:beforeLines="50" w:afterLines="50" w:line="360" w:lineRule="auto"/>
        <w:rPr>
          <w:rFonts w:ascii="仿宋" w:hAnsi="仿宋" w:eastAsia="仿宋" w:cs="宋体"/>
          <w:kern w:val="0"/>
          <w:sz w:val="24"/>
        </w:rPr>
      </w:pPr>
      <w:r>
        <w:rPr>
          <w:rFonts w:hint="eastAsia" w:ascii="仿宋" w:hAnsi="仿宋" w:eastAsia="仿宋"/>
          <w:b/>
          <w:bCs/>
          <w:sz w:val="24"/>
        </w:rPr>
        <w:t>第十条</w:t>
      </w:r>
      <w:r>
        <w:rPr>
          <w:rFonts w:hint="eastAsia" w:ascii="仿宋" w:hAnsi="仿宋" w:eastAsia="仿宋"/>
          <w:b/>
          <w:sz w:val="24"/>
        </w:rPr>
        <w:t xml:space="preserve">  </w:t>
      </w:r>
      <w:r>
        <w:rPr>
          <w:rFonts w:hint="eastAsia" w:ascii="仿宋" w:hAnsi="仿宋" w:eastAsia="仿宋" w:cs="宋体"/>
          <w:kern w:val="0"/>
          <w:sz w:val="24"/>
        </w:rPr>
        <w:t xml:space="preserve">本合同一式两份，双方各执一份，具有同等法律效力。 </w:t>
      </w:r>
    </w:p>
    <w:p>
      <w:pPr>
        <w:spacing w:beforeLines="50" w:afterLines="50" w:line="360" w:lineRule="auto"/>
        <w:rPr>
          <w:rFonts w:ascii="仿宋" w:hAnsi="仿宋" w:eastAsia="仿宋" w:cs="宋体"/>
          <w:kern w:val="0"/>
          <w:sz w:val="24"/>
        </w:rPr>
      </w:pPr>
    </w:p>
    <w:bookmarkEnd w:id="0"/>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甲方:                                     乙方: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年   月   日                                年   月   日</w:t>
      </w:r>
    </w:p>
    <w:sectPr>
      <w:headerReference r:id="rId3" w:type="default"/>
      <w:footerReference r:id="rId4" w:type="default"/>
      <w:pgSz w:w="11906" w:h="16838"/>
      <w:pgMar w:top="1440" w:right="1080" w:bottom="1440" w:left="108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29967"/>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left"/>
    </w:pPr>
    <w:r>
      <w:drawing>
        <wp:inline distT="0" distB="0" distL="0" distR="0">
          <wp:extent cx="717550" cy="465455"/>
          <wp:effectExtent l="19050" t="0" r="5971"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17929" cy="465532"/>
                  </a:xfrm>
                  <a:prstGeom prst="rect">
                    <a:avLst/>
                  </a:prstGeom>
                  <a:noFill/>
                  <a:ln w="9525">
                    <a:noFill/>
                    <a:miter lim="800000"/>
                    <a:headEnd/>
                    <a:tailEnd/>
                  </a:ln>
                </pic:spPr>
              </pic:pic>
            </a:graphicData>
          </a:graphic>
        </wp:inline>
      </w:drawing>
    </w:r>
    <w:r>
      <w:rPr>
        <w:rFonts w:hint="eastAsia"/>
      </w:rPr>
      <w:t xml:space="preserve">                                                                         </w:t>
    </w:r>
    <w:r>
      <w:rPr>
        <w:rFonts w:hint="eastAsia" w:ascii="华文仿宋" w:hAnsi="华文仿宋" w:eastAsia="华文仿宋"/>
      </w:rPr>
      <w:t>合同版本号：2021XSV1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kYTQ0MjkyNTkxZTk3MTM0YWFkMzY4NzZhMWVhZWEifQ=="/>
  </w:docVars>
  <w:rsids>
    <w:rsidRoot w:val="000E4F91"/>
    <w:rsid w:val="0004000A"/>
    <w:rsid w:val="000D1B6B"/>
    <w:rsid w:val="000D5E7B"/>
    <w:rsid w:val="000E4F91"/>
    <w:rsid w:val="00112CC1"/>
    <w:rsid w:val="00162DE2"/>
    <w:rsid w:val="001779F0"/>
    <w:rsid w:val="001C1481"/>
    <w:rsid w:val="001C7127"/>
    <w:rsid w:val="001F562B"/>
    <w:rsid w:val="00263735"/>
    <w:rsid w:val="0028759A"/>
    <w:rsid w:val="002A1B8F"/>
    <w:rsid w:val="002C24D1"/>
    <w:rsid w:val="002E27A9"/>
    <w:rsid w:val="00354459"/>
    <w:rsid w:val="003F3EEA"/>
    <w:rsid w:val="00480404"/>
    <w:rsid w:val="00495B63"/>
    <w:rsid w:val="004B444B"/>
    <w:rsid w:val="00525D55"/>
    <w:rsid w:val="00573652"/>
    <w:rsid w:val="005B5AC7"/>
    <w:rsid w:val="005C5E32"/>
    <w:rsid w:val="0063210E"/>
    <w:rsid w:val="00645A5D"/>
    <w:rsid w:val="006B1554"/>
    <w:rsid w:val="006B3BBC"/>
    <w:rsid w:val="006E07F4"/>
    <w:rsid w:val="007013F9"/>
    <w:rsid w:val="00733353"/>
    <w:rsid w:val="00857037"/>
    <w:rsid w:val="008A53E5"/>
    <w:rsid w:val="008C2CC6"/>
    <w:rsid w:val="00922834"/>
    <w:rsid w:val="00962E60"/>
    <w:rsid w:val="00980631"/>
    <w:rsid w:val="00981BC3"/>
    <w:rsid w:val="00A17E53"/>
    <w:rsid w:val="00A233BB"/>
    <w:rsid w:val="00A419A2"/>
    <w:rsid w:val="00A520C4"/>
    <w:rsid w:val="00A80E79"/>
    <w:rsid w:val="00A8370A"/>
    <w:rsid w:val="00B0116B"/>
    <w:rsid w:val="00B227A1"/>
    <w:rsid w:val="00B22D07"/>
    <w:rsid w:val="00B4140B"/>
    <w:rsid w:val="00B41948"/>
    <w:rsid w:val="00B64321"/>
    <w:rsid w:val="00BD671C"/>
    <w:rsid w:val="00C1164F"/>
    <w:rsid w:val="00C87511"/>
    <w:rsid w:val="00C90A0F"/>
    <w:rsid w:val="00C93E16"/>
    <w:rsid w:val="00C96672"/>
    <w:rsid w:val="00CD26FD"/>
    <w:rsid w:val="00CE48C5"/>
    <w:rsid w:val="00D465EF"/>
    <w:rsid w:val="00DC0AAA"/>
    <w:rsid w:val="00DC5103"/>
    <w:rsid w:val="00DF570A"/>
    <w:rsid w:val="00E50820"/>
    <w:rsid w:val="00E871FE"/>
    <w:rsid w:val="00F0465D"/>
    <w:rsid w:val="00F27285"/>
    <w:rsid w:val="00F731EC"/>
    <w:rsid w:val="00FF5D5E"/>
    <w:rsid w:val="08BD4D82"/>
    <w:rsid w:val="0A5F668F"/>
    <w:rsid w:val="0BFC3A8F"/>
    <w:rsid w:val="101F7E7C"/>
    <w:rsid w:val="201E3975"/>
    <w:rsid w:val="250D12E5"/>
    <w:rsid w:val="28AF3606"/>
    <w:rsid w:val="316A5E3D"/>
    <w:rsid w:val="31DD2F72"/>
    <w:rsid w:val="3C8D48AC"/>
    <w:rsid w:val="3D4F5A28"/>
    <w:rsid w:val="4084115C"/>
    <w:rsid w:val="4D4B6F06"/>
    <w:rsid w:val="61090428"/>
    <w:rsid w:val="63AD3754"/>
    <w:rsid w:val="789D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unhideWhenUsed/>
    <w:qFormat/>
    <w:uiPriority w:val="0"/>
    <w:rPr>
      <w:sz w:val="28"/>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autoRedefine/>
    <w:semiHidden/>
    <w:unhideWhenUsed/>
    <w:qFormat/>
    <w:uiPriority w:val="0"/>
    <w:rPr>
      <w:color w:val="0000FF"/>
      <w:u w:val="single"/>
    </w:rPr>
  </w:style>
  <w:style w:type="character" w:customStyle="1" w:styleId="10">
    <w:name w:val="正文文本 字符"/>
    <w:basedOn w:val="8"/>
    <w:autoRedefine/>
    <w:semiHidden/>
    <w:qFormat/>
    <w:uiPriority w:val="99"/>
    <w:rPr>
      <w:rFonts w:ascii="Times New Roman" w:hAnsi="Times New Roman" w:eastAsia="宋体" w:cs="Times New Roman"/>
      <w:szCs w:val="24"/>
    </w:rPr>
  </w:style>
  <w:style w:type="character" w:customStyle="1" w:styleId="11">
    <w:name w:val="正文文本 Char"/>
    <w:basedOn w:val="8"/>
    <w:link w:val="2"/>
    <w:autoRedefine/>
    <w:semiHidden/>
    <w:qFormat/>
    <w:locked/>
    <w:uiPriority w:val="0"/>
    <w:rPr>
      <w:rFonts w:ascii="Times New Roman" w:hAnsi="Times New Roman" w:eastAsia="宋体" w:cs="Times New Roman"/>
      <w:sz w:val="28"/>
      <w:szCs w:val="24"/>
    </w:rPr>
  </w:style>
  <w:style w:type="character" w:customStyle="1" w:styleId="12">
    <w:name w:val="页眉 Char"/>
    <w:basedOn w:val="8"/>
    <w:link w:val="5"/>
    <w:autoRedefine/>
    <w:qFormat/>
    <w:uiPriority w:val="99"/>
    <w:rPr>
      <w:rFonts w:ascii="Times New Roman" w:hAnsi="Times New Roman" w:eastAsia="宋体" w:cs="Times New Roman"/>
      <w:sz w:val="18"/>
      <w:szCs w:val="18"/>
    </w:rPr>
  </w:style>
  <w:style w:type="character" w:customStyle="1" w:styleId="13">
    <w:name w:val="页脚 Char"/>
    <w:basedOn w:val="8"/>
    <w:link w:val="4"/>
    <w:autoRedefine/>
    <w:qFormat/>
    <w:uiPriority w:val="99"/>
    <w:rPr>
      <w:rFonts w:ascii="Times New Roman" w:hAnsi="Times New Roman" w:eastAsia="宋体" w:cs="Times New Roman"/>
      <w:sz w:val="18"/>
      <w:szCs w:val="18"/>
    </w:rPr>
  </w:style>
  <w:style w:type="character" w:customStyle="1" w:styleId="14">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1032</Words>
  <Characters>1206</Characters>
  <Lines>9</Lines>
  <Paragraphs>2</Paragraphs>
  <TotalTime>15</TotalTime>
  <ScaleCrop>false</ScaleCrop>
  <LinksUpToDate>false</LinksUpToDate>
  <CharactersWithSpaces>1456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2021-09-06T05:50:00Z</dcterms:created>
  <dc:creator>wang fucheng</dc:creator>
  <cp:lastModifiedBy>玲玲</cp:lastModifiedBy>
  <dcterms:modified xsi:type="dcterms:W3CDTF">2024-07-09T01:37:00Z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95C4A255EC904183AF4993E43C4B4AA1_12</vt:lpwstr>
  </property>
</Properties>
</file>