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42AE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C96EC81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2024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0912</w:t>
      </w:r>
    </w:p>
    <w:p w14:paraId="40E420D8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 w14:paraId="04C303D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/>
          <w:b/>
          <w:sz w:val="24"/>
        </w:rPr>
        <w:t>91370700MA3CBQ0F75</w:t>
      </w:r>
    </w:p>
    <w:p w14:paraId="1D3F960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潍坊鑫翔电气设备有限公司</w:t>
      </w:r>
    </w:p>
    <w:p w14:paraId="458C5A7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91370703MA3EN2KP83</w:t>
      </w:r>
    </w:p>
    <w:p w14:paraId="2999FCE4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C29D8A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5"/>
        <w:tblW w:w="1007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6"/>
        <w:gridCol w:w="1418"/>
        <w:gridCol w:w="1212"/>
        <w:gridCol w:w="1183"/>
        <w:gridCol w:w="1117"/>
        <w:gridCol w:w="1600"/>
        <w:gridCol w:w="1834"/>
      </w:tblGrid>
      <w:tr w14:paraId="14E8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00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3D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D7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4D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标准要求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30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21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/米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03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864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</w:p>
        </w:tc>
      </w:tr>
      <w:tr w14:paraId="69E6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5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D5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江苏恒通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6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电缆铜芯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6DE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国标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2B9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4*35+1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8E4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E7E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99.5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29C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19900</w:t>
            </w:r>
          </w:p>
        </w:tc>
      </w:tr>
      <w:tr w14:paraId="0AE7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28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含税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(13%)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22487元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E5BC23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D5977A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1BC076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22487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贰万贰仟肆佰捌拾柒元整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034814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B3FC59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335A49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C81C452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按照合同金额支付乙方货款，</w:t>
      </w:r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 w14:paraId="1E712F2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202AC6B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</w:t>
      </w:r>
      <w:r>
        <w:rPr>
          <w:rFonts w:hint="eastAsia" w:ascii="仿宋" w:hAnsi="仿宋" w:eastAsia="仿宋" w:cs="宋体"/>
          <w:kern w:val="0"/>
          <w:sz w:val="24"/>
        </w:rPr>
        <w:t>承担运费。</w:t>
      </w:r>
    </w:p>
    <w:p w14:paraId="48CBF0A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69A111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按照甲方要求时间及地点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5A42BEAC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乙方交货时，必须提供产品的合格证、检验报告、和其他相应资料，</w:t>
      </w:r>
    </w:p>
    <w:p w14:paraId="626E81D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3、</w:t>
      </w:r>
      <w:r>
        <w:rPr>
          <w:rFonts w:hint="eastAsia" w:ascii="仿宋" w:hAnsi="仿宋" w:eastAsia="仿宋" w:cs="宋体"/>
          <w:kern w:val="0"/>
          <w:sz w:val="24"/>
        </w:rPr>
        <w:t>甲方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按照约定的质量标准验收，电缆必须和样品一致，通过国家质检检测合格，检测费用乙方自理，检测不合格无偿退回</w:t>
      </w:r>
      <w:r>
        <w:rPr>
          <w:rFonts w:ascii="仿宋" w:hAnsi="仿宋" w:eastAsia="仿宋" w:cs="宋体"/>
          <w:kern w:val="0"/>
          <w:sz w:val="24"/>
        </w:rPr>
        <w:t>。</w:t>
      </w:r>
    </w:p>
    <w:p w14:paraId="0A6401B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0F47FBA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CDDE4B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质量标准</w:t>
      </w:r>
      <w:r>
        <w:rPr>
          <w:rFonts w:hint="eastAsia" w:ascii="仿宋" w:hAnsi="仿宋" w:eastAsia="仿宋" w:cs="宋体"/>
          <w:kern w:val="0"/>
          <w:sz w:val="24"/>
        </w:rPr>
        <w:t>约定的，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造成甲方出现安全事故，</w:t>
      </w:r>
      <w:r>
        <w:rPr>
          <w:rFonts w:hint="eastAsia" w:ascii="仿宋" w:hAnsi="仿宋" w:eastAsia="仿宋" w:cs="宋体"/>
          <w:kern w:val="0"/>
          <w:sz w:val="24"/>
        </w:rPr>
        <w:t>乙方应承担甲方全部损失。</w:t>
      </w:r>
    </w:p>
    <w:p w14:paraId="6831036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C5152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752BBB7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E8793EC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20F25982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4EAD6F4F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3B113B7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潍坊鑫翔电气设备有限公司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BCBF5C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DECAD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49583BE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 w14:paraId="53101FDC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 w14:paraId="4939B7BC"/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27C04BBF"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67109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1C21"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4F32CA7F"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39930BCD"/>
    <w:rsid w:val="749766F9"/>
    <w:rsid w:val="7D5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1230</Characters>
  <Lines>0</Lines>
  <Paragraphs>0</Paragraphs>
  <TotalTime>3</TotalTime>
  <ScaleCrop>false</ScaleCrop>
  <LinksUpToDate>false</LinksUpToDate>
  <CharactersWithSpaces>1473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Administrator</cp:lastModifiedBy>
  <dcterms:modified xsi:type="dcterms:W3CDTF">2024-09-11T08:40:06Z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FF33DECDA0AF4D948D5B6BE919C7D858_12</vt:lpwstr>
  </property>
</Properties>
</file>