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F0154F" w:rsidRDefault="00474640" w:rsidP="00F0154F">
      <w:pPr>
        <w:widowControl/>
        <w:jc w:val="center"/>
        <w:rPr>
          <w:rFonts w:ascii="等线" w:eastAsia="等线" w:hAnsi="等线" w:cs="宋体"/>
          <w:color w:val="00B050"/>
          <w:kern w:val="0"/>
          <w:sz w:val="22"/>
          <w:szCs w:val="22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                               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</w:t>
      </w:r>
      <w:r w:rsidR="00F32253">
        <w:rPr>
          <w:rFonts w:ascii="仿宋" w:eastAsia="仿宋" w:hAnsi="仿宋" w:hint="eastAsia"/>
          <w:sz w:val="24"/>
        </w:rPr>
        <w:t>202</w:t>
      </w:r>
      <w:r w:rsidR="00B575CE">
        <w:rPr>
          <w:rFonts w:ascii="仿宋" w:eastAsia="仿宋" w:hAnsi="仿宋" w:hint="eastAsia"/>
          <w:sz w:val="24"/>
        </w:rPr>
        <w:t>4</w:t>
      </w:r>
      <w:r w:rsidR="00AB0B3E">
        <w:rPr>
          <w:rFonts w:ascii="仿宋" w:eastAsia="仿宋" w:hAnsi="仿宋" w:hint="eastAsia"/>
          <w:sz w:val="24"/>
        </w:rPr>
        <w:t>1016-5</w:t>
      </w:r>
    </w:p>
    <w:p w:rsidR="000E4F91" w:rsidRPr="00A06627" w:rsidRDefault="000E4F91" w:rsidP="00FB3B26">
      <w:pPr>
        <w:spacing w:line="360" w:lineRule="auto"/>
        <w:rPr>
          <w:rFonts w:ascii="仿宋" w:eastAsia="仿宋" w:hAnsi="仿宋"/>
          <w:b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F0154F" w:rsidRPr="00F0154F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F0154F" w:rsidRPr="00F0154F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</w:p>
    <w:p w:rsidR="006E7484" w:rsidRDefault="000E4F91" w:rsidP="00B33550">
      <w:pPr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9048F1" w:rsidRPr="009048F1">
        <w:rPr>
          <w:rFonts w:ascii="仿宋" w:eastAsia="仿宋" w:hAnsi="仿宋" w:hint="eastAsia"/>
          <w:b/>
          <w:sz w:val="24"/>
        </w:rPr>
        <w:t>广州劳斯拉利模型有限公司</w:t>
      </w:r>
    </w:p>
    <w:p w:rsidR="000E4F91" w:rsidRPr="008456D3" w:rsidRDefault="005C5338" w:rsidP="00B33550">
      <w:pPr>
        <w:spacing w:line="360" w:lineRule="auto"/>
        <w:rPr>
          <w:rFonts w:ascii="仿宋" w:eastAsia="仿宋" w:hAnsi="仿宋"/>
          <w:b/>
          <w:sz w:val="24"/>
        </w:rPr>
      </w:pPr>
      <w:r w:rsidRPr="00B33550">
        <w:rPr>
          <w:rFonts w:ascii="仿宋" w:eastAsia="仿宋" w:hAnsi="仿宋"/>
          <w:b/>
          <w:sz w:val="24"/>
        </w:rPr>
        <w:t>统一社会信用代码</w:t>
      </w:r>
      <w:r w:rsidRPr="00B33550">
        <w:rPr>
          <w:rFonts w:ascii="仿宋" w:eastAsia="仿宋" w:hAnsi="仿宋" w:hint="eastAsia"/>
          <w:b/>
          <w:sz w:val="24"/>
        </w:rPr>
        <w:t>：</w:t>
      </w:r>
      <w:r w:rsidR="009048F1" w:rsidRPr="009048F1">
        <w:rPr>
          <w:rFonts w:ascii="仿宋" w:eastAsia="仿宋" w:hAnsi="仿宋"/>
          <w:b/>
          <w:sz w:val="24"/>
        </w:rPr>
        <w:t>91440111068195123D</w:t>
      </w:r>
    </w:p>
    <w:p w:rsidR="000E4F91" w:rsidRPr="00A06627" w:rsidRDefault="000E4F91" w:rsidP="007A337E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0E4F91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440" w:type="dxa"/>
        <w:tblInd w:w="103" w:type="dxa"/>
        <w:tblLook w:val="04A0" w:firstRow="1" w:lastRow="0" w:firstColumn="1" w:lastColumn="0" w:noHBand="0" w:noVBand="1"/>
      </w:tblPr>
      <w:tblGrid>
        <w:gridCol w:w="520"/>
        <w:gridCol w:w="1420"/>
        <w:gridCol w:w="1720"/>
        <w:gridCol w:w="560"/>
        <w:gridCol w:w="600"/>
        <w:gridCol w:w="1040"/>
        <w:gridCol w:w="1033"/>
        <w:gridCol w:w="1097"/>
        <w:gridCol w:w="1034"/>
        <w:gridCol w:w="1416"/>
      </w:tblGrid>
      <w:tr w:rsidR="00AB0B3E" w:rsidRPr="00AB0B3E" w:rsidTr="00AB0B3E">
        <w:trPr>
          <w:trHeight w:val="69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B3E" w:rsidRPr="00AB0B3E" w:rsidRDefault="00AB0B3E" w:rsidP="00AB0B3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B0B3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B3E" w:rsidRPr="00AB0B3E" w:rsidRDefault="00AB0B3E" w:rsidP="00AB0B3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B0B3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规格型号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B3E" w:rsidRPr="00AB0B3E" w:rsidRDefault="00AB0B3E" w:rsidP="00AB0B3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B0B3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B3E" w:rsidRPr="00AB0B3E" w:rsidRDefault="00AB0B3E" w:rsidP="00AB0B3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B0B3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B3E" w:rsidRPr="00AB0B3E" w:rsidRDefault="00AB0B3E" w:rsidP="00AB0B3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B0B3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B3E" w:rsidRPr="00AB0B3E" w:rsidRDefault="00AB0B3E" w:rsidP="00AB0B3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B0B3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未税单价（元）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B3E" w:rsidRPr="00AB0B3E" w:rsidRDefault="00AB0B3E" w:rsidP="00AB0B3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B0B3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未税金额（元）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B3E" w:rsidRPr="00AB0B3E" w:rsidRDefault="00AB0B3E" w:rsidP="00AB0B3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B0B3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增值税税额（元）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B3E" w:rsidRPr="00AB0B3E" w:rsidRDefault="00AB0B3E" w:rsidP="00AB0B3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B0B3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含税总价（元）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B3E" w:rsidRPr="00AB0B3E" w:rsidRDefault="00AB0B3E" w:rsidP="00AB0B3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B0B3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备注</w:t>
            </w:r>
          </w:p>
        </w:tc>
      </w:tr>
      <w:tr w:rsidR="00AB0B3E" w:rsidRPr="00AB0B3E" w:rsidTr="00AB0B3E">
        <w:trPr>
          <w:trHeight w:val="5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B3E" w:rsidRPr="00AB0B3E" w:rsidRDefault="00AB0B3E" w:rsidP="00AB0B3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B0B3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B3E" w:rsidRPr="00AB0B3E" w:rsidRDefault="00AB0B3E" w:rsidP="00AB0B3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B0B3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SHT0017358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B3E" w:rsidRPr="00AB0B3E" w:rsidRDefault="00AB0B3E" w:rsidP="00AB0B3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B0B3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左侧导轨护盖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B3E" w:rsidRPr="00AB0B3E" w:rsidRDefault="00AB0B3E" w:rsidP="00AB0B3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B0B3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件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B3E" w:rsidRPr="00AB0B3E" w:rsidRDefault="00AB0B3E" w:rsidP="00AB0B3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B0B3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B3E" w:rsidRPr="00AB0B3E" w:rsidRDefault="00AB0B3E" w:rsidP="00AB0B3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B0B3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473.45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B3E" w:rsidRPr="00AB0B3E" w:rsidRDefault="00AB0B3E" w:rsidP="00AB0B3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B0B3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946.9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B3E" w:rsidRPr="00AB0B3E" w:rsidRDefault="00AB0B3E" w:rsidP="00AB0B3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B0B3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123.1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B3E" w:rsidRPr="00AB0B3E" w:rsidRDefault="00AB0B3E" w:rsidP="00AB0B3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B0B3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1070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B3E" w:rsidRPr="00AB0B3E" w:rsidRDefault="00AB0B3E" w:rsidP="00AB0B3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B0B3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ZY2221,CNC加工，ABS,米黄色喷漆</w:t>
            </w:r>
          </w:p>
        </w:tc>
      </w:tr>
      <w:tr w:rsidR="00AB0B3E" w:rsidRPr="00AB0B3E" w:rsidTr="00AB0B3E">
        <w:trPr>
          <w:trHeight w:val="5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B3E" w:rsidRPr="00AB0B3E" w:rsidRDefault="00AB0B3E" w:rsidP="00AB0B3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B0B3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B3E" w:rsidRPr="00AB0B3E" w:rsidRDefault="00AB0B3E" w:rsidP="00AB0B3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B0B3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SHT0017392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B3E" w:rsidRPr="00AB0B3E" w:rsidRDefault="00AB0B3E" w:rsidP="00AB0B3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B0B3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右侧导轨护盖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B3E" w:rsidRPr="00AB0B3E" w:rsidRDefault="00AB0B3E" w:rsidP="00AB0B3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B0B3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件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B3E" w:rsidRPr="00AB0B3E" w:rsidRDefault="00AB0B3E" w:rsidP="00AB0B3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B0B3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B3E" w:rsidRPr="00AB0B3E" w:rsidRDefault="00AB0B3E" w:rsidP="00AB0B3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B0B3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473.45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B3E" w:rsidRPr="00AB0B3E" w:rsidRDefault="00AB0B3E" w:rsidP="00AB0B3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B0B3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946.9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B3E" w:rsidRPr="00AB0B3E" w:rsidRDefault="00AB0B3E" w:rsidP="00AB0B3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B0B3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123.1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B3E" w:rsidRPr="00AB0B3E" w:rsidRDefault="00AB0B3E" w:rsidP="00AB0B3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B0B3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1070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B3E" w:rsidRPr="00AB0B3E" w:rsidRDefault="00AB0B3E" w:rsidP="00AB0B3E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</w:tr>
      <w:tr w:rsidR="00AB0B3E" w:rsidRPr="00AB0B3E" w:rsidTr="00AB0B3E">
        <w:trPr>
          <w:trHeight w:val="540"/>
        </w:trPr>
        <w:tc>
          <w:tcPr>
            <w:tcW w:w="3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B3E" w:rsidRPr="00AB0B3E" w:rsidRDefault="00AB0B3E" w:rsidP="00AB0B3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B0B3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B3E" w:rsidRPr="00AB0B3E" w:rsidRDefault="00AB0B3E" w:rsidP="00AB0B3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AB0B3E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B3E" w:rsidRPr="00AB0B3E" w:rsidRDefault="00AB0B3E" w:rsidP="00AB0B3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B0B3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B3E" w:rsidRPr="00AB0B3E" w:rsidRDefault="00AB0B3E" w:rsidP="00AB0B3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B0B3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B3E" w:rsidRPr="00AB0B3E" w:rsidRDefault="00AB0B3E" w:rsidP="00AB0B3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B0B3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1893.8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B3E" w:rsidRPr="00AB0B3E" w:rsidRDefault="00AB0B3E" w:rsidP="00AB0B3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B0B3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246.2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0B3E" w:rsidRPr="00AB0B3E" w:rsidRDefault="00AB0B3E" w:rsidP="00AB0B3E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AB0B3E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2140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B0B3E" w:rsidRPr="00AB0B3E" w:rsidRDefault="00AB0B3E" w:rsidP="00AB0B3E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</w:rPr>
            </w:pPr>
            <w:r w:rsidRPr="00AB0B3E">
              <w:rPr>
                <w:rFonts w:ascii="等线" w:eastAsia="等线" w:hAnsi="等线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</w:tbl>
    <w:p w:rsidR="00E22CB5" w:rsidRPr="009048F1" w:rsidRDefault="00E22CB5" w:rsidP="00FB3B26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Cs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AB0B3E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2140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proofErr w:type="gramStart"/>
      <w:r w:rsidR="00AB0B3E" w:rsidRPr="00AB0B3E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贰仟壹佰肆拾</w:t>
      </w:r>
      <w:proofErr w:type="gramEnd"/>
      <w:r w:rsidR="00AB0B3E" w:rsidRPr="00AB0B3E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元</w:t>
      </w:r>
      <w:r w:rsidR="002C5701" w:rsidRPr="002C5701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整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</w:t>
      </w:r>
      <w:bookmarkStart w:id="1" w:name="_GoBack"/>
      <w:bookmarkEnd w:id="1"/>
      <w:r w:rsidR="00033563" w:rsidRPr="00A06627">
        <w:rPr>
          <w:rFonts w:ascii="仿宋" w:eastAsia="仿宋" w:hAnsi="仿宋" w:cs="仿宋" w:hint="eastAsia"/>
          <w:bCs/>
          <w:sz w:val="24"/>
        </w:rPr>
        <w:t>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8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E312A6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315E29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30天/</w:t>
      </w:r>
      <w:r w:rsidR="00315E29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lastRenderedPageBreak/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</w:t>
      </w:r>
      <w:r w:rsidR="00B33550">
        <w:rPr>
          <w:rFonts w:ascii="仿宋" w:eastAsia="仿宋" w:hAnsi="仿宋" w:cs="宋体" w:hint="eastAsia"/>
          <w:bCs/>
          <w:kern w:val="0"/>
          <w:sz w:val="24"/>
        </w:rPr>
        <w:t>10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0%</w:t>
      </w:r>
      <w:r w:rsidR="00B33550">
        <w:rPr>
          <w:rFonts w:ascii="仿宋" w:eastAsia="仿宋" w:hAnsi="仿宋" w:cs="宋体" w:hint="eastAsia"/>
          <w:bCs/>
          <w:kern w:val="0"/>
          <w:sz w:val="24"/>
        </w:rPr>
        <w:t>,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乙方向甲方提供全额合格发票</w:t>
      </w:r>
      <w:r w:rsidR="00B33550">
        <w:rPr>
          <w:rFonts w:ascii="仿宋" w:eastAsia="仿宋" w:hAnsi="仿宋" w:cs="宋体" w:hint="eastAsia"/>
          <w:bCs/>
          <w:kern w:val="0"/>
          <w:sz w:val="24"/>
        </w:rPr>
        <w:t>,并在5日</w:t>
      </w:r>
      <w:r w:rsidR="00B33550">
        <w:rPr>
          <w:rFonts w:ascii="仿宋" w:eastAsia="仿宋" w:hAnsi="仿宋" w:cs="宋体"/>
          <w:bCs/>
          <w:kern w:val="0"/>
          <w:sz w:val="24"/>
        </w:rPr>
        <w:t>内发货至甲方要求地点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EE73CA" w:rsidRPr="00EE73CA">
        <w:rPr>
          <w:rFonts w:ascii="仿宋" w:eastAsia="仿宋" w:hAnsi="仿宋" w:cs="宋体" w:hint="eastAsia"/>
          <w:b/>
          <w:kern w:val="0"/>
          <w:sz w:val="24"/>
          <w:u w:val="single"/>
        </w:rPr>
        <w:t>依据采购订单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0374A5" w:rsidRDefault="00735675" w:rsidP="000374A5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>甲方:</w:t>
      </w:r>
      <w:r w:rsidR="00E312A6" w:rsidRPr="00E312A6">
        <w:rPr>
          <w:rFonts w:ascii="仿宋" w:eastAsia="仿宋" w:hAnsi="仿宋" w:hint="eastAsia"/>
          <w:b/>
          <w:sz w:val="24"/>
        </w:rPr>
        <w:t xml:space="preserve"> </w:t>
      </w:r>
      <w:r w:rsidR="00E312A6" w:rsidRPr="00E312A6">
        <w:rPr>
          <w:rFonts w:ascii="仿宋" w:eastAsia="仿宋" w:hAnsi="仿宋" w:hint="eastAsia"/>
          <w:sz w:val="24"/>
        </w:rPr>
        <w:t>北京光华荣昌汽车部件有限公司</w:t>
      </w:r>
      <w:r w:rsidR="00E312A6">
        <w:rPr>
          <w:rFonts w:ascii="仿宋" w:eastAsia="仿宋" w:hAnsi="仿宋" w:hint="eastAsia"/>
          <w:b/>
          <w:sz w:val="24"/>
        </w:rPr>
        <w:t xml:space="preserve">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9048F1" w:rsidRPr="009048F1">
        <w:rPr>
          <w:rFonts w:ascii="仿宋" w:eastAsia="仿宋" w:hAnsi="仿宋" w:hint="eastAsia"/>
          <w:sz w:val="24"/>
        </w:rPr>
        <w:t>广州劳斯拉利模型有限公司</w:t>
      </w:r>
      <w:r w:rsidRPr="008456D3">
        <w:rPr>
          <w:rFonts w:ascii="仿宋" w:eastAsia="仿宋" w:hAnsi="仿宋" w:cs="仿宋" w:hint="eastAsia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="00B33550">
        <w:rPr>
          <w:rFonts w:ascii="仿宋" w:eastAsia="仿宋" w:hAnsi="仿宋" w:cs="仿宋"/>
          <w:color w:val="000000"/>
          <w:sz w:val="24"/>
        </w:rPr>
        <w:t xml:space="preserve">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  <w:r w:rsidR="00E312A6">
        <w:rPr>
          <w:rFonts w:ascii="仿宋" w:eastAsia="仿宋" w:hAnsi="仿宋" w:cs="仿宋"/>
          <w:color w:val="000000"/>
          <w:sz w:val="24"/>
        </w:rPr>
        <w:t xml:space="preserve">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0E4F91" w:rsidRPr="00735675" w:rsidRDefault="000E4F91" w:rsidP="00FB3B26">
      <w:pPr>
        <w:widowControl/>
        <w:spacing w:line="360" w:lineRule="auto"/>
        <w:rPr>
          <w:rFonts w:ascii="仿宋" w:eastAsia="仿宋" w:hAnsi="仿宋"/>
          <w:sz w:val="24"/>
        </w:rPr>
      </w:pPr>
    </w:p>
    <w:p w:rsidR="000C56C9" w:rsidRPr="005662E9" w:rsidRDefault="006B1554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0C56C9" w:rsidRPr="005662E9" w:rsidSect="00125CEC">
      <w:headerReference w:type="default" r:id="rId9"/>
      <w:footerReference w:type="default" r:id="rId10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0226" w:rsidRDefault="00EB0226" w:rsidP="006B1554">
      <w:r>
        <w:separator/>
      </w:r>
    </w:p>
  </w:endnote>
  <w:endnote w:type="continuationSeparator" w:id="0">
    <w:p w:rsidR="00EB0226" w:rsidRDefault="00EB0226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8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AB0B3E">
              <w:rPr>
                <w:rFonts w:ascii="Arial" w:hAnsi="Arial" w:cs="Arial"/>
                <w:b/>
                <w:noProof/>
              </w:rPr>
              <w:t>1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AB0B3E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0226" w:rsidRDefault="00EB0226" w:rsidP="006B1554">
      <w:r>
        <w:separator/>
      </w:r>
    </w:p>
  </w:footnote>
  <w:footnote w:type="continuationSeparator" w:id="0">
    <w:p w:rsidR="00EB0226" w:rsidRDefault="00EB0226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27886"/>
    <w:rsid w:val="00033563"/>
    <w:rsid w:val="000374A5"/>
    <w:rsid w:val="00053633"/>
    <w:rsid w:val="00054CBE"/>
    <w:rsid w:val="00071F05"/>
    <w:rsid w:val="00072E68"/>
    <w:rsid w:val="00094E1E"/>
    <w:rsid w:val="000A73D1"/>
    <w:rsid w:val="000A73E1"/>
    <w:rsid w:val="000B7268"/>
    <w:rsid w:val="000C56C9"/>
    <w:rsid w:val="000C65D7"/>
    <w:rsid w:val="000E48C0"/>
    <w:rsid w:val="000E4F91"/>
    <w:rsid w:val="000F5A31"/>
    <w:rsid w:val="00106301"/>
    <w:rsid w:val="00125CEC"/>
    <w:rsid w:val="00126EEC"/>
    <w:rsid w:val="00133294"/>
    <w:rsid w:val="001500F5"/>
    <w:rsid w:val="0016165D"/>
    <w:rsid w:val="00162DE2"/>
    <w:rsid w:val="00195298"/>
    <w:rsid w:val="001C1431"/>
    <w:rsid w:val="001C4482"/>
    <w:rsid w:val="001C7127"/>
    <w:rsid w:val="001E0823"/>
    <w:rsid w:val="001E156E"/>
    <w:rsid w:val="001F562B"/>
    <w:rsid w:val="00205E70"/>
    <w:rsid w:val="002259A0"/>
    <w:rsid w:val="0023288A"/>
    <w:rsid w:val="00235A39"/>
    <w:rsid w:val="00243456"/>
    <w:rsid w:val="0025067E"/>
    <w:rsid w:val="00260719"/>
    <w:rsid w:val="0027773B"/>
    <w:rsid w:val="00290ED7"/>
    <w:rsid w:val="002C24D1"/>
    <w:rsid w:val="002C5701"/>
    <w:rsid w:val="002E0A07"/>
    <w:rsid w:val="002E633B"/>
    <w:rsid w:val="002F1B9A"/>
    <w:rsid w:val="002F755C"/>
    <w:rsid w:val="00306216"/>
    <w:rsid w:val="00315E29"/>
    <w:rsid w:val="0034506D"/>
    <w:rsid w:val="00351790"/>
    <w:rsid w:val="00365E7F"/>
    <w:rsid w:val="0038183E"/>
    <w:rsid w:val="003826D8"/>
    <w:rsid w:val="00383D23"/>
    <w:rsid w:val="003B06CC"/>
    <w:rsid w:val="003C1106"/>
    <w:rsid w:val="003E30AA"/>
    <w:rsid w:val="003F771E"/>
    <w:rsid w:val="00413353"/>
    <w:rsid w:val="004420CE"/>
    <w:rsid w:val="00452230"/>
    <w:rsid w:val="004576B1"/>
    <w:rsid w:val="00474640"/>
    <w:rsid w:val="00477940"/>
    <w:rsid w:val="00495B63"/>
    <w:rsid w:val="004B48F6"/>
    <w:rsid w:val="004C48F4"/>
    <w:rsid w:val="004E2CC4"/>
    <w:rsid w:val="004F30A8"/>
    <w:rsid w:val="005444B0"/>
    <w:rsid w:val="00550290"/>
    <w:rsid w:val="005662E9"/>
    <w:rsid w:val="00577762"/>
    <w:rsid w:val="00595383"/>
    <w:rsid w:val="005A227F"/>
    <w:rsid w:val="005A756D"/>
    <w:rsid w:val="005B4ECD"/>
    <w:rsid w:val="005C5338"/>
    <w:rsid w:val="005E4E1F"/>
    <w:rsid w:val="006064D3"/>
    <w:rsid w:val="00623467"/>
    <w:rsid w:val="00625393"/>
    <w:rsid w:val="00634E23"/>
    <w:rsid w:val="00637057"/>
    <w:rsid w:val="00642FEC"/>
    <w:rsid w:val="006509ED"/>
    <w:rsid w:val="006652D5"/>
    <w:rsid w:val="006A6BDB"/>
    <w:rsid w:val="006B1554"/>
    <w:rsid w:val="006E07F4"/>
    <w:rsid w:val="006E7484"/>
    <w:rsid w:val="0071772B"/>
    <w:rsid w:val="00724008"/>
    <w:rsid w:val="00732149"/>
    <w:rsid w:val="00735675"/>
    <w:rsid w:val="00764FA3"/>
    <w:rsid w:val="00766E94"/>
    <w:rsid w:val="007A066E"/>
    <w:rsid w:val="007A250E"/>
    <w:rsid w:val="007A337E"/>
    <w:rsid w:val="007B0CFC"/>
    <w:rsid w:val="007B2764"/>
    <w:rsid w:val="007B4815"/>
    <w:rsid w:val="007B5F5C"/>
    <w:rsid w:val="008216B5"/>
    <w:rsid w:val="00842648"/>
    <w:rsid w:val="008456D3"/>
    <w:rsid w:val="008750CD"/>
    <w:rsid w:val="00886400"/>
    <w:rsid w:val="008A4F92"/>
    <w:rsid w:val="008B1E01"/>
    <w:rsid w:val="008E0822"/>
    <w:rsid w:val="009048F1"/>
    <w:rsid w:val="00923F73"/>
    <w:rsid w:val="00926C8C"/>
    <w:rsid w:val="00951BB9"/>
    <w:rsid w:val="00966465"/>
    <w:rsid w:val="00980616"/>
    <w:rsid w:val="009913FA"/>
    <w:rsid w:val="009A3F68"/>
    <w:rsid w:val="009B0295"/>
    <w:rsid w:val="009B7DBB"/>
    <w:rsid w:val="009C1227"/>
    <w:rsid w:val="009E47F6"/>
    <w:rsid w:val="009F3DB8"/>
    <w:rsid w:val="00A06627"/>
    <w:rsid w:val="00A10CFB"/>
    <w:rsid w:val="00A12FA9"/>
    <w:rsid w:val="00A24655"/>
    <w:rsid w:val="00A2606B"/>
    <w:rsid w:val="00A3666A"/>
    <w:rsid w:val="00A424E0"/>
    <w:rsid w:val="00A53ED0"/>
    <w:rsid w:val="00A550C6"/>
    <w:rsid w:val="00A74203"/>
    <w:rsid w:val="00AA20EF"/>
    <w:rsid w:val="00AA606F"/>
    <w:rsid w:val="00AB0B3E"/>
    <w:rsid w:val="00AB5504"/>
    <w:rsid w:val="00AF1037"/>
    <w:rsid w:val="00B0617D"/>
    <w:rsid w:val="00B33550"/>
    <w:rsid w:val="00B40AB5"/>
    <w:rsid w:val="00B4140B"/>
    <w:rsid w:val="00B41714"/>
    <w:rsid w:val="00B5672E"/>
    <w:rsid w:val="00B570F3"/>
    <w:rsid w:val="00B575CE"/>
    <w:rsid w:val="00B80F54"/>
    <w:rsid w:val="00B85063"/>
    <w:rsid w:val="00BA1233"/>
    <w:rsid w:val="00BC6E31"/>
    <w:rsid w:val="00BE3465"/>
    <w:rsid w:val="00C143F3"/>
    <w:rsid w:val="00C309D8"/>
    <w:rsid w:val="00C44AC7"/>
    <w:rsid w:val="00C605E8"/>
    <w:rsid w:val="00C6565A"/>
    <w:rsid w:val="00C71BD4"/>
    <w:rsid w:val="00C849EF"/>
    <w:rsid w:val="00C93E16"/>
    <w:rsid w:val="00CA3690"/>
    <w:rsid w:val="00CE2D73"/>
    <w:rsid w:val="00D25355"/>
    <w:rsid w:val="00D539E4"/>
    <w:rsid w:val="00DC0CEB"/>
    <w:rsid w:val="00DF042C"/>
    <w:rsid w:val="00DF0C21"/>
    <w:rsid w:val="00E22CB5"/>
    <w:rsid w:val="00E312A6"/>
    <w:rsid w:val="00E45C9E"/>
    <w:rsid w:val="00E4607E"/>
    <w:rsid w:val="00E50E51"/>
    <w:rsid w:val="00E53314"/>
    <w:rsid w:val="00E56927"/>
    <w:rsid w:val="00E65DA6"/>
    <w:rsid w:val="00E8317F"/>
    <w:rsid w:val="00E8798E"/>
    <w:rsid w:val="00EA00BE"/>
    <w:rsid w:val="00EB0226"/>
    <w:rsid w:val="00EB33DC"/>
    <w:rsid w:val="00ED1401"/>
    <w:rsid w:val="00ED1696"/>
    <w:rsid w:val="00ED1BBF"/>
    <w:rsid w:val="00EE4FE9"/>
    <w:rsid w:val="00EE73CA"/>
    <w:rsid w:val="00EF74CA"/>
    <w:rsid w:val="00F0154F"/>
    <w:rsid w:val="00F04463"/>
    <w:rsid w:val="00F32253"/>
    <w:rsid w:val="00F36934"/>
    <w:rsid w:val="00F37BCD"/>
    <w:rsid w:val="00F60CEE"/>
    <w:rsid w:val="00F83883"/>
    <w:rsid w:val="00F83FCF"/>
    <w:rsid w:val="00F84592"/>
    <w:rsid w:val="00F867AB"/>
    <w:rsid w:val="00F93B8B"/>
    <w:rsid w:val="00FA3F70"/>
    <w:rsid w:val="00FB3B26"/>
    <w:rsid w:val="00FC0094"/>
    <w:rsid w:val="00FD6C4F"/>
    <w:rsid w:val="00FE091D"/>
    <w:rsid w:val="00FF3F9E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2</Pages>
  <Words>251</Words>
  <Characters>1433</Characters>
  <Application>Microsoft Office Word</Application>
  <DocSecurity>0</DocSecurity>
  <Lines>11</Lines>
  <Paragraphs>3</Paragraphs>
  <ScaleCrop>false</ScaleCrop>
  <Company/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144</cp:revision>
  <cp:lastPrinted>2023-03-29T00:05:00Z</cp:lastPrinted>
  <dcterms:created xsi:type="dcterms:W3CDTF">2018-09-03T02:40:00Z</dcterms:created>
  <dcterms:modified xsi:type="dcterms:W3CDTF">2024-10-16T07:35:00Z</dcterms:modified>
</cp:coreProperties>
</file>