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6D4454">
      <w:pPr>
        <w:tabs>
          <w:tab w:val="left" w:pos="1980"/>
        </w:tabs>
        <w:rPr>
          <w:rFonts w:ascii="宋体" w:hAnsi="宋体"/>
          <w:b/>
          <w:sz w:val="30"/>
        </w:rPr>
      </w:pPr>
      <w:r>
        <w:rPr>
          <w:rFonts w:hint="eastAsia" w:ascii="宋体" w:hAnsi="宋体"/>
          <w:b/>
          <w:sz w:val="30"/>
        </w:rPr>
        <w:t>协议编号：</w:t>
      </w:r>
      <w:r>
        <w:rPr>
          <w:rFonts w:ascii="宋体" w:hAnsi="宋体"/>
          <w:b/>
          <w:sz w:val="30"/>
        </w:rPr>
        <w:t>SRTC-</w:t>
      </w:r>
    </w:p>
    <w:p w14:paraId="618D6519">
      <w:pPr>
        <w:tabs>
          <w:tab w:val="left" w:pos="1980"/>
        </w:tabs>
        <w:rPr>
          <w:rFonts w:ascii="宋体" w:hAnsi="宋体"/>
          <w:b/>
          <w:sz w:val="30"/>
        </w:rPr>
      </w:pPr>
    </w:p>
    <w:p w14:paraId="22E38BE7">
      <w:pPr>
        <w:tabs>
          <w:tab w:val="left" w:pos="1980"/>
        </w:tabs>
        <w:rPr>
          <w:rFonts w:ascii="宋体" w:hAnsi="宋体"/>
          <w:b/>
          <w:sz w:val="30"/>
        </w:rPr>
      </w:pPr>
    </w:p>
    <w:p w14:paraId="4C26D3DA">
      <w:pPr>
        <w:tabs>
          <w:tab w:val="left" w:pos="1980"/>
        </w:tabs>
        <w:rPr>
          <w:rFonts w:ascii="宋体" w:hAnsi="宋体"/>
          <w:b/>
          <w:sz w:val="30"/>
        </w:rPr>
      </w:pPr>
    </w:p>
    <w:p w14:paraId="1FA24D8A">
      <w:pPr>
        <w:tabs>
          <w:tab w:val="left" w:pos="5654"/>
        </w:tabs>
        <w:rPr>
          <w:rFonts w:ascii="宋体" w:hAnsi="宋体"/>
          <w:sz w:val="28"/>
        </w:rPr>
      </w:pPr>
      <w:r>
        <w:rPr>
          <w:rFonts w:hint="eastAsia" w:ascii="宋体" w:hAnsi="宋体"/>
          <w:sz w:val="28"/>
        </w:rPr>
        <w:tab/>
      </w:r>
    </w:p>
    <w:p w14:paraId="670C4F5B">
      <w:pPr>
        <w:jc w:val="center"/>
        <w:rPr>
          <w:rFonts w:ascii="黑体" w:hAnsi="宋体" w:eastAsia="黑体"/>
          <w:b/>
          <w:color w:val="000000"/>
          <w:sz w:val="44"/>
        </w:rPr>
      </w:pPr>
    </w:p>
    <w:p w14:paraId="04D7156F">
      <w:pPr>
        <w:jc w:val="center"/>
        <w:rPr>
          <w:rFonts w:ascii="黑体" w:hAnsi="宋体" w:eastAsia="黑体"/>
          <w:b/>
          <w:color w:val="000000"/>
          <w:sz w:val="44"/>
        </w:rPr>
      </w:pPr>
      <w:r>
        <w:rPr>
          <w:rFonts w:hint="eastAsia" w:ascii="黑体" w:hAnsi="宋体" w:eastAsia="黑体"/>
          <w:b/>
          <w:color w:val="000000"/>
          <w:sz w:val="52"/>
          <w:szCs w:val="52"/>
        </w:rPr>
        <w:t>科技咨询服务协议书</w:t>
      </w:r>
    </w:p>
    <w:p w14:paraId="4AFE5E24">
      <w:pPr>
        <w:rPr>
          <w:rFonts w:ascii="黑体" w:hAnsi="宋体" w:eastAsia="黑体"/>
          <w:b/>
          <w:color w:val="000000"/>
          <w:sz w:val="30"/>
        </w:rPr>
      </w:pPr>
    </w:p>
    <w:p w14:paraId="01734638">
      <w:r>
        <w:rPr>
          <w:rFonts w:hint="eastAsia"/>
        </w:rPr>
        <w:t xml:space="preserve"> </w:t>
      </w:r>
    </w:p>
    <w:p w14:paraId="2893A754"/>
    <w:p w14:paraId="466E4BC4"/>
    <w:p w14:paraId="0E816422"/>
    <w:p w14:paraId="01837322"/>
    <w:p w14:paraId="6E122DD2"/>
    <w:p w14:paraId="0AF2D0DA"/>
    <w:p w14:paraId="67CC871B"/>
    <w:p w14:paraId="6ADB7C87">
      <w:pPr>
        <w:rPr>
          <w:rFonts w:ascii="微软雅黑" w:hAnsi="微软雅黑" w:eastAsia="微软雅黑" w:cs="微软雅黑"/>
          <w:sz w:val="32"/>
          <w:szCs w:val="32"/>
        </w:rPr>
      </w:pPr>
    </w:p>
    <w:p w14:paraId="1FDB8D1B">
      <w:pPr>
        <w:overflowPunct w:val="0"/>
        <w:autoSpaceDE w:val="0"/>
        <w:autoSpaceDN w:val="0"/>
        <w:ind w:firstLine="1412" w:firstLineChars="441"/>
        <w:rPr>
          <w:rFonts w:hint="default"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委托方：</w:t>
      </w:r>
      <w:r>
        <w:rPr>
          <w:rFonts w:hint="eastAsia" w:ascii="微软雅黑" w:hAnsi="微软雅黑" w:eastAsia="微软雅黑" w:cs="微软雅黑"/>
          <w:b/>
          <w:sz w:val="32"/>
          <w:szCs w:val="32"/>
          <w:lang w:val="en-US" w:eastAsia="zh-CN"/>
        </w:rPr>
        <w:t>安路普（北京）汽车技术有限公司</w:t>
      </w:r>
    </w:p>
    <w:p w14:paraId="7B97278F">
      <w:pPr>
        <w:overflowPunct w:val="0"/>
        <w:autoSpaceDE w:val="0"/>
        <w:autoSpaceDN w:val="0"/>
        <w:ind w:firstLine="1412" w:firstLineChars="441"/>
        <w:rPr>
          <w:rFonts w:ascii="微软雅黑" w:hAnsi="微软雅黑" w:eastAsia="微软雅黑"/>
          <w:b/>
          <w:sz w:val="32"/>
          <w:szCs w:val="32"/>
        </w:rPr>
      </w:pPr>
      <w:r>
        <w:rPr>
          <w:rFonts w:hint="eastAsia" w:ascii="微软雅黑" w:hAnsi="微软雅黑" w:eastAsia="微软雅黑"/>
          <w:b/>
          <w:sz w:val="32"/>
          <w:szCs w:val="32"/>
        </w:rPr>
        <w:t>咨询方：北京顺然天成咨询有限公司</w:t>
      </w:r>
    </w:p>
    <w:p w14:paraId="6FF97EA8">
      <w:pPr>
        <w:rPr>
          <w:rFonts w:ascii="黑体" w:eastAsia="黑体"/>
        </w:rPr>
      </w:pPr>
    </w:p>
    <w:p w14:paraId="2DAC51C0">
      <w:pPr>
        <w:spacing w:line="360" w:lineRule="auto"/>
        <w:ind w:firstLine="560" w:firstLineChars="200"/>
        <w:rPr>
          <w:rFonts w:ascii="黑体" w:hAnsi="宋体" w:eastAsia="黑体"/>
          <w:sz w:val="28"/>
          <w:szCs w:val="30"/>
        </w:rPr>
      </w:pPr>
    </w:p>
    <w:p w14:paraId="37F0A0C5">
      <w:pPr>
        <w:spacing w:line="360" w:lineRule="auto"/>
        <w:ind w:firstLine="560" w:firstLineChars="200"/>
        <w:rPr>
          <w:rFonts w:ascii="黑体" w:hAnsi="宋体" w:eastAsia="黑体"/>
          <w:sz w:val="28"/>
          <w:szCs w:val="30"/>
        </w:rPr>
      </w:pPr>
    </w:p>
    <w:p w14:paraId="7FC91088">
      <w:pPr>
        <w:spacing w:line="360" w:lineRule="auto"/>
        <w:ind w:firstLine="560" w:firstLineChars="200"/>
        <w:rPr>
          <w:rFonts w:ascii="黑体" w:hAnsi="宋体" w:eastAsia="黑体"/>
          <w:sz w:val="28"/>
          <w:szCs w:val="30"/>
        </w:rPr>
      </w:pPr>
    </w:p>
    <w:p w14:paraId="6FC53F78">
      <w:pPr>
        <w:spacing w:line="360" w:lineRule="auto"/>
        <w:jc w:val="center"/>
        <w:rPr>
          <w:rFonts w:ascii="黑体" w:hAnsi="宋体" w:eastAsia="黑体"/>
          <w:b/>
          <w:sz w:val="32"/>
          <w:szCs w:val="32"/>
        </w:rPr>
      </w:pPr>
      <w:r>
        <w:rPr>
          <w:rFonts w:hint="eastAsia" w:ascii="黑体" w:hAnsi="宋体" w:eastAsia="黑体"/>
          <w:b/>
          <w:sz w:val="32"/>
          <w:szCs w:val="32"/>
        </w:rPr>
        <w:t>二〇二</w:t>
      </w:r>
      <w:r>
        <w:rPr>
          <w:rFonts w:hint="eastAsia" w:ascii="黑体" w:hAnsi="宋体" w:eastAsia="黑体"/>
          <w:b/>
          <w:sz w:val="32"/>
          <w:szCs w:val="32"/>
          <w:lang w:val="en-US" w:eastAsia="zh-CN"/>
        </w:rPr>
        <w:t>四</w:t>
      </w:r>
      <w:r>
        <w:rPr>
          <w:rFonts w:hint="eastAsia" w:ascii="黑体" w:hAnsi="宋体" w:eastAsia="黑体"/>
          <w:b/>
          <w:sz w:val="32"/>
          <w:szCs w:val="32"/>
        </w:rPr>
        <w:t>年</w:t>
      </w:r>
      <w:r>
        <w:rPr>
          <w:rFonts w:hint="eastAsia" w:ascii="黑体" w:hAnsi="宋体" w:eastAsia="黑体"/>
          <w:b/>
          <w:sz w:val="32"/>
          <w:szCs w:val="32"/>
          <w:lang w:val="en-US" w:eastAsia="zh-CN"/>
        </w:rPr>
        <w:t>九</w:t>
      </w:r>
      <w:r>
        <w:rPr>
          <w:rFonts w:hint="eastAsia" w:ascii="黑体" w:hAnsi="宋体" w:eastAsia="黑体"/>
          <w:b/>
          <w:sz w:val="32"/>
          <w:szCs w:val="32"/>
        </w:rPr>
        <w:t>月</w:t>
      </w:r>
    </w:p>
    <w:p w14:paraId="07E127AA">
      <w:pPr>
        <w:rPr>
          <w:rFonts w:hAnsi="宋体"/>
          <w:b/>
          <w:sz w:val="24"/>
        </w:rPr>
      </w:pPr>
      <w:r>
        <w:rPr>
          <w:rFonts w:hint="eastAsia" w:hAnsi="宋体"/>
          <w:b/>
          <w:sz w:val="24"/>
        </w:rPr>
        <w:br w:type="page"/>
      </w:r>
    </w:p>
    <w:p w14:paraId="77AEFB23">
      <w:pPr>
        <w:tabs>
          <w:tab w:val="left" w:pos="1759"/>
        </w:tabs>
        <w:overflowPunct w:val="0"/>
        <w:autoSpaceDE w:val="0"/>
        <w:autoSpaceDN w:val="0"/>
        <w:snapToGrid w:val="0"/>
        <w:spacing w:line="480" w:lineRule="exact"/>
        <w:ind w:firstLine="482" w:firstLineChars="200"/>
        <w:rPr>
          <w:rFonts w:hint="default" w:hAnsi="宋体" w:eastAsia="宋体"/>
          <w:b/>
          <w:sz w:val="24"/>
          <w:lang w:val="en-US" w:eastAsia="zh-CN"/>
        </w:rPr>
      </w:pPr>
      <w:r>
        <w:rPr>
          <w:rFonts w:hint="eastAsia" w:hAnsi="宋体"/>
          <w:b/>
          <w:sz w:val="24"/>
        </w:rPr>
        <w:t>委托方（甲方）：</w:t>
      </w:r>
      <w:r>
        <w:rPr>
          <w:rFonts w:hint="eastAsia" w:hAnsi="宋体"/>
          <w:b/>
          <w:sz w:val="24"/>
          <w:lang w:val="en-US" w:eastAsia="zh-CN"/>
        </w:rPr>
        <w:t>安路普（北京）汽车技术有限公司</w:t>
      </w:r>
    </w:p>
    <w:p w14:paraId="2321E5D7">
      <w:pPr>
        <w:overflowPunct w:val="0"/>
        <w:autoSpaceDE w:val="0"/>
        <w:autoSpaceDN w:val="0"/>
        <w:snapToGrid w:val="0"/>
        <w:spacing w:line="480" w:lineRule="exact"/>
        <w:ind w:firstLine="480" w:firstLineChars="200"/>
        <w:rPr>
          <w:rFonts w:hint="eastAsia" w:ascii="宋体" w:hAnsi="宋体" w:cs="宋体"/>
          <w:color w:val="000000"/>
          <w:sz w:val="24"/>
          <w:szCs w:val="24"/>
        </w:rPr>
      </w:pPr>
      <w:r>
        <w:rPr>
          <w:rFonts w:hint="eastAsia" w:hAnsi="宋体"/>
          <w:sz w:val="24"/>
        </w:rPr>
        <w:t xml:space="preserve">住所地： </w:t>
      </w:r>
      <w:r>
        <w:rPr>
          <w:rFonts w:hint="eastAsia" w:ascii="宋体" w:hAnsi="宋体" w:cs="宋体"/>
          <w:color w:val="000000"/>
          <w:sz w:val="24"/>
          <w:szCs w:val="24"/>
        </w:rPr>
        <w:t> </w:t>
      </w:r>
      <w:r>
        <w:rPr>
          <w:rFonts w:hint="eastAsia" w:hAnsi="宋体"/>
          <w:sz w:val="24"/>
          <w:szCs w:val="22"/>
          <w:lang w:val="en-US" w:eastAsia="zh-CN"/>
        </w:rPr>
        <w:t>北京市昌平区流村工业园区</w:t>
      </w:r>
    </w:p>
    <w:p w14:paraId="4ACAC3FC">
      <w:pPr>
        <w:overflowPunct w:val="0"/>
        <w:autoSpaceDE w:val="0"/>
        <w:autoSpaceDN w:val="0"/>
        <w:snapToGrid w:val="0"/>
        <w:spacing w:line="480" w:lineRule="exact"/>
        <w:ind w:firstLine="480" w:firstLineChars="200"/>
        <w:rPr>
          <w:rFonts w:hint="eastAsia" w:hAnsi="宋体"/>
          <w:sz w:val="24"/>
          <w:lang w:val="en-US" w:eastAsia="zh-CN"/>
        </w:rPr>
      </w:pPr>
      <w:r>
        <w:rPr>
          <w:rFonts w:hint="eastAsia" w:hAnsi="宋体"/>
          <w:sz w:val="24"/>
        </w:rPr>
        <w:t>项目负责人：</w:t>
      </w:r>
      <w:r>
        <w:rPr>
          <w:rFonts w:hint="eastAsia" w:hAnsi="宋体"/>
          <w:sz w:val="24"/>
          <w:lang w:val="en-US" w:eastAsia="zh-CN"/>
        </w:rPr>
        <w:t>王娥</w:t>
      </w:r>
    </w:p>
    <w:p w14:paraId="7C2217D1">
      <w:pPr>
        <w:overflowPunct w:val="0"/>
        <w:autoSpaceDE w:val="0"/>
        <w:autoSpaceDN w:val="0"/>
        <w:snapToGrid w:val="0"/>
        <w:spacing w:line="480" w:lineRule="exact"/>
        <w:ind w:firstLine="480" w:firstLineChars="200"/>
        <w:rPr>
          <w:rFonts w:hint="default" w:hAnsi="宋体" w:eastAsia="宋体"/>
          <w:b/>
          <w:sz w:val="24"/>
          <w:lang w:val="en-US" w:eastAsia="zh-CN"/>
        </w:rPr>
      </w:pPr>
      <w:r>
        <w:rPr>
          <w:rFonts w:hint="eastAsia" w:hAnsi="宋体"/>
          <w:sz w:val="24"/>
        </w:rPr>
        <w:t>联系电话：</w:t>
      </w:r>
      <w:r>
        <w:rPr>
          <w:rFonts w:hint="eastAsia" w:hAnsi="宋体"/>
          <w:sz w:val="24"/>
          <w:lang w:val="en-US" w:eastAsia="zh-CN"/>
        </w:rPr>
        <w:t>18610116454</w:t>
      </w:r>
    </w:p>
    <w:p w14:paraId="2AA31080">
      <w:pPr>
        <w:overflowPunct w:val="0"/>
        <w:autoSpaceDE w:val="0"/>
        <w:autoSpaceDN w:val="0"/>
        <w:snapToGrid w:val="0"/>
        <w:spacing w:line="480" w:lineRule="exact"/>
        <w:ind w:firstLine="480" w:firstLineChars="200"/>
        <w:rPr>
          <w:rFonts w:hint="eastAsia" w:hAnsi="宋体"/>
          <w:sz w:val="24"/>
        </w:rPr>
      </w:pPr>
    </w:p>
    <w:p w14:paraId="49D3F37E">
      <w:pPr>
        <w:overflowPunct w:val="0"/>
        <w:autoSpaceDE w:val="0"/>
        <w:autoSpaceDN w:val="0"/>
        <w:snapToGrid w:val="0"/>
        <w:spacing w:line="480" w:lineRule="exact"/>
        <w:ind w:firstLine="482" w:firstLineChars="200"/>
        <w:rPr>
          <w:rFonts w:hAnsi="宋体"/>
          <w:sz w:val="24"/>
        </w:rPr>
      </w:pPr>
      <w:r>
        <w:rPr>
          <w:rFonts w:hint="eastAsia" w:hAnsi="宋体"/>
          <w:b/>
          <w:sz w:val="24"/>
        </w:rPr>
        <w:t>受托方（乙方）：北京顺然天成咨询有限公司</w:t>
      </w:r>
    </w:p>
    <w:p w14:paraId="6D5962C8">
      <w:pPr>
        <w:overflowPunct w:val="0"/>
        <w:autoSpaceDE w:val="0"/>
        <w:autoSpaceDN w:val="0"/>
        <w:snapToGrid w:val="0"/>
        <w:spacing w:line="480" w:lineRule="exact"/>
        <w:ind w:firstLine="480" w:firstLineChars="200"/>
        <w:rPr>
          <w:rFonts w:hint="default" w:hAnsi="宋体" w:eastAsia="宋体"/>
          <w:sz w:val="24"/>
          <w:lang w:val="en-US" w:eastAsia="zh-CN"/>
        </w:rPr>
      </w:pPr>
      <w:r>
        <w:rPr>
          <w:rFonts w:hint="eastAsia" w:hAnsi="宋体"/>
          <w:sz w:val="24"/>
        </w:rPr>
        <w:t>住所地：北京市丰台区总部基地</w:t>
      </w:r>
      <w:r>
        <w:rPr>
          <w:rFonts w:hint="eastAsia" w:hAnsi="宋体"/>
          <w:sz w:val="24"/>
          <w:lang w:val="en-US" w:eastAsia="zh-CN"/>
        </w:rPr>
        <w:t>十八区一号楼四层</w:t>
      </w:r>
    </w:p>
    <w:p w14:paraId="50BA937E">
      <w:pPr>
        <w:overflowPunct w:val="0"/>
        <w:autoSpaceDE w:val="0"/>
        <w:autoSpaceDN w:val="0"/>
        <w:snapToGrid w:val="0"/>
        <w:spacing w:line="480" w:lineRule="exact"/>
        <w:ind w:firstLine="480" w:firstLineChars="200"/>
        <w:rPr>
          <w:rFonts w:hAnsi="宋体"/>
          <w:sz w:val="24"/>
          <w:shd w:val="clear" w:color="auto" w:fill="FF0000"/>
        </w:rPr>
      </w:pPr>
      <w:r>
        <w:rPr>
          <w:rFonts w:hint="eastAsia" w:hAnsi="宋体"/>
          <w:sz w:val="24"/>
        </w:rPr>
        <w:t>项目负责人：</w:t>
      </w:r>
      <w:r>
        <w:rPr>
          <w:rFonts w:hint="eastAsia" w:hAnsi="宋体"/>
          <w:sz w:val="24"/>
          <w:lang w:val="en-US" w:eastAsia="zh-CN"/>
        </w:rPr>
        <w:t>施丹</w:t>
      </w:r>
      <w:r>
        <w:rPr>
          <w:rFonts w:hint="eastAsia" w:hAnsi="宋体"/>
          <w:sz w:val="24"/>
        </w:rPr>
        <w:t xml:space="preserve"> </w:t>
      </w:r>
    </w:p>
    <w:p w14:paraId="31FBA333">
      <w:pPr>
        <w:overflowPunct w:val="0"/>
        <w:autoSpaceDE w:val="0"/>
        <w:autoSpaceDN w:val="0"/>
        <w:snapToGrid w:val="0"/>
        <w:spacing w:line="480" w:lineRule="exact"/>
        <w:ind w:firstLine="480" w:firstLineChars="200"/>
        <w:rPr>
          <w:rFonts w:hint="eastAsia" w:hAnsi="宋体"/>
          <w:sz w:val="24"/>
          <w:lang w:val="en-US" w:eastAsia="zh-CN"/>
        </w:rPr>
      </w:pPr>
      <w:r>
        <w:rPr>
          <w:rFonts w:hint="eastAsia" w:hAnsi="宋体"/>
          <w:sz w:val="24"/>
        </w:rPr>
        <w:t>联系电话：</w:t>
      </w:r>
      <w:r>
        <w:rPr>
          <w:rFonts w:hint="eastAsia" w:hAnsi="宋体"/>
          <w:sz w:val="24"/>
          <w:lang w:val="en-US" w:eastAsia="zh-CN"/>
        </w:rPr>
        <w:t>13910232632</w:t>
      </w:r>
    </w:p>
    <w:p w14:paraId="41FEA73E">
      <w:pPr>
        <w:overflowPunct w:val="0"/>
        <w:autoSpaceDE w:val="0"/>
        <w:autoSpaceDN w:val="0"/>
        <w:snapToGrid w:val="0"/>
        <w:spacing w:line="480" w:lineRule="exact"/>
        <w:ind w:firstLine="480" w:firstLineChars="200"/>
        <w:rPr>
          <w:rFonts w:hint="eastAsia" w:hAnsi="宋体"/>
          <w:sz w:val="24"/>
        </w:rPr>
      </w:pPr>
    </w:p>
    <w:p w14:paraId="097A5117">
      <w:pPr>
        <w:overflowPunct w:val="0"/>
        <w:autoSpaceDE w:val="0"/>
        <w:autoSpaceDN w:val="0"/>
        <w:snapToGrid w:val="0"/>
        <w:spacing w:line="480" w:lineRule="exact"/>
        <w:ind w:firstLine="480" w:firstLineChars="200"/>
        <w:rPr>
          <w:rFonts w:hAnsi="宋体"/>
          <w:sz w:val="24"/>
        </w:rPr>
      </w:pPr>
      <w:r>
        <w:rPr>
          <w:rFonts w:hint="eastAsia" w:hAnsi="宋体"/>
          <w:sz w:val="24"/>
        </w:rPr>
        <w:t>依据《中华人民共和国</w:t>
      </w:r>
      <w:r>
        <w:rPr>
          <w:rFonts w:hint="eastAsia" w:hAnsi="宋体"/>
          <w:sz w:val="24"/>
          <w:lang w:val="en-US" w:eastAsia="zh-CN"/>
        </w:rPr>
        <w:t>民法典</w:t>
      </w:r>
      <w:r>
        <w:rPr>
          <w:rFonts w:hint="eastAsia" w:hAnsi="宋体"/>
          <w:sz w:val="24"/>
        </w:rPr>
        <w:t>》等相关法律规定，甲乙双方就提供202</w:t>
      </w:r>
      <w:r>
        <w:rPr>
          <w:rFonts w:hint="eastAsia" w:hAnsi="宋体"/>
          <w:sz w:val="24"/>
          <w:lang w:val="en-US" w:eastAsia="zh-CN"/>
        </w:rPr>
        <w:t>5</w:t>
      </w:r>
      <w:r>
        <w:rPr>
          <w:rFonts w:hint="eastAsia" w:hAnsi="宋体"/>
          <w:sz w:val="24"/>
        </w:rPr>
        <w:t>年国家高新技术企业认定</w:t>
      </w:r>
      <w:r>
        <w:rPr>
          <w:rFonts w:hint="eastAsia" w:hAnsi="宋体"/>
          <w:sz w:val="24"/>
          <w:lang w:eastAsia="zh-CN"/>
        </w:rPr>
        <w:t>、</w:t>
      </w:r>
      <w:r>
        <w:rPr>
          <w:rFonts w:hint="eastAsia" w:hAnsi="宋体"/>
          <w:sz w:val="24"/>
          <w:lang w:val="en-US" w:eastAsia="zh-CN"/>
        </w:rPr>
        <w:t>新技术新产品（服务）、2025年专精特新中小企业复审</w:t>
      </w:r>
      <w:r>
        <w:rPr>
          <w:rFonts w:hint="eastAsia" w:hAnsi="宋体"/>
          <w:sz w:val="24"/>
        </w:rPr>
        <w:t>提供</w:t>
      </w:r>
      <w:r>
        <w:rPr>
          <w:rFonts w:hint="eastAsia" w:hAnsi="宋体"/>
          <w:sz w:val="24"/>
          <w:lang w:val="en-US" w:eastAsia="zh-CN"/>
        </w:rPr>
        <w:t>咨询</w:t>
      </w:r>
      <w:r>
        <w:rPr>
          <w:rFonts w:hint="eastAsia" w:hAnsi="宋体"/>
          <w:sz w:val="24"/>
        </w:rPr>
        <w:t>服务，乙方依托于自主开发的综合服务平台提供技术服务，其中包括：顺然天成高新技术企业认定服务系统、技术转移服务平台、网页信息资源快速检索系统、信息采集系统、数据整合优化系统、科技成果评价系统、科技项目分析系统、财务分析系统、研发费用辅助账软件、科技政策推送系统、科技政策自动筛选分类系统、科技政策信息解读系统等，经友好协商达成如下协议，双方共同遵守。</w:t>
      </w:r>
    </w:p>
    <w:p w14:paraId="4A742FD8">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1、甲方的责任和义务</w:t>
      </w:r>
    </w:p>
    <w:p w14:paraId="60963422">
      <w:pPr>
        <w:overflowPunct w:val="0"/>
        <w:autoSpaceDE w:val="0"/>
        <w:autoSpaceDN w:val="0"/>
        <w:snapToGrid w:val="0"/>
        <w:spacing w:line="480" w:lineRule="exact"/>
        <w:rPr>
          <w:sz w:val="24"/>
        </w:rPr>
      </w:pPr>
      <w:r>
        <w:rPr>
          <w:rFonts w:hint="eastAsia"/>
          <w:sz w:val="24"/>
        </w:rPr>
        <w:t>1.1 甲方应按乙方要求，认真提供完整的材料、数据，并保证所提供材料的真实性。</w:t>
      </w:r>
    </w:p>
    <w:p w14:paraId="095880F0">
      <w:pPr>
        <w:overflowPunct w:val="0"/>
        <w:autoSpaceDE w:val="0"/>
        <w:autoSpaceDN w:val="0"/>
        <w:snapToGrid w:val="0"/>
        <w:spacing w:line="480" w:lineRule="exact"/>
        <w:rPr>
          <w:rFonts w:hint="eastAsia"/>
          <w:sz w:val="24"/>
          <w:lang w:eastAsia="zh-CN"/>
        </w:rPr>
      </w:pPr>
      <w:r>
        <w:rPr>
          <w:rFonts w:hint="eastAsia"/>
          <w:sz w:val="24"/>
        </w:rPr>
        <w:t>1.2 甲方应指定专门人员与乙</w:t>
      </w:r>
      <w:r>
        <w:rPr>
          <w:rFonts w:hint="eastAsia"/>
          <w:sz w:val="24"/>
          <w:lang w:val="en-US" w:eastAsia="zh-CN"/>
        </w:rPr>
        <w:t>方</w:t>
      </w:r>
      <w:r>
        <w:rPr>
          <w:rFonts w:hint="eastAsia"/>
          <w:sz w:val="24"/>
        </w:rPr>
        <w:t>对接，并</w:t>
      </w:r>
      <w:r>
        <w:rPr>
          <w:rFonts w:hint="eastAsia"/>
          <w:sz w:val="24"/>
          <w:lang w:val="en-US" w:eastAsia="zh-CN"/>
        </w:rPr>
        <w:t>按规定时间提供</w:t>
      </w:r>
      <w:r>
        <w:rPr>
          <w:rFonts w:hint="eastAsia"/>
          <w:sz w:val="24"/>
        </w:rPr>
        <w:t>资料清</w:t>
      </w:r>
      <w:r>
        <w:rPr>
          <w:rFonts w:hint="eastAsia"/>
          <w:sz w:val="24"/>
          <w:lang w:val="en-US" w:eastAsia="zh-CN"/>
        </w:rPr>
        <w:t>单上的</w:t>
      </w:r>
      <w:r>
        <w:rPr>
          <w:rFonts w:hint="eastAsia"/>
          <w:sz w:val="24"/>
        </w:rPr>
        <w:t>基础</w:t>
      </w:r>
      <w:r>
        <w:rPr>
          <w:rFonts w:hint="eastAsia"/>
          <w:sz w:val="24"/>
          <w:lang w:val="en-US" w:eastAsia="zh-CN"/>
        </w:rPr>
        <w:t>材料</w:t>
      </w:r>
      <w:r>
        <w:rPr>
          <w:rFonts w:hint="eastAsia"/>
          <w:sz w:val="24"/>
          <w:lang w:eastAsia="zh-CN"/>
        </w:rPr>
        <w:t>。</w:t>
      </w:r>
    </w:p>
    <w:p w14:paraId="38F5B85A">
      <w:pPr>
        <w:overflowPunct w:val="0"/>
        <w:autoSpaceDE w:val="0"/>
        <w:autoSpaceDN w:val="0"/>
        <w:snapToGrid w:val="0"/>
        <w:spacing w:line="480" w:lineRule="exact"/>
        <w:rPr>
          <w:sz w:val="24"/>
        </w:rPr>
      </w:pPr>
      <w:r>
        <w:rPr>
          <w:rFonts w:hint="eastAsia"/>
          <w:sz w:val="24"/>
        </w:rPr>
        <w:t>1.3 甲方有义务按协议书之付费条款按时足额支付乙方相关服务费。</w:t>
      </w:r>
    </w:p>
    <w:p w14:paraId="0749F436">
      <w:pPr>
        <w:overflowPunct w:val="0"/>
        <w:autoSpaceDE w:val="0"/>
        <w:autoSpaceDN w:val="0"/>
        <w:snapToGrid w:val="0"/>
        <w:spacing w:line="480" w:lineRule="exact"/>
        <w:rPr>
          <w:rFonts w:hint="eastAsia" w:eastAsia="宋体" w:cs="Times New Roman"/>
          <w:sz w:val="24"/>
          <w:lang w:eastAsia="zh-CN"/>
        </w:rPr>
      </w:pPr>
      <w:r>
        <w:rPr>
          <w:rFonts w:hint="eastAsia"/>
          <w:sz w:val="24"/>
        </w:rPr>
        <w:t>1.4</w:t>
      </w:r>
      <w:r>
        <w:rPr>
          <w:sz w:val="24"/>
        </w:rPr>
        <w:t xml:space="preserve"> </w:t>
      </w:r>
      <w:r>
        <w:rPr>
          <w:rFonts w:hint="eastAsia" w:eastAsia="宋体" w:cs="Times New Roman"/>
          <w:sz w:val="24"/>
        </w:rPr>
        <w:t>甲方需提供符合高新技术企业认定工作指引要求的各项目的研发费用辅助账表。</w:t>
      </w:r>
    </w:p>
    <w:p w14:paraId="211BB8F0">
      <w:pPr>
        <w:overflowPunct w:val="0"/>
        <w:autoSpaceDE w:val="0"/>
        <w:autoSpaceDN w:val="0"/>
        <w:snapToGrid w:val="0"/>
        <w:spacing w:line="480" w:lineRule="exact"/>
      </w:pPr>
      <w:r>
        <w:rPr>
          <w:rFonts w:hint="eastAsia" w:eastAsia="宋体" w:cs="Times New Roman"/>
          <w:sz w:val="24"/>
          <w:lang w:val="en-US" w:eastAsia="zh-CN"/>
        </w:rPr>
        <w:t>1.</w:t>
      </w:r>
      <w:r>
        <w:rPr>
          <w:rFonts w:hint="eastAsia" w:cs="Times New Roman"/>
          <w:sz w:val="24"/>
          <w:lang w:val="en-US" w:eastAsia="zh-CN"/>
        </w:rPr>
        <w:t>5</w:t>
      </w:r>
      <w:r>
        <w:rPr>
          <w:rFonts w:hint="eastAsia" w:eastAsia="宋体" w:cs="Times New Roman"/>
          <w:sz w:val="24"/>
          <w:lang w:val="en-US" w:eastAsia="zh-CN"/>
        </w:rPr>
        <w:t xml:space="preserve"> </w:t>
      </w:r>
      <w:r>
        <w:rPr>
          <w:rFonts w:hint="eastAsia" w:eastAsia="宋体" w:cs="Times New Roman"/>
          <w:sz w:val="24"/>
        </w:rPr>
        <w:t>甲方须向乙方保证所提供的相关文件及证明材料真实有效。若因甲方未能按上述要求提供材料而造成</w:t>
      </w:r>
      <w:r>
        <w:rPr>
          <w:rFonts w:hint="eastAsia" w:eastAsia="宋体" w:cs="Times New Roman"/>
          <w:sz w:val="24"/>
          <w:lang w:val="en-US" w:eastAsia="zh-CN"/>
        </w:rPr>
        <w:t>认定</w:t>
      </w:r>
      <w:r>
        <w:rPr>
          <w:rFonts w:hint="eastAsia" w:eastAsia="宋体" w:cs="Times New Roman"/>
          <w:sz w:val="24"/>
        </w:rPr>
        <w:t>事务无法继续进行、延期办理或丧失权利的，相应责任由甲方自行承担。</w:t>
      </w:r>
    </w:p>
    <w:p w14:paraId="2E8BE1FB">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2、乙方的责任和义务</w:t>
      </w:r>
    </w:p>
    <w:p w14:paraId="0FEF7283">
      <w:pPr>
        <w:overflowPunct w:val="0"/>
        <w:autoSpaceDE w:val="0"/>
        <w:autoSpaceDN w:val="0"/>
        <w:snapToGrid w:val="0"/>
        <w:spacing w:line="480" w:lineRule="exact"/>
        <w:rPr>
          <w:sz w:val="24"/>
        </w:rPr>
      </w:pPr>
      <w:r>
        <w:rPr>
          <w:rFonts w:hint="eastAsia"/>
          <w:sz w:val="24"/>
        </w:rPr>
        <w:t>2.1 乙方严格按照高新技术企业申报要求，对甲方提供的各类材料进行组织和整理，即包括：</w:t>
      </w:r>
    </w:p>
    <w:p w14:paraId="3FBBA4F5">
      <w:pPr>
        <w:overflowPunct w:val="0"/>
        <w:autoSpaceDE w:val="0"/>
        <w:autoSpaceDN w:val="0"/>
        <w:snapToGrid w:val="0"/>
        <w:spacing w:line="480" w:lineRule="exact"/>
        <w:ind w:firstLine="480" w:firstLineChars="200"/>
        <w:rPr>
          <w:sz w:val="24"/>
        </w:rPr>
      </w:pPr>
      <w:r>
        <w:rPr>
          <w:rFonts w:hint="eastAsia"/>
          <w:sz w:val="24"/>
        </w:rPr>
        <w:t>组织召开高新认定启动会，企业现状分析、申报方案策划与建议、整体方案设计、成果转化方案设计、撰写申报书、对外开放平台的设计、知识产权与高新收入的逻辑关系判定与设计、高新申报整套材料逻辑关系设计、各项制度规范化撰写调整，RD、PS等相关文件的撰写及整理、研发费归集指导、财务疑难问题分析等高新申请材料的填写编制、网上提交、材料装订上报以及后期持续状态跟踪，确保甲方顺利取得资质。</w:t>
      </w:r>
    </w:p>
    <w:p w14:paraId="077C704B">
      <w:pPr>
        <w:shd w:val="clear"/>
        <w:overflowPunct w:val="0"/>
        <w:autoSpaceDE w:val="0"/>
        <w:autoSpaceDN w:val="0"/>
        <w:snapToGrid w:val="0"/>
        <w:spacing w:line="480" w:lineRule="exact"/>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提供符合资质要求的中介机构出</w:t>
      </w:r>
      <w:r>
        <w:rPr>
          <w:rFonts w:hint="eastAsia"/>
          <w:color w:val="auto"/>
          <w:sz w:val="24"/>
          <w:highlight w:val="none"/>
          <w:shd w:val="clear"/>
          <w:lang w:val="en-US" w:eastAsia="zh-CN"/>
        </w:rPr>
        <w:t>具高新专项审计报告（上年度高新收入专项审计报告和近三年研发费用专项审计报告），2022.2023.2024年的三年年度审计报告。甲方明确，审计报告服务由有资质的第三</w:t>
      </w:r>
      <w:r>
        <w:rPr>
          <w:rFonts w:hint="eastAsia"/>
          <w:color w:val="auto"/>
          <w:sz w:val="24"/>
          <w:highlight w:val="none"/>
          <w:lang w:val="en-US" w:eastAsia="zh-CN"/>
        </w:rPr>
        <w:t>方主体提供服务，乙方作为北京市中小企业公共服务示范平台，服务费通过代收代付方式，由乙方分别支付给相应的第三方机构。</w:t>
      </w:r>
    </w:p>
    <w:p w14:paraId="71A8A50B">
      <w:pPr>
        <w:overflowPunct w:val="0"/>
        <w:autoSpaceDE w:val="0"/>
        <w:autoSpaceDN w:val="0"/>
        <w:snapToGrid w:val="0"/>
        <w:spacing w:line="480" w:lineRule="exact"/>
        <w:rPr>
          <w:sz w:val="24"/>
        </w:rPr>
      </w:pPr>
      <w:r>
        <w:rPr>
          <w:rFonts w:hint="eastAsia"/>
          <w:sz w:val="24"/>
        </w:rPr>
        <w:t>2.2 甲方的高新技术企业认定在官方网站“高新技术企业认定管理工作网：</w:t>
      </w:r>
      <w:r>
        <w:fldChar w:fldCharType="begin"/>
      </w:r>
      <w:r>
        <w:instrText xml:space="preserve"> HYPERLINK "http://www.innocom.gov.cn" </w:instrText>
      </w:r>
      <w:r>
        <w:fldChar w:fldCharType="separate"/>
      </w:r>
      <w:r>
        <w:rPr>
          <w:rFonts w:hint="eastAsia"/>
          <w:sz w:val="24"/>
        </w:rPr>
        <w:t>www.innocom.gov.cn</w:t>
      </w:r>
      <w:r>
        <w:rPr>
          <w:rFonts w:hint="eastAsia"/>
          <w:sz w:val="24"/>
        </w:rPr>
        <w:fldChar w:fldCharType="end"/>
      </w:r>
      <w:r>
        <w:rPr>
          <w:rFonts w:hint="eastAsia"/>
          <w:sz w:val="24"/>
        </w:rPr>
        <w:t>”公示</w:t>
      </w:r>
      <w:r>
        <w:rPr>
          <w:rFonts w:hint="eastAsia" w:ascii="宋体" w:hAnsi="宋体" w:cs="宋体"/>
          <w:sz w:val="24"/>
        </w:rPr>
        <w:t>7</w:t>
      </w:r>
      <w:r>
        <w:rPr>
          <w:rFonts w:hint="eastAsia"/>
          <w:sz w:val="24"/>
        </w:rPr>
        <w:t>个工作日无异议，视为乙方圆满完成技术咨询服务，乙方应以书面和电子文档形式各提交一份完整的项目申报资料，交于甲方存档备案。</w:t>
      </w:r>
    </w:p>
    <w:p w14:paraId="2DAC8FC9">
      <w:pPr>
        <w:overflowPunct w:val="0"/>
        <w:autoSpaceDE w:val="0"/>
        <w:autoSpaceDN w:val="0"/>
        <w:snapToGrid w:val="0"/>
        <w:spacing w:line="480" w:lineRule="exact"/>
        <w:rPr>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14:paraId="48C0F5F3">
      <w:pPr>
        <w:overflowPunct w:val="0"/>
        <w:autoSpaceDE w:val="0"/>
        <w:autoSpaceDN w:val="0"/>
        <w:snapToGrid w:val="0"/>
        <w:spacing w:line="480" w:lineRule="exact"/>
        <w:rPr>
          <w:sz w:val="24"/>
        </w:rPr>
      </w:pPr>
      <w:r>
        <w:rPr>
          <w:rFonts w:hint="eastAsia"/>
          <w:sz w:val="24"/>
        </w:rPr>
        <w:t>2.4 乙方在提供咨询服务及代理申报过程中应当谨慎行事，妥善保管甲方提交的材料，防止丢失、毁损，并及时制定方案、提交申请。</w:t>
      </w:r>
    </w:p>
    <w:p w14:paraId="7917D0E8">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3、费用的支付</w:t>
      </w:r>
    </w:p>
    <w:p w14:paraId="7E42584F">
      <w:pPr>
        <w:overflowPunct w:val="0"/>
        <w:autoSpaceDE w:val="0"/>
        <w:autoSpaceDN w:val="0"/>
        <w:snapToGrid w:val="0"/>
        <w:spacing w:line="480" w:lineRule="exact"/>
        <w:rPr>
          <w:sz w:val="24"/>
        </w:rPr>
      </w:pPr>
      <w:r>
        <w:rPr>
          <w:rFonts w:hint="eastAsia"/>
          <w:sz w:val="24"/>
        </w:rPr>
        <w:t>3.1 本协议所涉及的一切费用，采用汇款或支票方式支付；</w:t>
      </w:r>
    </w:p>
    <w:p w14:paraId="0B28C6F0">
      <w:pPr>
        <w:overflowPunct w:val="0"/>
        <w:autoSpaceDE w:val="0"/>
        <w:autoSpaceDN w:val="0"/>
        <w:snapToGrid w:val="0"/>
        <w:spacing w:line="480" w:lineRule="exact"/>
        <w:rPr>
          <w:sz w:val="24"/>
        </w:rPr>
      </w:pPr>
      <w:r>
        <w:rPr>
          <w:rFonts w:hint="eastAsia"/>
          <w:sz w:val="24"/>
        </w:rPr>
        <w:t>3.2 双方协商确定本协议项目的服务内容及收费标准，内容如下：</w:t>
      </w:r>
      <w:r>
        <w:rPr>
          <w:rFonts w:hint="eastAsia"/>
          <w:sz w:val="24"/>
          <w:shd w:val="clear"/>
        </w:rPr>
        <w:t>（其中审计报告</w:t>
      </w:r>
      <w:r>
        <w:rPr>
          <w:rFonts w:hint="eastAsia"/>
          <w:sz w:val="24"/>
          <w:shd w:val="clear"/>
          <w:lang w:val="en-US" w:eastAsia="zh-CN"/>
        </w:rPr>
        <w:t>费用</w:t>
      </w:r>
      <w:r>
        <w:rPr>
          <w:rFonts w:hint="eastAsia"/>
          <w:sz w:val="24"/>
          <w:shd w:val="clear"/>
        </w:rPr>
        <w:t>由乙方</w:t>
      </w:r>
      <w:r>
        <w:rPr>
          <w:rFonts w:hint="eastAsia"/>
          <w:sz w:val="24"/>
          <w:shd w:val="clear"/>
          <w:lang w:val="en-US" w:eastAsia="zh-CN"/>
        </w:rPr>
        <w:t>代收代付</w:t>
      </w:r>
      <w:r>
        <w:rPr>
          <w:rFonts w:hint="eastAsia"/>
          <w:sz w:val="24"/>
          <w:shd w:val="clear"/>
        </w:rPr>
        <w:t>）</w:t>
      </w:r>
    </w:p>
    <w:tbl>
      <w:tblPr>
        <w:tblStyle w:val="11"/>
        <w:tblpPr w:leftFromText="180" w:rightFromText="180" w:vertAnchor="text" w:horzAnchor="page" w:tblpXSpec="center" w:tblpY="374"/>
        <w:tblOverlap w:val="never"/>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15"/>
        <w:gridCol w:w="2772"/>
        <w:gridCol w:w="1155"/>
        <w:gridCol w:w="2856"/>
      </w:tblGrid>
      <w:tr w14:paraId="2A63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199" w:type="dxa"/>
            <w:vAlign w:val="center"/>
          </w:tcPr>
          <w:p w14:paraId="73A5C36F">
            <w:pPr>
              <w:jc w:val="center"/>
              <w:rPr>
                <w:rFonts w:ascii="宋体" w:hAnsi="宋体" w:cs="宋体"/>
                <w:b/>
                <w:bCs/>
                <w:szCs w:val="21"/>
              </w:rPr>
            </w:pPr>
            <w:r>
              <w:rPr>
                <w:rFonts w:hint="eastAsia" w:ascii="宋体" w:hAnsi="宋体" w:cs="宋体"/>
                <w:b/>
                <w:bCs/>
                <w:szCs w:val="21"/>
                <w:shd w:val="clear" w:fill="000000"/>
              </w:rPr>
              <w:t>项目</w:t>
            </w:r>
          </w:p>
        </w:tc>
        <w:tc>
          <w:tcPr>
            <w:tcW w:w="1415" w:type="dxa"/>
            <w:vAlign w:val="center"/>
          </w:tcPr>
          <w:p w14:paraId="554DAE90">
            <w:pPr>
              <w:jc w:val="center"/>
              <w:rPr>
                <w:rFonts w:ascii="宋体" w:hAnsi="宋体" w:cs="宋体"/>
                <w:b/>
                <w:bCs/>
                <w:szCs w:val="21"/>
              </w:rPr>
            </w:pPr>
            <w:r>
              <w:rPr>
                <w:rFonts w:hint="eastAsia" w:ascii="宋体" w:hAnsi="宋体" w:cs="宋体"/>
                <w:b/>
                <w:bCs/>
                <w:szCs w:val="21"/>
              </w:rPr>
              <w:t>名称</w:t>
            </w:r>
          </w:p>
        </w:tc>
        <w:tc>
          <w:tcPr>
            <w:tcW w:w="2772" w:type="dxa"/>
            <w:vAlign w:val="center"/>
          </w:tcPr>
          <w:p w14:paraId="1716A4E9">
            <w:pPr>
              <w:jc w:val="center"/>
              <w:rPr>
                <w:rFonts w:ascii="宋体" w:hAnsi="宋体" w:cs="宋体"/>
                <w:b/>
                <w:bCs/>
                <w:szCs w:val="21"/>
              </w:rPr>
            </w:pPr>
            <w:r>
              <w:rPr>
                <w:rFonts w:hint="eastAsia"/>
                <w:b/>
                <w:bCs/>
                <w:szCs w:val="21"/>
              </w:rPr>
              <w:t>包含内容</w:t>
            </w:r>
          </w:p>
        </w:tc>
        <w:tc>
          <w:tcPr>
            <w:tcW w:w="1155" w:type="dxa"/>
            <w:vAlign w:val="center"/>
          </w:tcPr>
          <w:p w14:paraId="33D94E79">
            <w:pPr>
              <w:jc w:val="center"/>
              <w:rPr>
                <w:rFonts w:ascii="宋体" w:hAnsi="宋体" w:cs="宋体"/>
                <w:b/>
                <w:bCs/>
                <w:szCs w:val="21"/>
              </w:rPr>
            </w:pPr>
            <w:r>
              <w:rPr>
                <w:rFonts w:hint="eastAsia" w:ascii="宋体" w:hAnsi="宋体" w:cs="宋体"/>
                <w:b/>
                <w:bCs/>
                <w:szCs w:val="21"/>
              </w:rPr>
              <w:t>价格</w:t>
            </w:r>
          </w:p>
        </w:tc>
        <w:tc>
          <w:tcPr>
            <w:tcW w:w="2856" w:type="dxa"/>
            <w:vAlign w:val="center"/>
          </w:tcPr>
          <w:p w14:paraId="0029E9D1">
            <w:pPr>
              <w:jc w:val="center"/>
              <w:rPr>
                <w:rFonts w:ascii="宋体" w:hAnsi="宋体" w:cs="宋体"/>
                <w:b/>
                <w:bCs/>
                <w:szCs w:val="21"/>
              </w:rPr>
            </w:pPr>
            <w:r>
              <w:rPr>
                <w:rFonts w:hint="eastAsia" w:ascii="宋体" w:hAnsi="宋体" w:cs="宋体"/>
                <w:b/>
                <w:bCs/>
                <w:szCs w:val="21"/>
              </w:rPr>
              <w:t>备注</w:t>
            </w:r>
          </w:p>
        </w:tc>
      </w:tr>
    </w:tbl>
    <w:p w14:paraId="2D8E5CDD"/>
    <w:tbl>
      <w:tblPr>
        <w:tblStyle w:val="11"/>
        <w:tblpPr w:leftFromText="180" w:rightFromText="180" w:vertAnchor="text" w:horzAnchor="page" w:tblpXSpec="center" w:tblpY="1308"/>
        <w:tblOverlap w:val="never"/>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401"/>
        <w:gridCol w:w="2772"/>
        <w:gridCol w:w="1155"/>
        <w:gridCol w:w="2856"/>
      </w:tblGrid>
      <w:tr w14:paraId="496C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13" w:type="dxa"/>
            <w:vMerge w:val="restart"/>
            <w:vAlign w:val="center"/>
          </w:tcPr>
          <w:p w14:paraId="10688A55">
            <w:pPr>
              <w:jc w:val="center"/>
              <w:rPr>
                <w:rFonts w:ascii="宋体" w:hAnsi="宋体" w:cs="宋体"/>
                <w:szCs w:val="21"/>
              </w:rPr>
            </w:pPr>
            <w:r>
              <w:rPr>
                <w:rFonts w:hint="eastAsia" w:ascii="宋体" w:hAnsi="宋体" w:cs="宋体"/>
                <w:szCs w:val="21"/>
              </w:rPr>
              <w:t>高新技术企业认定</w:t>
            </w:r>
          </w:p>
          <w:p w14:paraId="299EA2A0">
            <w:pPr>
              <w:jc w:val="center"/>
              <w:rPr>
                <w:rFonts w:ascii="宋体" w:hAnsi="宋体" w:cs="宋体"/>
                <w:szCs w:val="21"/>
              </w:rPr>
            </w:pPr>
          </w:p>
        </w:tc>
        <w:tc>
          <w:tcPr>
            <w:tcW w:w="1401" w:type="dxa"/>
            <w:vAlign w:val="center"/>
          </w:tcPr>
          <w:p w14:paraId="15E80B38">
            <w:pPr>
              <w:jc w:val="center"/>
              <w:rPr>
                <w:rFonts w:ascii="宋体" w:hAnsi="宋体" w:cs="宋体"/>
                <w:szCs w:val="21"/>
              </w:rPr>
            </w:pPr>
            <w:r>
              <w:rPr>
                <w:rFonts w:hint="eastAsia" w:ascii="宋体" w:hAnsi="宋体" w:cs="宋体"/>
                <w:szCs w:val="21"/>
              </w:rPr>
              <w:t>高新材料撰写服务</w:t>
            </w:r>
          </w:p>
        </w:tc>
        <w:tc>
          <w:tcPr>
            <w:tcW w:w="2772" w:type="dxa"/>
            <w:vAlign w:val="center"/>
          </w:tcPr>
          <w:p w14:paraId="328BCC5F">
            <w:pPr>
              <w:jc w:val="left"/>
              <w:rPr>
                <w:rFonts w:ascii="宋体" w:hAnsi="宋体" w:cs="宋体"/>
                <w:szCs w:val="21"/>
              </w:rPr>
            </w:pPr>
            <w:r>
              <w:rPr>
                <w:rFonts w:hint="eastAsia" w:ascii="宋体" w:hAnsi="宋体" w:cs="宋体"/>
                <w:szCs w:val="21"/>
              </w:rPr>
              <w:t>包含，材料的整理，制作，网上填报等。</w:t>
            </w:r>
          </w:p>
        </w:tc>
        <w:tc>
          <w:tcPr>
            <w:tcW w:w="1155" w:type="dxa"/>
            <w:vAlign w:val="center"/>
          </w:tcPr>
          <w:p w14:paraId="776FF1C0">
            <w:pPr>
              <w:jc w:val="center"/>
              <w:rPr>
                <w:rFonts w:ascii="宋体" w:hAnsi="宋体" w:cs="宋体"/>
                <w:szCs w:val="21"/>
              </w:rPr>
            </w:pPr>
            <w:r>
              <w:rPr>
                <w:rFonts w:hint="eastAsia" w:ascii="宋体" w:hAnsi="宋体" w:cs="宋体"/>
                <w:szCs w:val="21"/>
              </w:rPr>
              <w:t>10000元</w:t>
            </w:r>
          </w:p>
        </w:tc>
        <w:tc>
          <w:tcPr>
            <w:tcW w:w="2856" w:type="dxa"/>
            <w:vAlign w:val="center"/>
          </w:tcPr>
          <w:p w14:paraId="3E6E4B91">
            <w:pPr>
              <w:jc w:val="center"/>
              <w:rPr>
                <w:rFonts w:hint="eastAsia" w:ascii="宋体" w:hAnsi="宋体" w:cs="宋体"/>
                <w:szCs w:val="21"/>
                <w:lang w:val="en-US" w:eastAsia="zh-CN"/>
              </w:rPr>
            </w:pPr>
            <w:r>
              <w:rPr>
                <w:rFonts w:hint="eastAsia" w:ascii="宋体" w:hAnsi="宋体" w:cs="宋体"/>
                <w:szCs w:val="21"/>
                <w:lang w:val="en-US" w:eastAsia="zh-CN"/>
              </w:rPr>
              <w:t>高新代理服务</w:t>
            </w:r>
          </w:p>
          <w:p w14:paraId="65930772">
            <w:pPr>
              <w:jc w:val="center"/>
              <w:rPr>
                <w:rFonts w:ascii="宋体" w:hAnsi="宋体" w:cs="宋体"/>
                <w:szCs w:val="21"/>
              </w:rPr>
            </w:pPr>
            <w:r>
              <w:rPr>
                <w:rFonts w:hint="eastAsia" w:ascii="宋体" w:hAnsi="宋体" w:cs="宋体"/>
                <w:szCs w:val="21"/>
              </w:rPr>
              <w:t>认定通过后付费</w:t>
            </w:r>
          </w:p>
        </w:tc>
      </w:tr>
      <w:tr w14:paraId="600F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13" w:type="dxa"/>
            <w:vMerge w:val="continue"/>
            <w:vAlign w:val="center"/>
          </w:tcPr>
          <w:p w14:paraId="4FF04FE0">
            <w:pPr>
              <w:jc w:val="center"/>
              <w:rPr>
                <w:rFonts w:ascii="宋体" w:hAnsi="宋体" w:cs="宋体"/>
                <w:szCs w:val="21"/>
              </w:rPr>
            </w:pPr>
          </w:p>
        </w:tc>
        <w:tc>
          <w:tcPr>
            <w:tcW w:w="1401" w:type="dxa"/>
            <w:vAlign w:val="center"/>
          </w:tcPr>
          <w:p w14:paraId="5B7687BB">
            <w:pPr>
              <w:jc w:val="center"/>
              <w:rPr>
                <w:rFonts w:hint="default" w:ascii="宋体" w:hAnsi="宋体" w:eastAsia="宋体" w:cs="宋体"/>
                <w:szCs w:val="21"/>
                <w:lang w:val="en-US" w:eastAsia="zh-CN"/>
              </w:rPr>
            </w:pPr>
            <w:r>
              <w:rPr>
                <w:rFonts w:hint="eastAsia" w:ascii="宋体" w:hAnsi="宋体" w:cs="宋体"/>
                <w:szCs w:val="21"/>
                <w:lang w:val="en-US" w:eastAsia="zh-CN"/>
              </w:rPr>
              <w:t>企业财务年度审计报告</w:t>
            </w:r>
          </w:p>
        </w:tc>
        <w:tc>
          <w:tcPr>
            <w:tcW w:w="2772" w:type="dxa"/>
            <w:vAlign w:val="center"/>
          </w:tcPr>
          <w:p w14:paraId="036DB5C5">
            <w:pPr>
              <w:jc w:val="left"/>
              <w:rPr>
                <w:rFonts w:hint="default" w:ascii="宋体" w:hAnsi="宋体" w:eastAsia="宋体" w:cs="宋体"/>
                <w:szCs w:val="21"/>
                <w:lang w:val="en-US" w:eastAsia="zh-CN"/>
              </w:rPr>
            </w:pPr>
            <w:r>
              <w:rPr>
                <w:rFonts w:hint="eastAsia" w:ascii="宋体" w:hAnsi="宋体" w:cs="宋体"/>
                <w:szCs w:val="21"/>
                <w:lang w:val="en-US" w:eastAsia="zh-CN"/>
              </w:rPr>
              <w:t>2022.2023.2024年财务年度审计报告</w:t>
            </w:r>
          </w:p>
        </w:tc>
        <w:tc>
          <w:tcPr>
            <w:tcW w:w="1155" w:type="dxa"/>
            <w:vAlign w:val="center"/>
          </w:tcPr>
          <w:p w14:paraId="77C8B3C2">
            <w:pPr>
              <w:jc w:val="center"/>
              <w:rPr>
                <w:rFonts w:hint="default" w:ascii="宋体" w:hAnsi="宋体" w:eastAsia="宋体" w:cs="宋体"/>
                <w:szCs w:val="21"/>
                <w:lang w:val="en-US" w:eastAsia="zh-CN"/>
              </w:rPr>
            </w:pPr>
            <w:r>
              <w:rPr>
                <w:rFonts w:hint="eastAsia" w:ascii="宋体" w:hAnsi="宋体" w:cs="宋体"/>
                <w:szCs w:val="21"/>
                <w:lang w:val="en-US" w:eastAsia="zh-CN"/>
              </w:rPr>
              <w:t>10000元</w:t>
            </w:r>
          </w:p>
        </w:tc>
        <w:tc>
          <w:tcPr>
            <w:tcW w:w="2856" w:type="dxa"/>
            <w:vAlign w:val="center"/>
          </w:tcPr>
          <w:p w14:paraId="6A9E3FEE">
            <w:pPr>
              <w:jc w:val="center"/>
              <w:rPr>
                <w:rFonts w:hint="default" w:ascii="宋体" w:hAnsi="宋体" w:eastAsia="宋体" w:cs="宋体"/>
                <w:szCs w:val="21"/>
                <w:lang w:val="en-US" w:eastAsia="zh-CN"/>
              </w:rPr>
            </w:pPr>
            <w:r>
              <w:rPr>
                <w:rFonts w:hint="eastAsia" w:ascii="宋体" w:hAnsi="宋体" w:cs="宋体"/>
                <w:szCs w:val="21"/>
                <w:lang w:val="en-US" w:eastAsia="zh-CN"/>
              </w:rPr>
              <w:t>出报告后付款</w:t>
            </w:r>
          </w:p>
        </w:tc>
      </w:tr>
      <w:tr w14:paraId="4D5A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13" w:type="dxa"/>
            <w:vMerge w:val="continue"/>
            <w:vAlign w:val="center"/>
          </w:tcPr>
          <w:p w14:paraId="411BFB9F">
            <w:pPr>
              <w:jc w:val="center"/>
              <w:rPr>
                <w:rFonts w:ascii="宋体" w:hAnsi="宋体" w:cs="宋体"/>
                <w:szCs w:val="21"/>
              </w:rPr>
            </w:pPr>
          </w:p>
        </w:tc>
        <w:tc>
          <w:tcPr>
            <w:tcW w:w="1401" w:type="dxa"/>
            <w:vAlign w:val="center"/>
          </w:tcPr>
          <w:p w14:paraId="6267CAB3">
            <w:pPr>
              <w:jc w:val="center"/>
              <w:rPr>
                <w:rFonts w:ascii="宋体" w:hAnsi="宋体" w:cs="宋体"/>
                <w:szCs w:val="21"/>
              </w:rPr>
            </w:pPr>
            <w:r>
              <w:rPr>
                <w:rFonts w:hint="eastAsia" w:ascii="宋体" w:hAnsi="宋体" w:cs="宋体"/>
                <w:szCs w:val="21"/>
              </w:rPr>
              <w:t>高新专项审计报告</w:t>
            </w:r>
          </w:p>
        </w:tc>
        <w:tc>
          <w:tcPr>
            <w:tcW w:w="2772" w:type="dxa"/>
            <w:vAlign w:val="center"/>
          </w:tcPr>
          <w:p w14:paraId="3EE5F63D">
            <w:pPr>
              <w:jc w:val="left"/>
              <w:rPr>
                <w:rFonts w:ascii="宋体" w:hAnsi="宋体" w:cs="宋体"/>
                <w:szCs w:val="21"/>
              </w:rPr>
            </w:pPr>
            <w:r>
              <w:rPr>
                <w:rFonts w:hint="eastAsia" w:ascii="宋体" w:hAnsi="宋体" w:cs="宋体"/>
                <w:szCs w:val="21"/>
              </w:rPr>
              <w:t>包含近3年研发费审计和近一年高新收入审计</w:t>
            </w:r>
          </w:p>
        </w:tc>
        <w:tc>
          <w:tcPr>
            <w:tcW w:w="1155" w:type="dxa"/>
            <w:vAlign w:val="center"/>
          </w:tcPr>
          <w:p w14:paraId="544F9220">
            <w:pPr>
              <w:jc w:val="center"/>
              <w:rPr>
                <w:rFonts w:ascii="宋体" w:hAnsi="宋体" w:cs="宋体"/>
                <w:szCs w:val="21"/>
              </w:rPr>
            </w:pPr>
            <w:r>
              <w:rPr>
                <w:rFonts w:hint="eastAsia" w:ascii="宋体" w:hAnsi="宋体" w:cs="宋体"/>
                <w:szCs w:val="21"/>
              </w:rPr>
              <w:t>10000元</w:t>
            </w:r>
          </w:p>
        </w:tc>
        <w:tc>
          <w:tcPr>
            <w:tcW w:w="2856" w:type="dxa"/>
            <w:vAlign w:val="center"/>
          </w:tcPr>
          <w:p w14:paraId="0074AFF5">
            <w:pPr>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年研究开发费用审计报告、202</w:t>
            </w:r>
            <w:r>
              <w:rPr>
                <w:rFonts w:hint="eastAsia" w:ascii="宋体" w:hAnsi="宋体" w:cs="宋体"/>
                <w:szCs w:val="21"/>
                <w:lang w:val="en-US" w:eastAsia="zh-CN"/>
              </w:rPr>
              <w:t>4</w:t>
            </w:r>
            <w:r>
              <w:rPr>
                <w:rFonts w:hint="eastAsia" w:ascii="宋体" w:hAnsi="宋体" w:cs="宋体"/>
                <w:szCs w:val="21"/>
              </w:rPr>
              <w:t>年高新收入审计报告</w:t>
            </w:r>
          </w:p>
        </w:tc>
      </w:tr>
      <w:tr w14:paraId="6AAE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13" w:type="dxa"/>
            <w:vAlign w:val="center"/>
          </w:tcPr>
          <w:p w14:paraId="228A370C">
            <w:pPr>
              <w:jc w:val="center"/>
              <w:rPr>
                <w:rFonts w:hint="default" w:ascii="宋体" w:hAnsi="宋体" w:eastAsia="宋体" w:cs="宋体"/>
                <w:szCs w:val="21"/>
                <w:lang w:val="en-US" w:eastAsia="zh-CN"/>
              </w:rPr>
            </w:pPr>
            <w:r>
              <w:rPr>
                <w:rFonts w:hint="eastAsia" w:ascii="宋体" w:hAnsi="宋体" w:cs="宋体"/>
                <w:szCs w:val="21"/>
                <w:lang w:val="en-US" w:eastAsia="zh-CN"/>
              </w:rPr>
              <w:t>科技项目认定</w:t>
            </w:r>
          </w:p>
        </w:tc>
        <w:tc>
          <w:tcPr>
            <w:tcW w:w="1401" w:type="dxa"/>
            <w:vAlign w:val="center"/>
          </w:tcPr>
          <w:p w14:paraId="50B658B4">
            <w:pPr>
              <w:jc w:val="both"/>
              <w:rPr>
                <w:rFonts w:hint="default" w:ascii="宋体" w:hAnsi="宋体" w:eastAsia="宋体" w:cs="宋体"/>
                <w:szCs w:val="21"/>
                <w:lang w:val="en-US" w:eastAsia="zh-CN"/>
              </w:rPr>
            </w:pPr>
            <w:r>
              <w:rPr>
                <w:rFonts w:hint="eastAsia" w:ascii="宋体" w:hAnsi="宋体" w:cs="宋体"/>
                <w:szCs w:val="21"/>
                <w:lang w:val="en-US" w:eastAsia="zh-CN"/>
              </w:rPr>
              <w:t>专精特新中小企业认定</w:t>
            </w:r>
          </w:p>
        </w:tc>
        <w:tc>
          <w:tcPr>
            <w:tcW w:w="2772" w:type="dxa"/>
            <w:vAlign w:val="center"/>
          </w:tcPr>
          <w:p w14:paraId="0690EF63">
            <w:pPr>
              <w:jc w:val="left"/>
              <w:rPr>
                <w:rFonts w:hint="default" w:ascii="宋体" w:hAnsi="宋体" w:eastAsia="宋体" w:cs="宋体"/>
                <w:szCs w:val="21"/>
                <w:lang w:val="en-US" w:eastAsia="zh-CN"/>
              </w:rPr>
            </w:pPr>
            <w:r>
              <w:rPr>
                <w:rFonts w:hint="eastAsia" w:ascii="宋体" w:hAnsi="宋体" w:cs="宋体"/>
                <w:szCs w:val="21"/>
                <w:lang w:val="en-US" w:eastAsia="zh-CN"/>
              </w:rPr>
              <w:t>2025年专精特新中小企业复审</w:t>
            </w:r>
          </w:p>
        </w:tc>
        <w:tc>
          <w:tcPr>
            <w:tcW w:w="1155" w:type="dxa"/>
            <w:vAlign w:val="center"/>
          </w:tcPr>
          <w:p w14:paraId="766091A0">
            <w:pPr>
              <w:jc w:val="center"/>
              <w:rPr>
                <w:rFonts w:hint="default" w:ascii="宋体" w:hAnsi="宋体" w:eastAsia="宋体" w:cs="宋体"/>
                <w:szCs w:val="21"/>
                <w:lang w:val="en-US" w:eastAsia="zh-CN"/>
              </w:rPr>
            </w:pPr>
            <w:r>
              <w:rPr>
                <w:rFonts w:hint="eastAsia" w:ascii="宋体" w:hAnsi="宋体" w:cs="宋体"/>
                <w:szCs w:val="21"/>
                <w:lang w:val="en-US" w:eastAsia="zh-CN"/>
              </w:rPr>
              <w:t>8000元</w:t>
            </w:r>
          </w:p>
        </w:tc>
        <w:tc>
          <w:tcPr>
            <w:tcW w:w="2856" w:type="dxa"/>
            <w:vAlign w:val="center"/>
          </w:tcPr>
          <w:p w14:paraId="3FB67796">
            <w:pPr>
              <w:rPr>
                <w:rFonts w:hint="default" w:ascii="宋体" w:hAnsi="宋体" w:eastAsia="宋体" w:cs="宋体"/>
                <w:szCs w:val="21"/>
                <w:lang w:val="en-US" w:eastAsia="zh-CN"/>
              </w:rPr>
            </w:pPr>
            <w:r>
              <w:rPr>
                <w:rFonts w:hint="eastAsia" w:ascii="宋体" w:hAnsi="宋体" w:cs="宋体"/>
                <w:szCs w:val="21"/>
                <w:lang w:val="en-US" w:eastAsia="zh-CN"/>
              </w:rPr>
              <w:t>公示通过后收费</w:t>
            </w:r>
          </w:p>
        </w:tc>
      </w:tr>
      <w:tr w14:paraId="1A77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13" w:type="dxa"/>
            <w:vAlign w:val="center"/>
          </w:tcPr>
          <w:p w14:paraId="4B93BA8B">
            <w:pPr>
              <w:jc w:val="center"/>
              <w:rPr>
                <w:rFonts w:hint="default" w:ascii="宋体" w:hAnsi="宋体" w:eastAsia="宋体" w:cs="宋体"/>
                <w:szCs w:val="21"/>
                <w:lang w:val="en-US" w:eastAsia="zh-CN"/>
              </w:rPr>
            </w:pPr>
            <w:r>
              <w:rPr>
                <w:rFonts w:hint="eastAsia" w:ascii="宋体" w:hAnsi="宋体" w:cs="宋体"/>
                <w:szCs w:val="21"/>
                <w:lang w:val="en-US" w:eastAsia="zh-CN"/>
              </w:rPr>
              <w:t>科技项目认定</w:t>
            </w:r>
          </w:p>
        </w:tc>
        <w:tc>
          <w:tcPr>
            <w:tcW w:w="1401" w:type="dxa"/>
            <w:vAlign w:val="center"/>
          </w:tcPr>
          <w:p w14:paraId="796F0DFA">
            <w:pPr>
              <w:jc w:val="center"/>
              <w:rPr>
                <w:rFonts w:hint="default" w:ascii="宋体" w:hAnsi="宋体" w:cs="宋体"/>
                <w:szCs w:val="21"/>
                <w:lang w:val="en-US" w:eastAsia="zh-CN"/>
              </w:rPr>
            </w:pPr>
            <w:r>
              <w:rPr>
                <w:rFonts w:hint="eastAsia" w:ascii="宋体" w:hAnsi="宋体" w:cs="宋体"/>
                <w:szCs w:val="21"/>
                <w:lang w:val="en-US" w:eastAsia="zh-CN"/>
              </w:rPr>
              <w:t>新技术新产品（服务）</w:t>
            </w:r>
          </w:p>
        </w:tc>
        <w:tc>
          <w:tcPr>
            <w:tcW w:w="2772" w:type="dxa"/>
            <w:vAlign w:val="center"/>
          </w:tcPr>
          <w:p w14:paraId="1160894F">
            <w:pPr>
              <w:jc w:val="left"/>
              <w:rPr>
                <w:rFonts w:hint="eastAsia" w:ascii="宋体" w:hAnsi="宋体" w:cs="宋体"/>
                <w:szCs w:val="21"/>
              </w:rPr>
            </w:pPr>
            <w:r>
              <w:rPr>
                <w:rFonts w:hint="eastAsia" w:ascii="宋体" w:hAnsi="宋体" w:cs="宋体"/>
                <w:szCs w:val="21"/>
              </w:rPr>
              <w:t>材料的整理，制作，网上填报等</w:t>
            </w:r>
          </w:p>
        </w:tc>
        <w:tc>
          <w:tcPr>
            <w:tcW w:w="1155" w:type="dxa"/>
            <w:vAlign w:val="center"/>
          </w:tcPr>
          <w:p w14:paraId="7A62C7D2">
            <w:pPr>
              <w:jc w:val="center"/>
              <w:rPr>
                <w:rFonts w:hint="default" w:ascii="宋体" w:hAnsi="宋体" w:eastAsia="宋体" w:cs="宋体"/>
                <w:szCs w:val="21"/>
                <w:lang w:val="en-US" w:eastAsia="zh-CN"/>
              </w:rPr>
            </w:pPr>
            <w:r>
              <w:rPr>
                <w:rFonts w:hint="eastAsia" w:ascii="宋体" w:hAnsi="宋体" w:cs="宋体"/>
                <w:szCs w:val="21"/>
                <w:lang w:val="en-US" w:eastAsia="zh-CN"/>
              </w:rPr>
              <w:t>3500元/件</w:t>
            </w:r>
          </w:p>
        </w:tc>
        <w:tc>
          <w:tcPr>
            <w:tcW w:w="2856" w:type="dxa"/>
            <w:vAlign w:val="center"/>
          </w:tcPr>
          <w:p w14:paraId="7D77BB80">
            <w:pPr>
              <w:rPr>
                <w:rFonts w:hint="default" w:ascii="宋体" w:hAnsi="宋体" w:eastAsia="宋体" w:cs="宋体"/>
                <w:szCs w:val="21"/>
                <w:lang w:val="en-US" w:eastAsia="zh-CN"/>
              </w:rPr>
            </w:pPr>
            <w:r>
              <w:rPr>
                <w:rFonts w:hint="eastAsia" w:ascii="宋体" w:hAnsi="宋体" w:cs="宋体"/>
                <w:szCs w:val="21"/>
                <w:lang w:val="en-US" w:eastAsia="zh-CN"/>
              </w:rPr>
              <w:t>公示通过后付款（以实际通过数量为准）</w:t>
            </w:r>
          </w:p>
        </w:tc>
      </w:tr>
      <w:tr w14:paraId="540B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13" w:type="dxa"/>
            <w:vAlign w:val="center"/>
          </w:tcPr>
          <w:p w14:paraId="71DA1EC1">
            <w:pPr>
              <w:jc w:val="center"/>
              <w:rPr>
                <w:rFonts w:ascii="宋体" w:hAnsi="宋体" w:cs="宋体"/>
                <w:szCs w:val="21"/>
              </w:rPr>
            </w:pPr>
          </w:p>
        </w:tc>
        <w:tc>
          <w:tcPr>
            <w:tcW w:w="1401" w:type="dxa"/>
            <w:vAlign w:val="center"/>
          </w:tcPr>
          <w:p w14:paraId="2A08166F">
            <w:pPr>
              <w:jc w:val="center"/>
              <w:rPr>
                <w:rFonts w:hint="default" w:ascii="宋体" w:hAnsi="宋体" w:cs="宋体"/>
                <w:szCs w:val="21"/>
                <w:lang w:val="en-US" w:eastAsia="zh-CN"/>
              </w:rPr>
            </w:pPr>
            <w:r>
              <w:rPr>
                <w:rFonts w:hint="eastAsia" w:ascii="宋体" w:hAnsi="宋体" w:cs="宋体"/>
                <w:szCs w:val="21"/>
                <w:lang w:val="en-US" w:eastAsia="zh-CN"/>
              </w:rPr>
              <w:t>科技查新报告</w:t>
            </w:r>
          </w:p>
        </w:tc>
        <w:tc>
          <w:tcPr>
            <w:tcW w:w="2772" w:type="dxa"/>
            <w:vAlign w:val="center"/>
          </w:tcPr>
          <w:p w14:paraId="44459278">
            <w:pPr>
              <w:jc w:val="left"/>
              <w:rPr>
                <w:rFonts w:hint="default" w:ascii="宋体" w:hAnsi="宋体" w:eastAsia="宋体" w:cs="宋体"/>
                <w:szCs w:val="21"/>
                <w:lang w:val="en-US" w:eastAsia="zh-CN"/>
              </w:rPr>
            </w:pPr>
            <w:r>
              <w:rPr>
                <w:rFonts w:hint="eastAsia" w:ascii="宋体" w:hAnsi="宋体" w:cs="宋体"/>
                <w:szCs w:val="21"/>
                <w:lang w:val="en-US" w:eastAsia="zh-CN"/>
              </w:rPr>
              <w:t>国内科技查新报告</w:t>
            </w:r>
          </w:p>
        </w:tc>
        <w:tc>
          <w:tcPr>
            <w:tcW w:w="1155" w:type="dxa"/>
            <w:vAlign w:val="center"/>
          </w:tcPr>
          <w:p w14:paraId="1CDDAA7E">
            <w:pPr>
              <w:jc w:val="center"/>
              <w:rPr>
                <w:rFonts w:hint="default" w:ascii="宋体" w:hAnsi="宋体" w:eastAsia="宋体" w:cs="宋体"/>
                <w:szCs w:val="21"/>
                <w:lang w:val="en-US" w:eastAsia="zh-CN"/>
              </w:rPr>
            </w:pPr>
            <w:r>
              <w:rPr>
                <w:rFonts w:hint="eastAsia" w:ascii="宋体" w:hAnsi="宋体" w:cs="宋体"/>
                <w:szCs w:val="21"/>
                <w:lang w:val="en-US" w:eastAsia="zh-CN"/>
              </w:rPr>
              <w:t>1800元/份</w:t>
            </w:r>
          </w:p>
        </w:tc>
        <w:tc>
          <w:tcPr>
            <w:tcW w:w="2856" w:type="dxa"/>
            <w:vAlign w:val="center"/>
          </w:tcPr>
          <w:p w14:paraId="527E6F2A">
            <w:pPr>
              <w:rPr>
                <w:rFonts w:hint="default" w:ascii="宋体" w:hAnsi="宋体" w:eastAsia="宋体" w:cs="宋体"/>
                <w:szCs w:val="21"/>
                <w:lang w:val="en-US" w:eastAsia="zh-CN"/>
              </w:rPr>
            </w:pPr>
            <w:r>
              <w:rPr>
                <w:rFonts w:hint="eastAsia" w:ascii="宋体" w:hAnsi="宋体" w:cs="宋体"/>
                <w:szCs w:val="21"/>
                <w:lang w:val="en-US" w:eastAsia="zh-CN"/>
              </w:rPr>
              <w:t>出报告后付款（以实际出报告数量为准）</w:t>
            </w:r>
            <w:bookmarkStart w:id="0" w:name="_GoBack"/>
            <w:bookmarkEnd w:id="0"/>
          </w:p>
        </w:tc>
      </w:tr>
    </w:tbl>
    <w:p w14:paraId="5998A5CF">
      <w:pPr>
        <w:overflowPunct w:val="0"/>
        <w:autoSpaceDE w:val="0"/>
        <w:autoSpaceDN w:val="0"/>
        <w:snapToGrid w:val="0"/>
        <w:spacing w:line="480" w:lineRule="exact"/>
        <w:rPr>
          <w:sz w:val="24"/>
          <w:szCs w:val="24"/>
        </w:rPr>
      </w:pPr>
      <w:r>
        <w:rPr>
          <w:rFonts w:hint="eastAsia"/>
          <w:sz w:val="24"/>
        </w:rPr>
        <w:t xml:space="preserve">3.2.1 </w:t>
      </w:r>
      <w:r>
        <w:rPr>
          <w:rFonts w:hint="eastAsia"/>
          <w:sz w:val="24"/>
          <w:szCs w:val="24"/>
        </w:rPr>
        <w:t>付款方式：</w:t>
      </w:r>
    </w:p>
    <w:p w14:paraId="5F9C4C57">
      <w:pPr>
        <w:keepNext w:val="0"/>
        <w:keepLines w:val="0"/>
        <w:pageBreakBefore w:val="0"/>
        <w:widowControl w:val="0"/>
        <w:kinsoku/>
        <w:wordWrap/>
        <w:overflowPunct w:val="0"/>
        <w:topLinePunct w:val="0"/>
        <w:autoSpaceDE w:val="0"/>
        <w:autoSpaceDN w:val="0"/>
        <w:bidi w:val="0"/>
        <w:adjustRightInd/>
        <w:snapToGrid w:val="0"/>
        <w:spacing w:line="480" w:lineRule="exact"/>
        <w:ind w:firstLine="480" w:firstLineChars="200"/>
        <w:textAlignment w:val="auto"/>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待合同签订后开始启动工作，后续款项根据3.2表付款方式支付对应费用，乙方提供增值税专用发票给甲方，甲方自收到发票后</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个工作日内支付发票等额</w:t>
      </w:r>
      <w:r>
        <w:rPr>
          <w:rFonts w:hint="eastAsia"/>
          <w:color w:val="000000" w:themeColor="text1"/>
          <w:sz w:val="24"/>
          <w:lang w:val="en-US" w:eastAsia="zh-CN"/>
          <w14:textFill>
            <w14:solidFill>
              <w14:schemeClr w14:val="tx1"/>
            </w14:solidFill>
          </w14:textFill>
        </w:rPr>
        <w:t>咨询服务费</w:t>
      </w:r>
      <w:r>
        <w:rPr>
          <w:rFonts w:hint="eastAsia"/>
          <w:color w:val="000000" w:themeColor="text1"/>
          <w:sz w:val="24"/>
          <w14:textFill>
            <w14:solidFill>
              <w14:schemeClr w14:val="tx1"/>
            </w14:solidFill>
          </w14:textFill>
        </w:rPr>
        <w:t>给乙方</w:t>
      </w:r>
      <w:r>
        <w:rPr>
          <w:rFonts w:hint="eastAsia"/>
          <w:color w:val="000000" w:themeColor="text1"/>
          <w:sz w:val="24"/>
          <w:lang w:eastAsia="zh-CN"/>
          <w14:textFill>
            <w14:solidFill>
              <w14:schemeClr w14:val="tx1"/>
            </w14:solidFill>
          </w14:textFill>
        </w:rPr>
        <w:t>。</w:t>
      </w:r>
    </w:p>
    <w:p w14:paraId="52FC914D">
      <w:pPr>
        <w:overflowPunct w:val="0"/>
        <w:autoSpaceDE w:val="0"/>
        <w:autoSpaceDN w:val="0"/>
        <w:snapToGrid w:val="0"/>
        <w:spacing w:line="480" w:lineRule="exact"/>
        <w:rPr>
          <w:color w:val="000000" w:themeColor="text1"/>
          <w:sz w:val="24"/>
          <w14:textFill>
            <w14:solidFill>
              <w14:schemeClr w14:val="tx1"/>
            </w14:solidFill>
          </w14:textFill>
        </w:rPr>
      </w:pPr>
      <w:r>
        <w:rPr>
          <w:rFonts w:hint="eastAsia"/>
          <w:sz w:val="24"/>
          <w:szCs w:val="24"/>
        </w:rPr>
        <w:t xml:space="preserve">3.2.2 </w:t>
      </w:r>
      <w:r>
        <w:rPr>
          <w:rFonts w:hint="eastAsia" w:ascii="宋体" w:hAnsi="宋体" w:cs="宋体"/>
          <w:sz w:val="24"/>
          <w:szCs w:val="24"/>
        </w:rPr>
        <w:t>开具增值税专用发票：税率6%，发票明细为</w:t>
      </w:r>
      <w:r>
        <w:rPr>
          <w:rFonts w:hint="eastAsia" w:ascii="宋体" w:hAnsi="宋体" w:cs="宋体"/>
          <w:sz w:val="24"/>
          <w:szCs w:val="24"/>
          <w:highlight w:val="none"/>
        </w:rPr>
        <w:t>咨询服务费</w:t>
      </w:r>
      <w:r>
        <w:rPr>
          <w:rFonts w:hint="eastAsia" w:ascii="宋体" w:hAnsi="宋体" w:cs="宋体"/>
          <w:sz w:val="24"/>
          <w:szCs w:val="24"/>
        </w:rPr>
        <w:t>。</w:t>
      </w:r>
    </w:p>
    <w:p w14:paraId="68BA4432">
      <w:pPr>
        <w:overflowPunct w:val="0"/>
        <w:autoSpaceDE w:val="0"/>
        <w:autoSpaceDN w:val="0"/>
        <w:snapToGrid w:val="0"/>
        <w:spacing w:line="480" w:lineRule="exact"/>
        <w:ind w:firstLine="420"/>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乙方信息：</w:t>
      </w:r>
    </w:p>
    <w:p w14:paraId="533E73EF">
      <w:pPr>
        <w:spacing w:line="360" w:lineRule="auto"/>
        <w:ind w:firstLine="480" w:firstLineChars="200"/>
        <w:rPr>
          <w:rFonts w:ascii="宋体" w:hAnsi="宋体" w:cs="宋体"/>
          <w:sz w:val="24"/>
          <w:szCs w:val="24"/>
        </w:rPr>
      </w:pPr>
      <w:r>
        <w:rPr>
          <w:rFonts w:hint="eastAsia" w:ascii="宋体" w:hAnsi="宋体" w:cs="宋体"/>
          <w:sz w:val="24"/>
          <w:szCs w:val="24"/>
        </w:rPr>
        <w:t>公司名称：北京顺然天成咨询有限公司</w:t>
      </w:r>
    </w:p>
    <w:p w14:paraId="3A86428F">
      <w:pPr>
        <w:spacing w:line="360" w:lineRule="auto"/>
        <w:ind w:firstLine="480" w:firstLineChars="200"/>
        <w:rPr>
          <w:rFonts w:ascii="宋体" w:hAnsi="宋体" w:cs="宋体"/>
          <w:sz w:val="24"/>
          <w:szCs w:val="24"/>
        </w:rPr>
      </w:pPr>
      <w:r>
        <w:rPr>
          <w:rFonts w:hint="eastAsia" w:ascii="宋体" w:hAnsi="宋体" w:cs="宋体"/>
          <w:sz w:val="24"/>
          <w:szCs w:val="24"/>
        </w:rPr>
        <w:t>税务登记号：91110106688381453J</w:t>
      </w:r>
    </w:p>
    <w:p w14:paraId="614BE3CF">
      <w:pPr>
        <w:spacing w:line="360" w:lineRule="auto"/>
        <w:ind w:firstLine="480" w:firstLineChars="200"/>
        <w:rPr>
          <w:rFonts w:ascii="宋体" w:hAnsi="宋体" w:cs="宋体"/>
          <w:sz w:val="24"/>
          <w:szCs w:val="24"/>
        </w:rPr>
      </w:pPr>
      <w:r>
        <w:rPr>
          <w:rFonts w:hint="eastAsia" w:ascii="宋体" w:hAnsi="宋体" w:cs="宋体"/>
          <w:sz w:val="24"/>
          <w:szCs w:val="24"/>
        </w:rPr>
        <w:t>开户银行：华夏银行丰台科技园支行</w:t>
      </w:r>
    </w:p>
    <w:p w14:paraId="6A13D75C">
      <w:pPr>
        <w:spacing w:line="360" w:lineRule="auto"/>
        <w:ind w:firstLine="480" w:firstLineChars="200"/>
        <w:rPr>
          <w:rFonts w:ascii="宋体" w:hAnsi="宋体" w:cs="宋体"/>
          <w:sz w:val="24"/>
          <w:szCs w:val="24"/>
        </w:rPr>
      </w:pPr>
      <w:r>
        <w:rPr>
          <w:rFonts w:hint="eastAsia" w:ascii="宋体" w:hAnsi="宋体" w:cs="宋体"/>
          <w:sz w:val="24"/>
          <w:szCs w:val="24"/>
        </w:rPr>
        <w:t>银行账号：40712 0000 18191 0000 7699</w:t>
      </w:r>
    </w:p>
    <w:p w14:paraId="468338FF">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4、协议的生效、变更和解除</w:t>
      </w:r>
    </w:p>
    <w:p w14:paraId="007428AF">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本协议自签订之日起，即时生效。</w:t>
      </w:r>
    </w:p>
    <w:p w14:paraId="3AE4C688">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自本协议生效之日起，甲方以何种理由中止申报（乙方违约或重大过失造成的甲方</w:t>
      </w:r>
      <w:r>
        <w:rPr>
          <w:rFonts w:hint="eastAsia"/>
          <w:sz w:val="24"/>
          <w:shd w:val="clear" w:color="auto" w:fill="FFFFFF"/>
        </w:rPr>
        <w:t>中止申报除外），</w:t>
      </w:r>
      <w:r>
        <w:rPr>
          <w:rFonts w:hint="eastAsia"/>
          <w:sz w:val="24"/>
        </w:rPr>
        <w:t>在本合同签署之日起一年内，甲方获得国家高新技术企业资质的，均应视为甲方利用了乙方的智力成果或有关服务，且乙方已经履行了本合同项下的全部义务，甲方应按照3.2条款一次性支付全部合同款。</w:t>
      </w:r>
    </w:p>
    <w:p w14:paraId="03DA4091">
      <w:pPr>
        <w:overflowPunct w:val="0"/>
        <w:autoSpaceDE w:val="0"/>
        <w:autoSpaceDN w:val="0"/>
        <w:snapToGrid w:val="0"/>
        <w:spacing w:line="48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4.3 由于乙方违约或重大过失造成的甲方</w:t>
      </w:r>
      <w:r>
        <w:rPr>
          <w:rFonts w:hint="eastAsia"/>
          <w:color w:val="000000" w:themeColor="text1"/>
          <w:sz w:val="24"/>
          <w:shd w:val="clear" w:color="auto" w:fill="FFFFFF"/>
          <w14:textFill>
            <w14:solidFill>
              <w14:schemeClr w14:val="tx1"/>
            </w14:solidFill>
          </w14:textFill>
        </w:rPr>
        <w:t>中止申报或未</w:t>
      </w:r>
      <w:r>
        <w:rPr>
          <w:rFonts w:hint="eastAsia"/>
          <w:color w:val="000000" w:themeColor="text1"/>
          <w:sz w:val="24"/>
          <w14:textFill>
            <w14:solidFill>
              <w14:schemeClr w14:val="tx1"/>
            </w14:solidFill>
          </w14:textFill>
        </w:rPr>
        <w:t>获得国家高新技术企业资质的</w:t>
      </w:r>
      <w:r>
        <w:rPr>
          <w:rFonts w:hint="eastAsia"/>
          <w:color w:val="000000" w:themeColor="text1"/>
          <w:sz w:val="24"/>
          <w:shd w:val="clear" w:color="auto" w:fill="FFFFFF"/>
          <w14:textFill>
            <w14:solidFill>
              <w14:schemeClr w14:val="tx1"/>
            </w14:solidFill>
          </w14:textFill>
        </w:rPr>
        <w:t>，甲方不予支付尾款。</w:t>
      </w:r>
    </w:p>
    <w:p w14:paraId="627DAD44">
      <w:pPr>
        <w:overflowPunct w:val="0"/>
        <w:autoSpaceDE w:val="0"/>
        <w:autoSpaceDN w:val="0"/>
        <w:snapToGrid w:val="0"/>
        <w:spacing w:line="480" w:lineRule="exact"/>
        <w:rPr>
          <w:sz w:val="24"/>
        </w:rPr>
      </w:pPr>
      <w:r>
        <w:rPr>
          <w:rFonts w:hint="eastAsia"/>
          <w:sz w:val="24"/>
        </w:rPr>
        <w:t>4.4</w:t>
      </w:r>
      <w:r>
        <w:rPr>
          <w:sz w:val="24"/>
        </w:rPr>
        <w:t xml:space="preserve"> </w:t>
      </w:r>
      <w:r>
        <w:rPr>
          <w:rFonts w:hint="eastAsia"/>
          <w:sz w:val="24"/>
        </w:rPr>
        <w:t>除下列情况外，任何一方不得擅自解除协议：</w:t>
      </w:r>
    </w:p>
    <w:p w14:paraId="56281640">
      <w:pPr>
        <w:overflowPunct w:val="0"/>
        <w:autoSpaceDE w:val="0"/>
        <w:autoSpaceDN w:val="0"/>
        <w:snapToGrid w:val="0"/>
        <w:spacing w:line="480" w:lineRule="exact"/>
        <w:rPr>
          <w:sz w:val="24"/>
        </w:rPr>
      </w:pPr>
      <w:r>
        <w:rPr>
          <w:rFonts w:hint="eastAsia"/>
          <w:sz w:val="24"/>
        </w:rPr>
        <w:t>4.4.1 因不可抗力致使协议不能履行，协议解除；</w:t>
      </w:r>
    </w:p>
    <w:p w14:paraId="159A1EE4">
      <w:pPr>
        <w:overflowPunct w:val="0"/>
        <w:autoSpaceDE w:val="0"/>
        <w:autoSpaceDN w:val="0"/>
        <w:snapToGrid w:val="0"/>
        <w:spacing w:line="480" w:lineRule="exact"/>
        <w:rPr>
          <w:sz w:val="24"/>
          <w:szCs w:val="24"/>
        </w:rPr>
      </w:pPr>
      <w:r>
        <w:rPr>
          <w:rFonts w:hint="eastAsia"/>
          <w:sz w:val="24"/>
        </w:rPr>
        <w:t>4.4.2 一方严重违约，导致协议不能履行，另一方有权解除协议；</w:t>
      </w:r>
      <w:r>
        <w:rPr>
          <w:rFonts w:hint="eastAsia"/>
          <w:sz w:val="24"/>
          <w:szCs w:val="24"/>
        </w:rPr>
        <w:t xml:space="preserve">乙方代理期间连续两次申请未能获得通过，甲方有权解除协议。 </w:t>
      </w:r>
    </w:p>
    <w:p w14:paraId="64C78614">
      <w:pPr>
        <w:overflowPunct w:val="0"/>
        <w:autoSpaceDE w:val="0"/>
        <w:autoSpaceDN w:val="0"/>
        <w:snapToGrid w:val="0"/>
        <w:spacing w:line="480" w:lineRule="exact"/>
        <w:rPr>
          <w:sz w:val="24"/>
        </w:rPr>
      </w:pPr>
      <w:r>
        <w:rPr>
          <w:rFonts w:hint="eastAsia"/>
          <w:sz w:val="24"/>
        </w:rPr>
        <w:t>4.4.3 双方一致同意终止本协议。</w:t>
      </w:r>
    </w:p>
    <w:p w14:paraId="0A08F091">
      <w:pPr>
        <w:overflowPunct w:val="0"/>
        <w:autoSpaceDE w:val="0"/>
        <w:autoSpaceDN w:val="0"/>
        <w:snapToGrid w:val="0"/>
        <w:spacing w:line="480" w:lineRule="exact"/>
        <w:rPr>
          <w:sz w:val="24"/>
        </w:rPr>
      </w:pPr>
      <w:r>
        <w:rPr>
          <w:rFonts w:hint="eastAsia"/>
          <w:sz w:val="24"/>
        </w:rPr>
        <w:t>4.5 在协议期满终止时，若双方之间仍有未履行完毕的权利和义务，双方将继续履行各自的权利和义务；</w:t>
      </w:r>
    </w:p>
    <w:p w14:paraId="2467AEAC">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5、违约及争议的解决</w:t>
      </w:r>
    </w:p>
    <w:p w14:paraId="3D7866B5">
      <w:pPr>
        <w:overflowPunct w:val="0"/>
        <w:autoSpaceDE w:val="0"/>
        <w:autoSpaceDN w:val="0"/>
        <w:snapToGrid w:val="0"/>
        <w:spacing w:line="480" w:lineRule="exact"/>
        <w:rPr>
          <w:color w:val="ED7D31" w:themeColor="accent2"/>
          <w:sz w:val="24"/>
          <w14:textFill>
            <w14:solidFill>
              <w14:schemeClr w14:val="accent2"/>
            </w14:solidFill>
          </w14:textFill>
        </w:rPr>
      </w:pPr>
      <w:r>
        <w:rPr>
          <w:rFonts w:hint="eastAsia"/>
          <w:sz w:val="24"/>
        </w:rPr>
        <w:t>5.</w:t>
      </w:r>
      <w:r>
        <w:rPr>
          <w:sz w:val="24"/>
        </w:rPr>
        <w:t>1</w:t>
      </w:r>
      <w:r>
        <w:rPr>
          <w:rFonts w:hint="eastAsia"/>
          <w:sz w:val="24"/>
        </w:rPr>
        <w:t xml:space="preserve"> 甲方逾期支付有关款项，每日应按照应付未付款的万分之五承担违约责任，直至应付款实际付清时为止</w:t>
      </w:r>
      <w:r>
        <w:rPr>
          <w:rFonts w:hint="eastAsia"/>
          <w:color w:val="000000" w:themeColor="text1"/>
          <w:sz w:val="24"/>
          <w14:textFill>
            <w14:solidFill>
              <w14:schemeClr w14:val="tx1"/>
            </w14:solidFill>
          </w14:textFill>
        </w:rPr>
        <w:t>（违约金上限不得超过合同额的百分之二十）</w:t>
      </w:r>
      <w:r>
        <w:rPr>
          <w:rFonts w:hint="eastAsia"/>
          <w:sz w:val="24"/>
        </w:rPr>
        <w:t>。</w:t>
      </w:r>
      <w:r>
        <w:rPr>
          <w:rFonts w:hint="eastAsia"/>
          <w:color w:val="000000" w:themeColor="text1"/>
          <w:sz w:val="24"/>
          <w14:textFill>
            <w14:solidFill>
              <w14:schemeClr w14:val="tx1"/>
            </w14:solidFill>
          </w14:textFill>
        </w:rPr>
        <w:t>乙方未按要求提供服务，甲方不予支付相对应服务款项。</w:t>
      </w:r>
    </w:p>
    <w:p w14:paraId="5C05E4CA">
      <w:pPr>
        <w:overflowPunct w:val="0"/>
        <w:autoSpaceDE w:val="0"/>
        <w:autoSpaceDN w:val="0"/>
        <w:snapToGrid w:val="0"/>
        <w:spacing w:line="480" w:lineRule="exact"/>
        <w:rPr>
          <w:sz w:val="24"/>
        </w:rPr>
      </w:pPr>
      <w:r>
        <w:rPr>
          <w:rFonts w:hint="eastAsia"/>
          <w:sz w:val="24"/>
        </w:rPr>
        <w:t>5.2 双方之间如不能友好解决因本协议而产生的或与本协议有关的争议，双方均可向甲方所在地人民法院提起诉讼。</w:t>
      </w:r>
    </w:p>
    <w:p w14:paraId="1F2A89A9">
      <w:pPr>
        <w:overflowPunct w:val="0"/>
        <w:autoSpaceDE w:val="0"/>
        <w:autoSpaceDN w:val="0"/>
        <w:snapToGrid w:val="0"/>
        <w:spacing w:line="480" w:lineRule="exact"/>
        <w:rPr>
          <w:rFonts w:hint="eastAsia"/>
          <w:sz w:val="24"/>
        </w:rPr>
      </w:pPr>
      <w:r>
        <w:rPr>
          <w:rFonts w:hint="eastAsia"/>
          <w:sz w:val="24"/>
        </w:rPr>
        <w:t>5.3</w:t>
      </w:r>
      <w:r>
        <w:rPr>
          <w:sz w:val="24"/>
        </w:rPr>
        <w:t xml:space="preserve"> </w:t>
      </w:r>
      <w:r>
        <w:rPr>
          <w:rFonts w:hint="eastAsia"/>
          <w:sz w:val="24"/>
        </w:rPr>
        <w:t>若甲方202</w:t>
      </w:r>
      <w:r>
        <w:rPr>
          <w:rFonts w:hint="eastAsia"/>
          <w:sz w:val="24"/>
          <w:lang w:val="en-US" w:eastAsia="zh-CN"/>
        </w:rPr>
        <w:t>5</w:t>
      </w:r>
      <w:r>
        <w:rPr>
          <w:rFonts w:hint="eastAsia"/>
          <w:sz w:val="24"/>
        </w:rPr>
        <w:t>年申报批次未通过国家高新技术企业认定，则乙方承诺202</w:t>
      </w:r>
      <w:r>
        <w:rPr>
          <w:rFonts w:hint="eastAsia"/>
          <w:sz w:val="24"/>
          <w:lang w:val="en-US" w:eastAsia="zh-CN"/>
        </w:rPr>
        <w:t>5</w:t>
      </w:r>
      <w:r>
        <w:rPr>
          <w:rFonts w:hint="eastAsia"/>
          <w:sz w:val="24"/>
        </w:rPr>
        <w:t>年下批次及第二年后继续为甲方免费申报，直至甲方公示。</w:t>
      </w:r>
    </w:p>
    <w:p w14:paraId="5C9B261A">
      <w:pPr>
        <w:overflowPunct w:val="0"/>
        <w:autoSpaceDE w:val="0"/>
        <w:autoSpaceDN w:val="0"/>
        <w:snapToGrid w:val="0"/>
        <w:spacing w:line="480" w:lineRule="exact"/>
      </w:pPr>
      <w:r>
        <w:rPr>
          <w:rFonts w:hint="eastAsia" w:eastAsia="宋体" w:cs="Times New Roman"/>
          <w:sz w:val="24"/>
          <w:lang w:eastAsia="zh-CN"/>
        </w:rPr>
        <w:t>5</w:t>
      </w:r>
      <w:r>
        <w:rPr>
          <w:rFonts w:hint="eastAsia" w:eastAsia="宋体" w:cs="Times New Roman"/>
          <w:sz w:val="24"/>
          <w:lang w:val="en-US" w:eastAsia="zh-CN"/>
        </w:rPr>
        <w:t xml:space="preserve">.4 </w:t>
      </w:r>
      <w:r>
        <w:rPr>
          <w:rFonts w:hint="eastAsia"/>
          <w:sz w:val="24"/>
          <w:szCs w:val="24"/>
        </w:rPr>
        <w:t>项目申请文件初稿撰写完成，若甲方原因放弃申请，应以书面形式及时通知乙方，并须支付乙方本合同约定高新技术企业资质申请及咨询服务</w:t>
      </w:r>
      <w:r>
        <w:rPr>
          <w:rFonts w:hint="eastAsia"/>
          <w:sz w:val="24"/>
          <w:szCs w:val="24"/>
          <w:lang w:val="en-US" w:eastAsia="zh-CN"/>
        </w:rPr>
        <w:t>费</w:t>
      </w:r>
      <w:r>
        <w:rPr>
          <w:rFonts w:hint="eastAsia"/>
          <w:sz w:val="24"/>
          <w:szCs w:val="24"/>
        </w:rPr>
        <w:t>的50%。</w:t>
      </w:r>
    </w:p>
    <w:p w14:paraId="6F257341">
      <w:pPr>
        <w:pStyle w:val="2"/>
      </w:pPr>
    </w:p>
    <w:p w14:paraId="12011982">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6、其他条款</w:t>
      </w:r>
    </w:p>
    <w:p w14:paraId="06FC00C4">
      <w:pPr>
        <w:overflowPunct w:val="0"/>
        <w:autoSpaceDE w:val="0"/>
        <w:autoSpaceDN w:val="0"/>
        <w:snapToGrid w:val="0"/>
        <w:spacing w:line="480" w:lineRule="exact"/>
        <w:rPr>
          <w:sz w:val="24"/>
        </w:rPr>
      </w:pPr>
      <w:r>
        <w:rPr>
          <w:rFonts w:hint="eastAsia"/>
          <w:sz w:val="24"/>
        </w:rPr>
        <w:t>6.</w:t>
      </w:r>
      <w:r>
        <w:rPr>
          <w:sz w:val="24"/>
        </w:rPr>
        <w:t xml:space="preserve">1 </w:t>
      </w:r>
      <w:r>
        <w:rPr>
          <w:rFonts w:hint="eastAsia"/>
          <w:sz w:val="24"/>
        </w:rPr>
        <w:t>本协议未尽事宜，双方应另行签订补充协议加以说明。</w:t>
      </w:r>
    </w:p>
    <w:p w14:paraId="08B70944">
      <w:pPr>
        <w:overflowPunct w:val="0"/>
        <w:autoSpaceDE w:val="0"/>
        <w:autoSpaceDN w:val="0"/>
        <w:snapToGrid w:val="0"/>
        <w:spacing w:line="480" w:lineRule="exact"/>
        <w:rPr>
          <w:sz w:val="24"/>
        </w:rPr>
      </w:pPr>
      <w:r>
        <w:rPr>
          <w:rFonts w:hint="eastAsia"/>
          <w:sz w:val="24"/>
        </w:rPr>
        <w:t>6.</w:t>
      </w:r>
      <w:r>
        <w:rPr>
          <w:sz w:val="24"/>
        </w:rPr>
        <w:t xml:space="preserve">2 </w:t>
      </w:r>
      <w:r>
        <w:rPr>
          <w:rFonts w:hint="eastAsia"/>
          <w:sz w:val="24"/>
        </w:rPr>
        <w:t>列入附件式补充协议的内容不得与本协议的基本原则冲突，否则无效。</w:t>
      </w:r>
    </w:p>
    <w:p w14:paraId="0A3DFB94">
      <w:pPr>
        <w:overflowPunct w:val="0"/>
        <w:autoSpaceDE w:val="0"/>
        <w:autoSpaceDN w:val="0"/>
        <w:snapToGrid w:val="0"/>
        <w:spacing w:line="480" w:lineRule="exact"/>
        <w:rPr>
          <w:sz w:val="24"/>
        </w:rPr>
      </w:pPr>
      <w:r>
        <w:rPr>
          <w:rFonts w:hint="eastAsia"/>
          <w:sz w:val="24"/>
        </w:rPr>
        <w:t>6.</w:t>
      </w:r>
      <w:r>
        <w:rPr>
          <w:sz w:val="24"/>
        </w:rPr>
        <w:t xml:space="preserve">3 </w:t>
      </w:r>
      <w:r>
        <w:rPr>
          <w:rFonts w:hint="eastAsia"/>
          <w:sz w:val="24"/>
        </w:rPr>
        <w:t>本协议的修改和解除须另作书面协议。</w:t>
      </w:r>
    </w:p>
    <w:p w14:paraId="70D9951A">
      <w:pPr>
        <w:overflowPunct w:val="0"/>
        <w:autoSpaceDE w:val="0"/>
        <w:autoSpaceDN w:val="0"/>
        <w:snapToGrid w:val="0"/>
        <w:spacing w:line="480" w:lineRule="exact"/>
        <w:rPr>
          <w:sz w:val="24"/>
        </w:rPr>
      </w:pPr>
      <w:r>
        <w:rPr>
          <w:rFonts w:hint="eastAsia"/>
          <w:sz w:val="24"/>
        </w:rPr>
        <w:t>6.</w:t>
      </w:r>
      <w:r>
        <w:rPr>
          <w:sz w:val="24"/>
        </w:rPr>
        <w:t xml:space="preserve">4 </w:t>
      </w:r>
      <w:r>
        <w:rPr>
          <w:rFonts w:hint="eastAsia"/>
          <w:sz w:val="24"/>
        </w:rPr>
        <w:t>本协议壹式贰份，双方签字盖章后，甲方与乙方各持壹份。</w:t>
      </w:r>
    </w:p>
    <w:p w14:paraId="153925FD">
      <w:pPr>
        <w:overflowPunct w:val="0"/>
        <w:autoSpaceDE w:val="0"/>
        <w:autoSpaceDN w:val="0"/>
        <w:snapToGrid w:val="0"/>
        <w:spacing w:line="480" w:lineRule="exact"/>
        <w:rPr>
          <w:sz w:val="28"/>
          <w:szCs w:val="28"/>
        </w:rPr>
      </w:pPr>
    </w:p>
    <w:p w14:paraId="57F0B775">
      <w:pPr>
        <w:overflowPunct w:val="0"/>
        <w:autoSpaceDE w:val="0"/>
        <w:autoSpaceDN w:val="0"/>
        <w:snapToGrid w:val="0"/>
        <w:spacing w:line="440" w:lineRule="exact"/>
        <w:rPr>
          <w:b/>
          <w:sz w:val="28"/>
          <w:szCs w:val="28"/>
        </w:rPr>
      </w:pPr>
      <w:r>
        <w:rPr>
          <w:rFonts w:hint="eastAsia"/>
          <w:b/>
          <w:sz w:val="28"/>
          <w:szCs w:val="28"/>
        </w:rPr>
        <w:t xml:space="preserve">   甲方：</w:t>
      </w:r>
      <w:r>
        <w:rPr>
          <w:rFonts w:hint="eastAsia"/>
          <w:b/>
          <w:sz w:val="28"/>
          <w:szCs w:val="28"/>
          <w:lang w:val="en-US" w:eastAsia="zh-CN"/>
        </w:rPr>
        <w:t>安路普（北京）</w:t>
      </w:r>
      <w:r>
        <w:rPr>
          <w:rFonts w:hint="eastAsia"/>
          <w:b/>
          <w:sz w:val="28"/>
          <w:szCs w:val="28"/>
        </w:rPr>
        <w:t xml:space="preserve"> </w:t>
      </w:r>
      <w:r>
        <w:rPr>
          <w:rFonts w:hint="eastAsia"/>
          <w:b/>
          <w:sz w:val="28"/>
          <w:szCs w:val="28"/>
          <w:lang w:val="en-US" w:eastAsia="zh-CN"/>
        </w:rPr>
        <w:t>汽车技术有限公司</w:t>
      </w:r>
      <w:r>
        <w:rPr>
          <w:rFonts w:hint="eastAsia"/>
          <w:b/>
          <w:sz w:val="28"/>
          <w:szCs w:val="28"/>
        </w:rPr>
        <w:t xml:space="preserve">   （盖章）</w:t>
      </w:r>
    </w:p>
    <w:p w14:paraId="294567B6">
      <w:pPr>
        <w:overflowPunct w:val="0"/>
        <w:autoSpaceDE w:val="0"/>
        <w:autoSpaceDN w:val="0"/>
        <w:snapToGrid w:val="0"/>
        <w:spacing w:line="440" w:lineRule="exact"/>
        <w:rPr>
          <w:b/>
          <w:sz w:val="28"/>
          <w:szCs w:val="28"/>
        </w:rPr>
      </w:pPr>
    </w:p>
    <w:p w14:paraId="5CCEBA83">
      <w:pPr>
        <w:overflowPunct w:val="0"/>
        <w:autoSpaceDE w:val="0"/>
        <w:autoSpaceDN w:val="0"/>
        <w:snapToGrid w:val="0"/>
        <w:spacing w:line="480" w:lineRule="exact"/>
        <w:ind w:firstLine="840" w:firstLineChars="300"/>
        <w:rPr>
          <w:rFonts w:hAnsi="宋体"/>
          <w:sz w:val="28"/>
          <w:szCs w:val="28"/>
        </w:rPr>
      </w:pPr>
      <w:r>
        <w:rPr>
          <w:rFonts w:hint="eastAsia"/>
          <w:sz w:val="28"/>
          <w:szCs w:val="28"/>
        </w:rPr>
        <w:t>法定代表人或</w:t>
      </w:r>
      <w:r>
        <w:rPr>
          <w:rFonts w:hint="eastAsia"/>
          <w:sz w:val="28"/>
          <w:szCs w:val="28"/>
          <w:highlight w:val="none"/>
        </w:rPr>
        <w:t>授权代</w:t>
      </w:r>
      <w:r>
        <w:rPr>
          <w:rFonts w:hint="eastAsia"/>
          <w:sz w:val="28"/>
          <w:szCs w:val="28"/>
        </w:rPr>
        <w:t>表签字：</w:t>
      </w:r>
      <w:r>
        <w:rPr>
          <w:sz w:val="28"/>
          <w:szCs w:val="28"/>
        </w:rPr>
        <w:t xml:space="preserve"> </w:t>
      </w:r>
      <w:r>
        <w:rPr>
          <w:rFonts w:hint="eastAsia" w:hAnsi="宋体"/>
          <w:sz w:val="28"/>
          <w:szCs w:val="28"/>
        </w:rPr>
        <w:t xml:space="preserve">    </w:t>
      </w:r>
    </w:p>
    <w:p w14:paraId="2603A65B">
      <w:pPr>
        <w:spacing w:line="360" w:lineRule="auto"/>
        <w:ind w:left="4620" w:firstLine="420"/>
        <w:rPr>
          <w:rFonts w:hAnsi="宋体"/>
          <w:sz w:val="28"/>
          <w:szCs w:val="28"/>
        </w:rPr>
      </w:pPr>
      <w:r>
        <w:rPr>
          <w:rFonts w:hint="eastAsia" w:hAnsi="宋体"/>
          <w:sz w:val="28"/>
          <w:szCs w:val="28"/>
        </w:rPr>
        <w:t xml:space="preserve">      202</w:t>
      </w:r>
      <w:r>
        <w:rPr>
          <w:rFonts w:hint="eastAsia" w:hAnsi="宋体"/>
          <w:sz w:val="28"/>
          <w:szCs w:val="28"/>
          <w:lang w:val="en-US" w:eastAsia="zh-CN"/>
        </w:rPr>
        <w:t>4</w:t>
      </w:r>
      <w:r>
        <w:rPr>
          <w:rFonts w:hint="eastAsia" w:hAnsi="宋体"/>
          <w:sz w:val="28"/>
          <w:szCs w:val="28"/>
        </w:rPr>
        <w:t>年  月   日</w:t>
      </w:r>
    </w:p>
    <w:p w14:paraId="255D5804">
      <w:pPr>
        <w:spacing w:line="360" w:lineRule="auto"/>
        <w:ind w:left="4620" w:firstLine="420"/>
        <w:rPr>
          <w:rFonts w:hAnsi="宋体"/>
          <w:sz w:val="28"/>
          <w:szCs w:val="28"/>
        </w:rPr>
      </w:pPr>
    </w:p>
    <w:p w14:paraId="729A6FAE">
      <w:pPr>
        <w:overflowPunct w:val="0"/>
        <w:autoSpaceDE w:val="0"/>
        <w:autoSpaceDN w:val="0"/>
        <w:snapToGrid w:val="0"/>
        <w:spacing w:line="440" w:lineRule="exact"/>
        <w:ind w:firstLine="281" w:firstLineChars="100"/>
        <w:rPr>
          <w:b/>
          <w:sz w:val="28"/>
          <w:szCs w:val="28"/>
        </w:rPr>
      </w:pPr>
      <w:r>
        <w:rPr>
          <w:rFonts w:hint="eastAsia"/>
          <w:b/>
          <w:sz w:val="28"/>
          <w:szCs w:val="28"/>
        </w:rPr>
        <w:t xml:space="preserve"> 乙方：北京顺然天成咨询有限公司</w:t>
      </w:r>
      <w:r>
        <w:rPr>
          <w:rFonts w:hint="eastAsia"/>
          <w:sz w:val="28"/>
          <w:szCs w:val="28"/>
        </w:rPr>
        <w:t xml:space="preserve">        </w:t>
      </w:r>
      <w:r>
        <w:rPr>
          <w:rFonts w:hint="eastAsia"/>
          <w:b/>
          <w:sz w:val="28"/>
          <w:szCs w:val="28"/>
        </w:rPr>
        <w:t>（盖章）</w:t>
      </w:r>
    </w:p>
    <w:p w14:paraId="6C2AC5C0">
      <w:pPr>
        <w:overflowPunct w:val="0"/>
        <w:autoSpaceDE w:val="0"/>
        <w:autoSpaceDN w:val="0"/>
        <w:snapToGrid w:val="0"/>
        <w:spacing w:line="440" w:lineRule="exact"/>
        <w:ind w:firstLine="281" w:firstLineChars="100"/>
        <w:rPr>
          <w:b/>
          <w:sz w:val="28"/>
          <w:szCs w:val="28"/>
        </w:rPr>
      </w:pPr>
    </w:p>
    <w:p w14:paraId="1147CF8F">
      <w:pPr>
        <w:spacing w:line="360" w:lineRule="auto"/>
        <w:rPr>
          <w:sz w:val="28"/>
          <w:szCs w:val="28"/>
        </w:rPr>
      </w:pPr>
      <w:r>
        <w:rPr>
          <w:rFonts w:hint="eastAsia" w:ascii="宋体" w:hAnsi="宋体"/>
          <w:sz w:val="28"/>
          <w:szCs w:val="28"/>
        </w:rPr>
        <w:t xml:space="preserve">      </w:t>
      </w:r>
      <w:r>
        <w:rPr>
          <w:rFonts w:hint="eastAsia"/>
          <w:sz w:val="28"/>
          <w:szCs w:val="28"/>
        </w:rPr>
        <w:t>法定代表人或</w:t>
      </w:r>
      <w:r>
        <w:rPr>
          <w:rFonts w:hint="eastAsia"/>
          <w:sz w:val="28"/>
          <w:szCs w:val="28"/>
          <w:highlight w:val="none"/>
        </w:rPr>
        <w:t>授权代表</w:t>
      </w:r>
      <w:r>
        <w:rPr>
          <w:rFonts w:hint="eastAsia"/>
          <w:sz w:val="28"/>
          <w:szCs w:val="28"/>
        </w:rPr>
        <w:t>签字：</w:t>
      </w:r>
      <w:r>
        <w:rPr>
          <w:sz w:val="28"/>
          <w:szCs w:val="28"/>
        </w:rPr>
        <w:t xml:space="preserve"> </w:t>
      </w:r>
    </w:p>
    <w:p w14:paraId="7D061ADF">
      <w:pPr>
        <w:spacing w:line="360" w:lineRule="auto"/>
        <w:ind w:firstLine="4818" w:firstLineChars="1721"/>
        <w:rPr>
          <w:sz w:val="28"/>
          <w:szCs w:val="28"/>
        </w:rPr>
      </w:pPr>
      <w:r>
        <w:rPr>
          <w:rFonts w:hint="eastAsia" w:hAnsi="宋体"/>
          <w:sz w:val="28"/>
          <w:szCs w:val="28"/>
        </w:rPr>
        <w:t xml:space="preserve">       202</w:t>
      </w:r>
      <w:r>
        <w:rPr>
          <w:rFonts w:hint="eastAsia" w:hAnsi="宋体"/>
          <w:sz w:val="28"/>
          <w:szCs w:val="28"/>
          <w:lang w:val="en-US" w:eastAsia="zh-CN"/>
        </w:rPr>
        <w:t>4</w:t>
      </w:r>
      <w:r>
        <w:rPr>
          <w:rFonts w:hint="eastAsia" w:hAnsi="宋体"/>
          <w:sz w:val="28"/>
          <w:szCs w:val="28"/>
        </w:rPr>
        <w:t>年 月   日</w:t>
      </w:r>
    </w:p>
    <w:sectPr>
      <w:headerReference r:id="rId3" w:type="default"/>
      <w:footerReference r:id="rId4" w:type="default"/>
      <w:pgSz w:w="11906" w:h="16838"/>
      <w:pgMar w:top="1474" w:right="1474" w:bottom="709" w:left="1474" w:header="6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D012">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79DBD4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07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v:fill on="f" focussize="0,0"/>
              <v:stroke on="f"/>
              <v:imagedata o:title=""/>
              <o:lock v:ext="edit" aspectratio="f"/>
              <v:textbox inset="0mm,0mm,0mm,0mm" style="mso-fit-shape-to-text:t;">
                <w:txbxContent>
                  <w:p w14:paraId="79DBD4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731C2">
    <w:pPr>
      <w:pStyle w:val="7"/>
      <w:jc w:val="both"/>
      <w:rPr>
        <w:b/>
        <w:sz w:val="21"/>
        <w:szCs w:val="21"/>
      </w:rP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MyZmVjZjkyZDEzN2NkZTliY2MyMmUzMWQwYTUifQ=="/>
  </w:docVars>
  <w:rsids>
    <w:rsidRoot w:val="00A4393A"/>
    <w:rsid w:val="00024DEB"/>
    <w:rsid w:val="00033A6F"/>
    <w:rsid w:val="000A371F"/>
    <w:rsid w:val="000F2A00"/>
    <w:rsid w:val="00102D8A"/>
    <w:rsid w:val="00104D5E"/>
    <w:rsid w:val="00126157"/>
    <w:rsid w:val="00140D6B"/>
    <w:rsid w:val="00140F34"/>
    <w:rsid w:val="00140F64"/>
    <w:rsid w:val="001726DC"/>
    <w:rsid w:val="00172E01"/>
    <w:rsid w:val="00184513"/>
    <w:rsid w:val="001B681D"/>
    <w:rsid w:val="001C24BA"/>
    <w:rsid w:val="001C366A"/>
    <w:rsid w:val="001C7E9E"/>
    <w:rsid w:val="001E5B25"/>
    <w:rsid w:val="00231737"/>
    <w:rsid w:val="00232D47"/>
    <w:rsid w:val="00233F01"/>
    <w:rsid w:val="002D08CD"/>
    <w:rsid w:val="002D428E"/>
    <w:rsid w:val="002E3D91"/>
    <w:rsid w:val="002F1D56"/>
    <w:rsid w:val="002F72DF"/>
    <w:rsid w:val="00300EA2"/>
    <w:rsid w:val="003072F3"/>
    <w:rsid w:val="003147BA"/>
    <w:rsid w:val="00320D98"/>
    <w:rsid w:val="0032475E"/>
    <w:rsid w:val="00325076"/>
    <w:rsid w:val="00343A63"/>
    <w:rsid w:val="00373366"/>
    <w:rsid w:val="003831E5"/>
    <w:rsid w:val="00385EF6"/>
    <w:rsid w:val="003B55CF"/>
    <w:rsid w:val="003C7AB6"/>
    <w:rsid w:val="003F383B"/>
    <w:rsid w:val="003F4F5D"/>
    <w:rsid w:val="00407D41"/>
    <w:rsid w:val="00444589"/>
    <w:rsid w:val="00457554"/>
    <w:rsid w:val="004F3302"/>
    <w:rsid w:val="004F74F7"/>
    <w:rsid w:val="00534127"/>
    <w:rsid w:val="00555D0D"/>
    <w:rsid w:val="005D096D"/>
    <w:rsid w:val="006130DA"/>
    <w:rsid w:val="0062230D"/>
    <w:rsid w:val="00625FA6"/>
    <w:rsid w:val="00637409"/>
    <w:rsid w:val="00691B09"/>
    <w:rsid w:val="0069764B"/>
    <w:rsid w:val="006B1E59"/>
    <w:rsid w:val="006B446A"/>
    <w:rsid w:val="006C7188"/>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855F0"/>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AD7957"/>
    <w:rsid w:val="00B1524B"/>
    <w:rsid w:val="00B43741"/>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2821075"/>
    <w:rsid w:val="03881F5A"/>
    <w:rsid w:val="038B3DDC"/>
    <w:rsid w:val="04C3499E"/>
    <w:rsid w:val="05095EE4"/>
    <w:rsid w:val="059C4350"/>
    <w:rsid w:val="05C90F99"/>
    <w:rsid w:val="060F6792"/>
    <w:rsid w:val="0782145E"/>
    <w:rsid w:val="083C2583"/>
    <w:rsid w:val="096D7D04"/>
    <w:rsid w:val="0B000247"/>
    <w:rsid w:val="0B7A0473"/>
    <w:rsid w:val="0C4D2824"/>
    <w:rsid w:val="0C6B58E9"/>
    <w:rsid w:val="0C887550"/>
    <w:rsid w:val="0CC037B1"/>
    <w:rsid w:val="0D0904F0"/>
    <w:rsid w:val="0DC23B85"/>
    <w:rsid w:val="0E7E0060"/>
    <w:rsid w:val="103E3BBA"/>
    <w:rsid w:val="10B03FD5"/>
    <w:rsid w:val="11366D6F"/>
    <w:rsid w:val="118F63AC"/>
    <w:rsid w:val="11EB4707"/>
    <w:rsid w:val="11F46469"/>
    <w:rsid w:val="120E4278"/>
    <w:rsid w:val="12504E2D"/>
    <w:rsid w:val="125D38B0"/>
    <w:rsid w:val="131B1B57"/>
    <w:rsid w:val="139425E9"/>
    <w:rsid w:val="13A9062D"/>
    <w:rsid w:val="141B4077"/>
    <w:rsid w:val="1568217F"/>
    <w:rsid w:val="157C193B"/>
    <w:rsid w:val="16835BA0"/>
    <w:rsid w:val="16CA7775"/>
    <w:rsid w:val="17075A42"/>
    <w:rsid w:val="17E751FA"/>
    <w:rsid w:val="18806984"/>
    <w:rsid w:val="18F67E84"/>
    <w:rsid w:val="1B115E1F"/>
    <w:rsid w:val="1B797C2A"/>
    <w:rsid w:val="1B8C5D3F"/>
    <w:rsid w:val="1BF751B2"/>
    <w:rsid w:val="1BFE4A22"/>
    <w:rsid w:val="1C0F14AB"/>
    <w:rsid w:val="1C900671"/>
    <w:rsid w:val="1D1B58CF"/>
    <w:rsid w:val="1EF61804"/>
    <w:rsid w:val="1F2644BA"/>
    <w:rsid w:val="1F6332D0"/>
    <w:rsid w:val="1FE40F2B"/>
    <w:rsid w:val="20327B4D"/>
    <w:rsid w:val="203E1472"/>
    <w:rsid w:val="20A432B5"/>
    <w:rsid w:val="225059DA"/>
    <w:rsid w:val="22560621"/>
    <w:rsid w:val="22B04525"/>
    <w:rsid w:val="22D72D6D"/>
    <w:rsid w:val="231B5E24"/>
    <w:rsid w:val="245D7442"/>
    <w:rsid w:val="25347E6E"/>
    <w:rsid w:val="262D343D"/>
    <w:rsid w:val="26597157"/>
    <w:rsid w:val="26654A1A"/>
    <w:rsid w:val="27B11261"/>
    <w:rsid w:val="28D91CBC"/>
    <w:rsid w:val="29CE1AAE"/>
    <w:rsid w:val="2AE17FD7"/>
    <w:rsid w:val="2AED7FA5"/>
    <w:rsid w:val="2BAD57B7"/>
    <w:rsid w:val="2BCD718C"/>
    <w:rsid w:val="2C40689A"/>
    <w:rsid w:val="2CA46718"/>
    <w:rsid w:val="2D5830F7"/>
    <w:rsid w:val="2E8F1FFC"/>
    <w:rsid w:val="2EE670ED"/>
    <w:rsid w:val="2FA72EF0"/>
    <w:rsid w:val="2FF8447B"/>
    <w:rsid w:val="304B2DC7"/>
    <w:rsid w:val="312B0C47"/>
    <w:rsid w:val="31516690"/>
    <w:rsid w:val="31565F86"/>
    <w:rsid w:val="31A01894"/>
    <w:rsid w:val="31AD424C"/>
    <w:rsid w:val="31C33D33"/>
    <w:rsid w:val="31F41CA9"/>
    <w:rsid w:val="323A789A"/>
    <w:rsid w:val="325532A1"/>
    <w:rsid w:val="328711B2"/>
    <w:rsid w:val="32B85544"/>
    <w:rsid w:val="32FB1D2B"/>
    <w:rsid w:val="343E749B"/>
    <w:rsid w:val="35FA0F2A"/>
    <w:rsid w:val="36A77D38"/>
    <w:rsid w:val="375F22FB"/>
    <w:rsid w:val="37F34938"/>
    <w:rsid w:val="3AA75643"/>
    <w:rsid w:val="3BBD5812"/>
    <w:rsid w:val="3BC10995"/>
    <w:rsid w:val="3BCC4B5D"/>
    <w:rsid w:val="3C3C2489"/>
    <w:rsid w:val="3C4B08F9"/>
    <w:rsid w:val="3C604983"/>
    <w:rsid w:val="3CF3243B"/>
    <w:rsid w:val="3D2E4D3D"/>
    <w:rsid w:val="3D6B67D2"/>
    <w:rsid w:val="3DC94D94"/>
    <w:rsid w:val="3DED6783"/>
    <w:rsid w:val="3E6276D3"/>
    <w:rsid w:val="3F354E3B"/>
    <w:rsid w:val="3F906696"/>
    <w:rsid w:val="3FAA1C9A"/>
    <w:rsid w:val="413E1D63"/>
    <w:rsid w:val="41F56C46"/>
    <w:rsid w:val="42F84EBB"/>
    <w:rsid w:val="43507074"/>
    <w:rsid w:val="435E2AD4"/>
    <w:rsid w:val="43E5437A"/>
    <w:rsid w:val="448A16D9"/>
    <w:rsid w:val="45373E40"/>
    <w:rsid w:val="45447333"/>
    <w:rsid w:val="45B911F4"/>
    <w:rsid w:val="45BD57EF"/>
    <w:rsid w:val="463D63A0"/>
    <w:rsid w:val="46975A64"/>
    <w:rsid w:val="470A0755"/>
    <w:rsid w:val="47724AA2"/>
    <w:rsid w:val="48E243DC"/>
    <w:rsid w:val="49354E80"/>
    <w:rsid w:val="49450567"/>
    <w:rsid w:val="49530C1A"/>
    <w:rsid w:val="4AAF68A8"/>
    <w:rsid w:val="4B9E400A"/>
    <w:rsid w:val="4BE46262"/>
    <w:rsid w:val="4D552D6B"/>
    <w:rsid w:val="4D59275A"/>
    <w:rsid w:val="4D603FA8"/>
    <w:rsid w:val="4D77315F"/>
    <w:rsid w:val="4D853792"/>
    <w:rsid w:val="4D8B1F20"/>
    <w:rsid w:val="4E4D4EA9"/>
    <w:rsid w:val="4E740976"/>
    <w:rsid w:val="4ED509DB"/>
    <w:rsid w:val="4EDD5174"/>
    <w:rsid w:val="4EFC0541"/>
    <w:rsid w:val="4F1C5C60"/>
    <w:rsid w:val="50147C24"/>
    <w:rsid w:val="501D4786"/>
    <w:rsid w:val="507D45CF"/>
    <w:rsid w:val="512A291F"/>
    <w:rsid w:val="520A5D12"/>
    <w:rsid w:val="53353CBE"/>
    <w:rsid w:val="534750CB"/>
    <w:rsid w:val="539772FE"/>
    <w:rsid w:val="544F2122"/>
    <w:rsid w:val="554C4828"/>
    <w:rsid w:val="559F02B5"/>
    <w:rsid w:val="56EA3D89"/>
    <w:rsid w:val="587F6DAA"/>
    <w:rsid w:val="58990146"/>
    <w:rsid w:val="59DC30E1"/>
    <w:rsid w:val="5A54630A"/>
    <w:rsid w:val="5B0F762A"/>
    <w:rsid w:val="5BF83A3D"/>
    <w:rsid w:val="5C0237B5"/>
    <w:rsid w:val="5D1B03AE"/>
    <w:rsid w:val="5D9927AA"/>
    <w:rsid w:val="5DC969D9"/>
    <w:rsid w:val="5E1562D6"/>
    <w:rsid w:val="5E272242"/>
    <w:rsid w:val="5FB118A9"/>
    <w:rsid w:val="5FC15B04"/>
    <w:rsid w:val="5FE97DC3"/>
    <w:rsid w:val="60094B74"/>
    <w:rsid w:val="60D34866"/>
    <w:rsid w:val="60ED0C93"/>
    <w:rsid w:val="61903D60"/>
    <w:rsid w:val="61F72C3D"/>
    <w:rsid w:val="620A2365"/>
    <w:rsid w:val="627E3690"/>
    <w:rsid w:val="62C34857"/>
    <w:rsid w:val="63931B67"/>
    <w:rsid w:val="641633BF"/>
    <w:rsid w:val="64212E9B"/>
    <w:rsid w:val="648C39B1"/>
    <w:rsid w:val="65AF6965"/>
    <w:rsid w:val="67762399"/>
    <w:rsid w:val="685416AF"/>
    <w:rsid w:val="695F04B1"/>
    <w:rsid w:val="69D73202"/>
    <w:rsid w:val="69FA0224"/>
    <w:rsid w:val="6B1542A9"/>
    <w:rsid w:val="6C32624F"/>
    <w:rsid w:val="6C4A2AAD"/>
    <w:rsid w:val="6CAF58C1"/>
    <w:rsid w:val="6DDC3EEF"/>
    <w:rsid w:val="6E3766A3"/>
    <w:rsid w:val="6EC43075"/>
    <w:rsid w:val="6F5270A2"/>
    <w:rsid w:val="6F952683"/>
    <w:rsid w:val="6FCA7E8E"/>
    <w:rsid w:val="706E3291"/>
    <w:rsid w:val="715449D6"/>
    <w:rsid w:val="72566BA1"/>
    <w:rsid w:val="72AA450A"/>
    <w:rsid w:val="72CA702F"/>
    <w:rsid w:val="73095565"/>
    <w:rsid w:val="73797FDF"/>
    <w:rsid w:val="741F739F"/>
    <w:rsid w:val="743F6E98"/>
    <w:rsid w:val="749D4BEA"/>
    <w:rsid w:val="74EA7D6D"/>
    <w:rsid w:val="75442D5B"/>
    <w:rsid w:val="755F3AB7"/>
    <w:rsid w:val="759B4F29"/>
    <w:rsid w:val="75D949AE"/>
    <w:rsid w:val="77166281"/>
    <w:rsid w:val="781512B7"/>
    <w:rsid w:val="78A21765"/>
    <w:rsid w:val="78B979E4"/>
    <w:rsid w:val="79466E4E"/>
    <w:rsid w:val="7B120997"/>
    <w:rsid w:val="7B225168"/>
    <w:rsid w:val="7C240323"/>
    <w:rsid w:val="7CD3391C"/>
    <w:rsid w:val="7D083006"/>
    <w:rsid w:val="7D100209"/>
    <w:rsid w:val="7D690B70"/>
    <w:rsid w:val="7D7B7976"/>
    <w:rsid w:val="7D837B88"/>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9"/>
    <w:pPr>
      <w:jc w:val="left"/>
      <w:outlineLvl w:val="1"/>
    </w:pPr>
    <w:rPr>
      <w:rFonts w:hint="eastAsia" w:ascii="微软雅黑" w:hAnsi="微软雅黑" w:eastAsia="微软雅黑"/>
      <w:b/>
      <w:color w:val="555555"/>
      <w:kern w:val="0"/>
      <w:sz w:val="16"/>
      <w:szCs w:val="16"/>
    </w:rPr>
  </w:style>
  <w:style w:type="paragraph" w:styleId="3">
    <w:name w:val="heading 3"/>
    <w:basedOn w:val="1"/>
    <w:next w:val="1"/>
    <w:link w:val="16"/>
    <w:qFormat/>
    <w:uiPriority w:val="0"/>
    <w:pPr>
      <w:keepNext/>
      <w:keepLines/>
      <w:spacing w:before="260" w:after="260" w:line="413" w:lineRule="auto"/>
      <w:outlineLvl w:val="2"/>
    </w:pPr>
    <w:rPr>
      <w:b/>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5"/>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17"/>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character" w:customStyle="1" w:styleId="15">
    <w:name w:val="批注框文本 Char"/>
    <w:link w:val="5"/>
    <w:qFormat/>
    <w:uiPriority w:val="0"/>
    <w:rPr>
      <w:kern w:val="2"/>
      <w:sz w:val="18"/>
      <w:szCs w:val="18"/>
    </w:rPr>
  </w:style>
  <w:style w:type="character" w:customStyle="1" w:styleId="16">
    <w:name w:val="标题 3 Char"/>
    <w:link w:val="3"/>
    <w:qFormat/>
    <w:uiPriority w:val="0"/>
    <w:rPr>
      <w:rFonts w:eastAsia="宋体"/>
      <w:b/>
      <w:kern w:val="2"/>
      <w:sz w:val="32"/>
      <w:lang w:val="en-US" w:eastAsia="zh-CN" w:bidi="ar-SA"/>
    </w:rPr>
  </w:style>
  <w:style w:type="character" w:customStyle="1" w:styleId="17">
    <w:name w:val="批注主题 Char"/>
    <w:link w:val="9"/>
    <w:qFormat/>
    <w:uiPriority w:val="0"/>
    <w:rPr>
      <w:b/>
      <w:bCs/>
      <w:kern w:val="2"/>
      <w:sz w:val="21"/>
    </w:rPr>
  </w:style>
  <w:style w:type="character" w:customStyle="1" w:styleId="18">
    <w:name w:val="批注文字 Char"/>
    <w:link w:val="4"/>
    <w:qFormat/>
    <w:uiPriority w:val="0"/>
    <w:rPr>
      <w:kern w:val="2"/>
      <w:sz w:val="21"/>
    </w:rPr>
  </w:style>
  <w:style w:type="character" w:customStyle="1" w:styleId="19">
    <w:name w:val="页脚 Char"/>
    <w:link w:val="6"/>
    <w:qFormat/>
    <w:uiPriority w:val="0"/>
    <w:rPr>
      <w:kern w:val="2"/>
      <w:sz w:val="18"/>
      <w:szCs w:val="18"/>
    </w:rPr>
  </w:style>
  <w:style w:type="character" w:customStyle="1" w:styleId="20">
    <w:name w:val="页眉 Char"/>
    <w:link w:val="7"/>
    <w:qFormat/>
    <w:uiPriority w:val="0"/>
    <w:rPr>
      <w:rFonts w:eastAsia="宋体"/>
      <w:kern w:val="2"/>
      <w:sz w:val="18"/>
      <w:szCs w:val="18"/>
      <w:lang w:val="en-US" w:eastAsia="zh-CN" w:bidi="ar-SA"/>
    </w:rPr>
  </w:style>
  <w:style w:type="character" w:customStyle="1" w:styleId="21">
    <w:name w:val="不明显强调1"/>
    <w:qFormat/>
    <w:uiPriority w:val="19"/>
    <w:rPr>
      <w:i/>
      <w:iCs/>
      <w:color w:val="404040"/>
    </w:rPr>
  </w:style>
  <w:style w:type="character" w:customStyle="1" w:styleId="22">
    <w:name w:val="明显强调1"/>
    <w:qFormat/>
    <w:uiPriority w:val="21"/>
    <w:rPr>
      <w:i/>
      <w:iCs/>
      <w:color w:val="5B9BD5"/>
    </w:rPr>
  </w:style>
  <w:style w:type="character" w:customStyle="1" w:styleId="23">
    <w:name w:val="不明显参考1"/>
    <w:qFormat/>
    <w:uiPriority w:val="31"/>
    <w:rPr>
      <w:smallCaps/>
      <w:color w:val="5A5A5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2275</Words>
  <Characters>2526</Characters>
  <Lines>21</Lines>
  <Paragraphs>6</Paragraphs>
  <TotalTime>16</TotalTime>
  <ScaleCrop>false</ScaleCrop>
  <LinksUpToDate>false</LinksUpToDate>
  <CharactersWithSpaces>2615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2021-11-16T01:38:00Z</dcterms:created>
  <dc:creator>MC SYSTEM</dc:creator>
  <cp:lastModifiedBy>权天下~Muma～</cp:lastModifiedBy>
  <cp:lastPrinted>2019-08-23T03:11:00Z</cp:lastPrinted>
  <dcterms:modified xsi:type="dcterms:W3CDTF">2024-09-24T07:02:11Z</dcterms:modified>
  <dc:title>合同编号：SRTC-FS14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BA59F51E453446E4955B509D174C9F21_13</vt:lpwstr>
  </property>
</Properties>
</file>