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571B8">
      <w:pPr>
        <w:spacing w:beforeLines="50" w:afterLines="50" w:line="360" w:lineRule="auto"/>
        <w:jc w:val="center"/>
        <w:rPr>
          <w:rFonts w:ascii="黑体" w:hAnsi="黑体" w:eastAsia="黑体"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sz w:val="36"/>
          <w:szCs w:val="36"/>
        </w:rPr>
        <w:t>销售合同书</w:t>
      </w:r>
    </w:p>
    <w:p w14:paraId="4EA07F19">
      <w:pPr>
        <w:spacing w:beforeLines="50" w:afterLines="50" w:line="360" w:lineRule="auto"/>
        <w:ind w:right="480"/>
        <w:jc w:val="righ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合同编号：</w:t>
      </w:r>
    </w:p>
    <w:p w14:paraId="4C9F495A">
      <w:pPr>
        <w:spacing w:beforeLines="50" w:afterLines="50" w:line="360" w:lineRule="auto"/>
        <w:rPr>
          <w:rFonts w:ascii="仿宋" w:hAnsi="仿宋" w:eastAsia="仿宋"/>
          <w:b/>
          <w:sz w:val="24"/>
        </w:rPr>
      </w:pPr>
    </w:p>
    <w:p w14:paraId="1CD702CA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甲方（买方）：黄骅市箫驰汽车配件销售有限公司</w:t>
      </w:r>
    </w:p>
    <w:p w14:paraId="19B9BD9B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</w:p>
    <w:p w14:paraId="16ED4574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乙方（卖方）：河北光华荣昌汽车部件有限公司</w:t>
      </w:r>
    </w:p>
    <w:p w14:paraId="3DA567EB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</w:p>
    <w:p w14:paraId="72B614B2">
      <w:pPr>
        <w:pStyle w:val="2"/>
        <w:spacing w:beforeLines="50" w:afterLines="50"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4624DFCA"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产品的名称、规格等</w:t>
      </w:r>
    </w:p>
    <w:p w14:paraId="65494142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货币单位：人民币（元）</w:t>
      </w:r>
    </w:p>
    <w:tbl>
      <w:tblPr>
        <w:tblStyle w:val="7"/>
        <w:tblW w:w="9368" w:type="dxa"/>
        <w:tblInd w:w="-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619"/>
        <w:gridCol w:w="1845"/>
        <w:gridCol w:w="870"/>
        <w:gridCol w:w="990"/>
        <w:gridCol w:w="1020"/>
        <w:gridCol w:w="975"/>
        <w:gridCol w:w="1346"/>
      </w:tblGrid>
      <w:tr w14:paraId="776E2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03" w:type="dxa"/>
          </w:tcPr>
          <w:p w14:paraId="1CA9ED8D">
            <w:pPr>
              <w:widowControl/>
              <w:spacing w:line="360" w:lineRule="auto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19" w:type="dxa"/>
          </w:tcPr>
          <w:p w14:paraId="447CA7B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845" w:type="dxa"/>
          </w:tcPr>
          <w:p w14:paraId="7861309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870" w:type="dxa"/>
          </w:tcPr>
          <w:p w14:paraId="7E273AF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CN"/>
              </w:rPr>
              <w:t>单位</w:t>
            </w:r>
          </w:p>
        </w:tc>
        <w:tc>
          <w:tcPr>
            <w:tcW w:w="990" w:type="dxa"/>
          </w:tcPr>
          <w:p w14:paraId="649F5AA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CN"/>
              </w:rPr>
              <w:t>数量</w:t>
            </w:r>
          </w:p>
        </w:tc>
        <w:tc>
          <w:tcPr>
            <w:tcW w:w="1020" w:type="dxa"/>
          </w:tcPr>
          <w:p w14:paraId="023631B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eastAsia="zh-CN"/>
              </w:rPr>
              <w:t>未税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单价</w:t>
            </w:r>
          </w:p>
        </w:tc>
        <w:tc>
          <w:tcPr>
            <w:tcW w:w="975" w:type="dxa"/>
          </w:tcPr>
          <w:p w14:paraId="798B468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1346" w:type="dxa"/>
          </w:tcPr>
          <w:p w14:paraId="6A3C5F9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备注</w:t>
            </w:r>
          </w:p>
        </w:tc>
      </w:tr>
      <w:tr w14:paraId="00F0D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03" w:type="dxa"/>
            <w:vAlign w:val="center"/>
          </w:tcPr>
          <w:p w14:paraId="4D2C19D2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 w:val="0"/>
                <w:sz w:val="21"/>
                <w:szCs w:val="21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619" w:type="dxa"/>
            <w:vAlign w:val="center"/>
          </w:tcPr>
          <w:p w14:paraId="6B21CA0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A2下视镜</w:t>
            </w:r>
          </w:p>
        </w:tc>
        <w:tc>
          <w:tcPr>
            <w:tcW w:w="1845" w:type="dxa"/>
            <w:vAlign w:val="center"/>
          </w:tcPr>
          <w:p w14:paraId="6C7D6A28"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L0821020007A0</w:t>
            </w:r>
          </w:p>
        </w:tc>
        <w:tc>
          <w:tcPr>
            <w:tcW w:w="870" w:type="dxa"/>
            <w:vAlign w:val="center"/>
          </w:tcPr>
          <w:p w14:paraId="385E3248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</w:rPr>
              <w:t>件</w:t>
            </w:r>
          </w:p>
        </w:tc>
        <w:tc>
          <w:tcPr>
            <w:tcW w:w="990" w:type="dxa"/>
            <w:vAlign w:val="center"/>
          </w:tcPr>
          <w:p w14:paraId="1D2C6DB5"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1020" w:type="dxa"/>
            <w:vAlign w:val="center"/>
          </w:tcPr>
          <w:p w14:paraId="751D38B6"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19.5</w:t>
            </w:r>
          </w:p>
        </w:tc>
        <w:tc>
          <w:tcPr>
            <w:tcW w:w="975" w:type="dxa"/>
            <w:vAlign w:val="center"/>
          </w:tcPr>
          <w:p w14:paraId="2FAA356A"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3900</w:t>
            </w:r>
          </w:p>
        </w:tc>
        <w:tc>
          <w:tcPr>
            <w:tcW w:w="1346" w:type="dxa"/>
            <w:vAlign w:val="center"/>
          </w:tcPr>
          <w:p w14:paraId="6B0A3264">
            <w:pPr>
              <w:jc w:val="center"/>
              <w:rPr>
                <w:rFonts w:hint="eastAsia" w:ascii="仿宋" w:hAnsi="仿宋" w:eastAsia="仿宋" w:cs="仿宋"/>
                <w:b/>
                <w:bCs w:val="0"/>
                <w:i/>
                <w:iCs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/>
                <w:iCs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>RSMO000066</w:t>
            </w:r>
          </w:p>
        </w:tc>
      </w:tr>
      <w:tr w14:paraId="12BBB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top"/>
          </w:tcPr>
          <w:p w14:paraId="3D66AA6D">
            <w:pPr>
              <w:widowControl/>
              <w:spacing w:line="360" w:lineRule="auto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619" w:type="dxa"/>
            <w:vAlign w:val="top"/>
          </w:tcPr>
          <w:p w14:paraId="7B1E6450">
            <w:pPr>
              <w:widowControl/>
              <w:spacing w:line="360" w:lineRule="auto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7046" w:type="dxa"/>
            <w:gridSpan w:val="6"/>
            <w:vAlign w:val="top"/>
          </w:tcPr>
          <w:p w14:paraId="2BDAC898">
            <w:pPr>
              <w:widowControl/>
              <w:spacing w:line="360" w:lineRule="auto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总计：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CN"/>
              </w:rPr>
              <w:t>3900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 xml:space="preserve">         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CN"/>
              </w:rPr>
              <w:t>大写：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eastAsia="zh-CN"/>
              </w:rPr>
              <w:t>叁仟玖佰元整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 xml:space="preserve">     </w:t>
            </w:r>
          </w:p>
        </w:tc>
      </w:tr>
    </w:tbl>
    <w:p w14:paraId="0CD5C283">
      <w:pPr>
        <w:widowControl/>
        <w:spacing w:beforeLines="50" w:afterLines="50" w:line="360" w:lineRule="auto"/>
        <w:rPr>
          <w:rFonts w:hint="eastAsia" w:ascii="仿宋" w:hAnsi="仿宋" w:eastAsia="仿宋" w:cs="宋体"/>
          <w:kern w:val="0"/>
          <w:sz w:val="24"/>
        </w:rPr>
      </w:pPr>
    </w:p>
    <w:p w14:paraId="09319C3B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备注</w:t>
      </w:r>
      <w:r>
        <w:rPr>
          <w:rFonts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>本合同不得要求乙方向甲方以外的第三方开具增值税发票。由甲方外的第三方支付相关款项，产生的涉税风险由甲方承担，乙方无需承担相关损失责任。</w:t>
      </w:r>
    </w:p>
    <w:p w14:paraId="131A23B8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产品符合乙方企业标准或者国家标准。 </w:t>
      </w:r>
    </w:p>
    <w:p w14:paraId="41F6B23E"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付款方式：</w:t>
      </w:r>
    </w:p>
    <w:p w14:paraId="73E4710F"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全额付款至乙方指定银行账户（乙方不接受承兑汇票，除汇入乙方指定银行账户外，均视为未支付合同货款，应承担违约责任及乙方经济损失），乙方收到货款后按照本合同要求将产品送至甲方指定收货地点。</w:t>
      </w:r>
    </w:p>
    <w:p w14:paraId="7554BE71"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乙方应及时向甲方提供实际银行账户，其银行账户如有变更，应立即通知甲方。</w:t>
      </w:r>
    </w:p>
    <w:p w14:paraId="0956427F">
      <w:pPr>
        <w:spacing w:beforeLines="50" w:afterLines="50"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kern w:val="0"/>
          <w:sz w:val="24"/>
        </w:rPr>
        <w:t>：乙方承担运费；</w:t>
      </w:r>
      <w:r>
        <w:rPr>
          <w:rFonts w:hint="eastAsia" w:ascii="仿宋" w:hAnsi="仿宋" w:eastAsia="仿宋"/>
          <w:sz w:val="24"/>
        </w:rPr>
        <w:t>乙方负责产品的常规包装及运输。甲方有特殊要求的，超出部分由甲方自行承担。</w:t>
      </w:r>
    </w:p>
    <w:p w14:paraId="6C803D3D">
      <w:pPr>
        <w:spacing w:beforeLines="50" w:afterLines="50"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收货地点：</w:t>
      </w:r>
    </w:p>
    <w:p w14:paraId="212FBECB">
      <w:pPr>
        <w:spacing w:beforeLines="50" w:afterLines="50"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发货日期：</w:t>
      </w:r>
    </w:p>
    <w:p w14:paraId="0A681AE3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 w14:paraId="4F276963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　违约责任</w:t>
      </w:r>
      <w:r>
        <w:rPr>
          <w:rFonts w:hint="eastAsia" w:ascii="仿宋" w:hAnsi="仿宋" w:eastAsia="仿宋" w:cs="宋体"/>
          <w:kern w:val="0"/>
          <w:sz w:val="24"/>
        </w:rPr>
        <w:t>：乙方逾期交货或所发货品有不合规格、严重产品质量问题等情况，视为乙方违约，甲方将追究乙方责任，并保留索赔权利。</w:t>
      </w:r>
    </w:p>
    <w:p w14:paraId="483C5A37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F035FBD">
      <w:pPr>
        <w:spacing w:beforeLines="50" w:afterLines="50"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本合同履行过程中发生与本合同有关的纠纷或争议，可以通过协商解决；协商不成的，各方均有权向原告所在地有管辖权的人民法院提起诉讼。因此发生的诉讼费、执行费、公告费、保全费、律师费、差旅费等相关费用由败诉方承担。</w:t>
      </w:r>
    </w:p>
    <w:p w14:paraId="2EB1CF77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履行期间，合同因故不能履行或需要修改，须经双方同意并确认后，签订补充协议。</w:t>
      </w:r>
    </w:p>
    <w:p w14:paraId="2A1F605F"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第十条</w:t>
      </w:r>
      <w:r>
        <w:rPr>
          <w:rFonts w:hint="eastAsia" w:ascii="仿宋" w:hAnsi="仿宋" w:eastAsia="仿宋"/>
          <w:b/>
          <w:sz w:val="24"/>
        </w:rPr>
        <w:t xml:space="preserve">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本合同一式两份，双方各执一份，具有同等法律效力。 </w:t>
      </w:r>
    </w:p>
    <w:p w14:paraId="14484B05"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</w:p>
    <w:bookmarkEnd w:id="0"/>
    <w:p w14:paraId="5385839A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甲方:</w:t>
      </w:r>
      <w:r>
        <w:rPr>
          <w:rFonts w:hint="eastAsia" w:ascii="仿宋" w:hAnsi="仿宋" w:eastAsia="仿宋" w:cs="仿宋"/>
          <w:b w:val="0"/>
          <w:bCs/>
          <w:color w:val="000000"/>
          <w:sz w:val="24"/>
        </w:rPr>
        <w:t>黄骅市箫驰汽车配件销售有限公司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乙方:河北光华荣昌汽车部件有限公司                                    </w:t>
      </w:r>
    </w:p>
    <w:p w14:paraId="5C91D436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 w14:paraId="7C65D308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 w14:paraId="5639189F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67BF8BEC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29967"/>
      <w:docPartObj>
        <w:docPartGallery w:val="autotext"/>
      </w:docPartObj>
    </w:sdtPr>
    <w:sdtContent>
      <w:sdt>
        <w:sdtPr>
          <w:id w:val="171357283"/>
          <w:docPartObj>
            <w:docPartGallery w:val="autotext"/>
          </w:docPartObj>
        </w:sdtPr>
        <w:sdtContent>
          <w:p w14:paraId="49995149">
            <w:pPr>
              <w:pStyle w:val="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7527D51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0E8A3">
    <w:pPr>
      <w:pStyle w:val="5"/>
      <w:pBdr>
        <w:bottom w:val="single" w:color="auto" w:sz="6" w:space="0"/>
      </w:pBdr>
      <w:jc w:val="left"/>
    </w:pPr>
    <w: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</w:t>
    </w:r>
    <w:r>
      <w:rPr>
        <w:rFonts w:hint="eastAsia" w:ascii="华文仿宋" w:hAnsi="华文仿宋" w:eastAsia="华文仿宋"/>
      </w:rPr>
      <w:t>合同版本号：2021XSV1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JlMmI5YjljN2FlMmViN2U5NTJlOTAxYTEyY2U2OTMifQ=="/>
  </w:docVars>
  <w:rsids>
    <w:rsidRoot w:val="000E4F91"/>
    <w:rsid w:val="0004000A"/>
    <w:rsid w:val="000D1B6B"/>
    <w:rsid w:val="000D5E7B"/>
    <w:rsid w:val="000E4F91"/>
    <w:rsid w:val="00112CC1"/>
    <w:rsid w:val="00162DE2"/>
    <w:rsid w:val="001779F0"/>
    <w:rsid w:val="001C1481"/>
    <w:rsid w:val="001C7127"/>
    <w:rsid w:val="001F562B"/>
    <w:rsid w:val="00263735"/>
    <w:rsid w:val="0028759A"/>
    <w:rsid w:val="002A1B8F"/>
    <w:rsid w:val="002C24D1"/>
    <w:rsid w:val="002E27A9"/>
    <w:rsid w:val="00354459"/>
    <w:rsid w:val="003F3EEA"/>
    <w:rsid w:val="00480404"/>
    <w:rsid w:val="00495B63"/>
    <w:rsid w:val="004B444B"/>
    <w:rsid w:val="00525D55"/>
    <w:rsid w:val="00573652"/>
    <w:rsid w:val="005B5AC7"/>
    <w:rsid w:val="005C5E32"/>
    <w:rsid w:val="0063210E"/>
    <w:rsid w:val="00645A5D"/>
    <w:rsid w:val="006B1554"/>
    <w:rsid w:val="006B3BBC"/>
    <w:rsid w:val="006E07F4"/>
    <w:rsid w:val="007013F9"/>
    <w:rsid w:val="00733353"/>
    <w:rsid w:val="00857037"/>
    <w:rsid w:val="008A53E5"/>
    <w:rsid w:val="008C2CC6"/>
    <w:rsid w:val="00922834"/>
    <w:rsid w:val="00962E60"/>
    <w:rsid w:val="00980631"/>
    <w:rsid w:val="00981BC3"/>
    <w:rsid w:val="00A17E53"/>
    <w:rsid w:val="00A233BB"/>
    <w:rsid w:val="00A419A2"/>
    <w:rsid w:val="00A520C4"/>
    <w:rsid w:val="00A80E79"/>
    <w:rsid w:val="00A8370A"/>
    <w:rsid w:val="00B0116B"/>
    <w:rsid w:val="00B227A1"/>
    <w:rsid w:val="00B22D07"/>
    <w:rsid w:val="00B4140B"/>
    <w:rsid w:val="00B41948"/>
    <w:rsid w:val="00B64321"/>
    <w:rsid w:val="00BD671C"/>
    <w:rsid w:val="00C1164F"/>
    <w:rsid w:val="00C87511"/>
    <w:rsid w:val="00C90A0F"/>
    <w:rsid w:val="00C93E16"/>
    <w:rsid w:val="00C96672"/>
    <w:rsid w:val="00CD26FD"/>
    <w:rsid w:val="00CE48C5"/>
    <w:rsid w:val="00D465EF"/>
    <w:rsid w:val="00DC0AAA"/>
    <w:rsid w:val="00DC5103"/>
    <w:rsid w:val="00DF570A"/>
    <w:rsid w:val="00E50820"/>
    <w:rsid w:val="00E871FE"/>
    <w:rsid w:val="00F0465D"/>
    <w:rsid w:val="00F27285"/>
    <w:rsid w:val="00F731EC"/>
    <w:rsid w:val="00FF5D5E"/>
    <w:rsid w:val="05663F59"/>
    <w:rsid w:val="0B612B15"/>
    <w:rsid w:val="0C430B50"/>
    <w:rsid w:val="0FE64614"/>
    <w:rsid w:val="108C6F6A"/>
    <w:rsid w:val="12BE3627"/>
    <w:rsid w:val="182A0E16"/>
    <w:rsid w:val="1BF9122C"/>
    <w:rsid w:val="1CA67605"/>
    <w:rsid w:val="1D7414B2"/>
    <w:rsid w:val="29531A68"/>
    <w:rsid w:val="2BFC6A19"/>
    <w:rsid w:val="2FA774C5"/>
    <w:rsid w:val="32A7158A"/>
    <w:rsid w:val="35B27BC2"/>
    <w:rsid w:val="36EF52AD"/>
    <w:rsid w:val="3B6E0E96"/>
    <w:rsid w:val="3E3A6F61"/>
    <w:rsid w:val="413D1A37"/>
    <w:rsid w:val="42C02C18"/>
    <w:rsid w:val="42EF5DC0"/>
    <w:rsid w:val="4CF83A48"/>
    <w:rsid w:val="4D062959"/>
    <w:rsid w:val="4D4B6F06"/>
    <w:rsid w:val="54D15DEA"/>
    <w:rsid w:val="586D77E3"/>
    <w:rsid w:val="61556325"/>
    <w:rsid w:val="63A47E79"/>
    <w:rsid w:val="63CF6769"/>
    <w:rsid w:val="64A22D73"/>
    <w:rsid w:val="7027728A"/>
    <w:rsid w:val="707977EB"/>
    <w:rsid w:val="71606B13"/>
    <w:rsid w:val="72734A09"/>
    <w:rsid w:val="7277390A"/>
    <w:rsid w:val="73F60210"/>
    <w:rsid w:val="742D0BE7"/>
    <w:rsid w:val="76F31C74"/>
    <w:rsid w:val="7B8604B6"/>
    <w:rsid w:val="7BBD4F47"/>
    <w:rsid w:val="7EBB576E"/>
    <w:rsid w:val="7F0133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objwebdatawindowcontrol117d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1029</Words>
  <Characters>1138</Characters>
  <Lines>9</Lines>
  <Paragraphs>2</Paragraphs>
  <TotalTime>8</TotalTime>
  <ScaleCrop>false</ScaleCrop>
  <LinksUpToDate>false</LinksUpToDate>
  <CharactersWithSpaces>1375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2021-09-06T05:50:00Z</dcterms:created>
  <dc:creator>wang fucheng</dc:creator>
  <cp:lastModifiedBy>浅笑安然</cp:lastModifiedBy>
  <dcterms:modified xsi:type="dcterms:W3CDTF">2024-10-28T09:19:44Z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91BCC5CCE93543599699BCC551F8F14D_12</vt:lpwstr>
  </property>
</Properties>
</file>