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358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val="en-US" w:eastAsia="zh-CN"/>
        </w:rPr>
        <w:t>项目购销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合同</w:t>
      </w:r>
    </w:p>
    <w:p w14:paraId="65391E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甲方：长春光华荣昌汽车部件有限公司</w:t>
      </w:r>
    </w:p>
    <w:p w14:paraId="374B85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800" w:lineRule="exact"/>
        <w:textAlignment w:val="auto"/>
        <w:rPr>
          <w:rFonts w:hint="default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乙方：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长春市成伟友联经贸有限公司</w:t>
      </w:r>
    </w:p>
    <w:p w14:paraId="684C3B3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5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根据中华人民共和国有关法律、法规,本着诚实守信、平等互利的原则，经甲、乙双方协商，就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>长春光华荣昌汽车部件有限公司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设备迁移及安装调试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>项目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，双方达成协议如下：</w:t>
      </w:r>
    </w:p>
    <w:p w14:paraId="0BD7D9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5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由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>长春光华荣昌汽车部件有限公司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(以下简称甲方)和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长春市成伟友联经贸有限公司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以下简称乙方)，双方经协商签订，双方共同遵守执行。</w:t>
      </w:r>
    </w:p>
    <w:p w14:paraId="448CAB9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第一条　乙方所提供的产品及费用清单：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（价款含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增值税专票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）</w:t>
      </w: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53"/>
        <w:gridCol w:w="1183"/>
        <w:gridCol w:w="2019"/>
        <w:gridCol w:w="611"/>
        <w:gridCol w:w="528"/>
        <w:gridCol w:w="1125"/>
        <w:gridCol w:w="864"/>
        <w:gridCol w:w="1666"/>
      </w:tblGrid>
      <w:tr w14:paraId="2BA0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6C63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5B46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3F74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512B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03ED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47F0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626B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2707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14:paraId="19CE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9D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D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6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6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普天迅达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9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6类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E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B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E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A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3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6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B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A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网线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9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TPLINK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B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超5类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6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4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9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2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3264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A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3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A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B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电视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4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红米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E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55寸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4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3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6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E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1599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29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5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E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9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RJ45转HDMI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9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烽火威视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A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RJ45转HDMI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7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4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6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2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F6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5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B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A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网络配线架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D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东腾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7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24口CAT5配线架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5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F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5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8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1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0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8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网络配线架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D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东腾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A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24口CAT6配线架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A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1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9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C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0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7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6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理线架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1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东腾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4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网络配线架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1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5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2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9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BB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6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B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网络水晶头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2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东腾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0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超5水晶头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D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C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8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4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AF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7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1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F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网络水晶头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1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东腾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5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超6水晶头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B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7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1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4B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7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9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5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PVC线槽（大）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0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国标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1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6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C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1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FF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2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F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6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PVC线槽（小）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B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国标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E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F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D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E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F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7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8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A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4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施工费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定制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D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6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E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E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4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F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2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0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6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升降机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C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定制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8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4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E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9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7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8D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3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6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9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入网专线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6CB6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联通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7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50M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D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6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D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B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0A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6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31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BEBEBE"/>
            <w:noWrap/>
            <w:vAlign w:val="center"/>
          </w:tcPr>
          <w:p w14:paraId="2291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未税合计：37299.00（叁万柒仟贰佰玖拾玖元整）含税合计：42069.00（肆万贰仟零陆拾玖元整）</w:t>
            </w:r>
          </w:p>
        </w:tc>
      </w:tr>
    </w:tbl>
    <w:p w14:paraId="5A2083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44FDB92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第二条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包装：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由乙方按国家标准进行包装。任何因包装不善所致之损失均由乙方负责。</w:t>
      </w:r>
    </w:p>
    <w:p w14:paraId="70EC4C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第三条　交货期：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甲方指定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。</w:t>
      </w:r>
    </w:p>
    <w:p w14:paraId="6FE69B6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第四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条　交货地点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方式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及付款</w:t>
      </w:r>
    </w:p>
    <w:p w14:paraId="11269F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1.交货地点：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 xml:space="preserve">  长春市汽开区富奥大路1952号A1号厂房    </w:t>
      </w:r>
    </w:p>
    <w:p w14:paraId="412BF23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2.交货方式：乙方将货物运至甲方指定的目的地。乙方负责办理货物运至甲方指定的目的地，有关费用已包括在合同总价中。</w:t>
      </w:r>
    </w:p>
    <w:p w14:paraId="76D6DB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3.安装调试：乙方负责安装调试。</w:t>
      </w:r>
    </w:p>
    <w:p w14:paraId="1A528C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宋体" w:hAnsi="宋体" w:eastAsia="宋体" w:cs="宋体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.付款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时间及比例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安装调试完成后，乙方给甲方开具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lang w:val="en-US" w:eastAsia="zh-CN"/>
        </w:rPr>
        <w:t>全额发票后十个工作日内结算货款总金额100%（即42069.00元）</w:t>
      </w:r>
    </w:p>
    <w:p w14:paraId="3A2E79C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5.付款方式及账户信息：</w:t>
      </w:r>
    </w:p>
    <w:p w14:paraId="4ACF55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（1）付款方式：对公转账</w:t>
      </w:r>
    </w:p>
    <w:p w14:paraId="65E0DE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5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账户信息：名  称:长春市成伟友联经贸有限公司</w:t>
      </w:r>
    </w:p>
    <w:p w14:paraId="38B5DB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7" w:firstLineChars="963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开户行:中国民生银行股份有限公司长春长影支行</w:t>
      </w:r>
    </w:p>
    <w:p w14:paraId="42DE27E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7" w:firstLineChars="963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账  号:153673107</w:t>
      </w:r>
    </w:p>
    <w:p w14:paraId="0614CAD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第六条　质量保证和售后服务</w:t>
      </w:r>
    </w:p>
    <w:p w14:paraId="12E1082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1.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质保期：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质保一年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。</w:t>
      </w:r>
    </w:p>
    <w:p w14:paraId="7A7CD2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乙方承诺所提供甲方的产品质量具有可追溯性。</w:t>
      </w:r>
    </w:p>
    <w:p w14:paraId="4395D31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0"/>
        <w:textAlignment w:val="auto"/>
        <w:rPr>
          <w:rFonts w:hint="default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-SA"/>
        </w:rPr>
        <w:t>第七条　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违约责任</w:t>
      </w:r>
    </w:p>
    <w:p w14:paraId="6DF9C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  <w:t>1.甲方应在乙方项目产品到货并安装调试成功后及时验收，签署验收报告，验收报告签署后，按照合同规定时间提供相应项目款项的支付。如甲方未按照合同规定期限付款，每超过一个工作日，甲方应按项目总额0.1%对乙方进行违约金赔偿，违约金累计赔偿金额不得超过项目总金额的10%，同时乙方有权终止合同，并要求甲方按实际产生的产品设备、人工、材料、机器等费用进行按价赔偿，甲方不得拒绝。</w:t>
      </w:r>
    </w:p>
    <w:p w14:paraId="4F6557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  <w:t>2.乙方需按照合同规定提供符合项目招标需求的合格产品设备，并提供优质的安装调试服务，同时需要对接好已有同类设备系统，达到满足甲方使用要求。如果乙方未按照合同规定时间完成项目所包含产品的安装调试，每超过一个工作日，乙方应按项目总额0.1%对甲方进行违约金赔偿，违约金累计赔偿金额不得超过项目总金额的10%，同时甲方有权终止合同，并要求乙方恢复现场原有场地情况，由此产生的全部费用由乙方自行承担，甲方不予支付。</w:t>
      </w:r>
    </w:p>
    <w:p w14:paraId="3720F80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条　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不可抗力</w:t>
      </w:r>
    </w:p>
    <w:p w14:paraId="07184FF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  <w:t>因不可抗力造成违约的，根据情况可部分或全部免于承担违约责任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。</w:t>
      </w:r>
    </w:p>
    <w:p w14:paraId="55976B7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  <w:t>不可抗力指不能预见、不能避免并不能克服的客观情况。包括但不限于：自然灾害如地震、台风、洪水、火灾；政府行为、法律规定或其适用的变化或者其他任何无法预见、避免或者控制的事件。</w:t>
      </w:r>
    </w:p>
    <w:p w14:paraId="7510F1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　第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条　争端的解决</w:t>
      </w:r>
    </w:p>
    <w:p w14:paraId="0A36022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合同实施或与合同有关的一切争端应通过双方友好协商解决。如果友好协商不能解决，各方均可向有管辖权的人民法院起诉。</w:t>
      </w:r>
    </w:p>
    <w:p w14:paraId="635A76A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第十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条　合同生效及其它</w:t>
      </w:r>
    </w:p>
    <w:p w14:paraId="199A60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1.本合同应在双方单位盖章后方可生效。</w:t>
      </w:r>
    </w:p>
    <w:p w14:paraId="1946B50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2.本合同正本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</w:rPr>
        <w:t>一式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</w:rPr>
        <w:t>份，双方各持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</w:rPr>
        <w:t>份，具有同等法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律效力。</w:t>
      </w:r>
    </w:p>
    <w:p w14:paraId="0ED956C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3.货品具体参数见后附表，附表后无其他内容。</w:t>
      </w:r>
    </w:p>
    <w:p w14:paraId="06AF1C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4.纠纷的解决：合同实施过程或与合同有关的一切纠纷，双方应友好协商解决， 若协商不成，各方均可向长春仲裁委员会仲裁解决。</w:t>
      </w:r>
    </w:p>
    <w:p w14:paraId="3FBB7009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本合同自甲、乙双方法定代表人(负责人)或授权代理人签字并加盖公章后生效。合同正本一式肆份，甲、乙双方各执贰份，均具有同等法律效力</w:t>
      </w:r>
    </w:p>
    <w:p w14:paraId="2011990D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0381342B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29C19AD4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585B59E0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0CB630C3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7BAFF5BE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418CC1F5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4F3C2C14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4E2B01EB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7F161785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5B2054E7">
      <w:pPr>
        <w:pStyle w:val="3"/>
        <w:widowControl/>
        <w:spacing w:line="44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74E07C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宋体" w:hAnsi="宋体" w:eastAsia="宋体" w:cs="宋体"/>
          <w:b/>
          <w:bCs/>
          <w:color w:val="333333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甲方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法定代表人或授权代理人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：(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签字或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盖章)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single"/>
          <w:lang w:val="en-US" w:eastAsia="zh-CN"/>
        </w:rPr>
        <w:t>长春光华荣昌汽车部件有限公司</w:t>
      </w:r>
    </w:p>
    <w:p w14:paraId="547C7A37">
      <w:pPr>
        <w:pStyle w:val="3"/>
        <w:widowControl/>
        <w:spacing w:line="440" w:lineRule="exact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</w:p>
    <w:p w14:paraId="2D094222">
      <w:pPr>
        <w:pStyle w:val="3"/>
        <w:widowControl/>
        <w:spacing w:line="440" w:lineRule="exact"/>
        <w:ind w:left="6114" w:hanging="6987" w:hangingChars="2900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  <w:t>甲方(公章):</w:t>
      </w:r>
    </w:p>
    <w:p w14:paraId="339BC1C2">
      <w:pPr>
        <w:pStyle w:val="3"/>
        <w:widowControl/>
        <w:spacing w:line="440" w:lineRule="exact"/>
        <w:ind w:left="6114" w:hanging="6987" w:hangingChars="2900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</w:p>
    <w:p w14:paraId="263FEAD3">
      <w:pPr>
        <w:pStyle w:val="3"/>
        <w:widowControl/>
        <w:spacing w:line="440" w:lineRule="exact"/>
        <w:ind w:left="6114" w:hanging="6987" w:hangingChars="2900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  <w:t>日期：      年      月      日</w:t>
      </w:r>
    </w:p>
    <w:p w14:paraId="73D3BCDA">
      <w:pPr>
        <w:pStyle w:val="3"/>
        <w:widowControl/>
        <w:spacing w:line="440" w:lineRule="exact"/>
        <w:ind w:left="6114" w:hanging="6987" w:hangingChars="2900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</w:p>
    <w:p w14:paraId="519DECDD">
      <w:pPr>
        <w:pStyle w:val="3"/>
        <w:widowControl/>
        <w:spacing w:line="440" w:lineRule="exact"/>
        <w:ind w:left="6114" w:hanging="6987" w:hangingChars="2900"/>
        <w:rPr>
          <w:rFonts w:hint="default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</w:p>
    <w:p w14:paraId="35B58B00">
      <w:pPr>
        <w:pStyle w:val="3"/>
        <w:widowControl/>
        <w:spacing w:line="440" w:lineRule="exact"/>
        <w:ind w:left="6114" w:hanging="6987" w:hangingChars="2900"/>
        <w:rPr>
          <w:rFonts w:hint="default" w:ascii="宋体" w:hAnsi="宋体" w:eastAsia="宋体" w:cs="宋体"/>
          <w:b/>
          <w:bCs/>
          <w:color w:val="333333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方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法定代表人或授权代理人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：(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签字或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盖章)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single"/>
          <w:lang w:val="en-US" w:eastAsia="zh-CN"/>
        </w:rPr>
        <w:t xml:space="preserve"> 长春市成伟友联经贸有限公司 </w:t>
      </w:r>
    </w:p>
    <w:p w14:paraId="22F8205C">
      <w:pPr>
        <w:pStyle w:val="3"/>
        <w:widowControl/>
        <w:spacing w:line="440" w:lineRule="exact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</w:p>
    <w:p w14:paraId="22DB8798">
      <w:pPr>
        <w:pStyle w:val="3"/>
        <w:widowControl/>
        <w:spacing w:line="440" w:lineRule="exact"/>
        <w:ind w:left="6114" w:hanging="6987" w:hangingChars="2900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  <w:t>乙方(公章):</w:t>
      </w:r>
    </w:p>
    <w:p w14:paraId="08092652">
      <w:pPr>
        <w:pStyle w:val="3"/>
        <w:widowControl/>
        <w:spacing w:line="440" w:lineRule="exact"/>
        <w:ind w:left="6114" w:hanging="6987" w:hangingChars="2900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</w:p>
    <w:p w14:paraId="6A277AE2">
      <w:pPr>
        <w:pStyle w:val="3"/>
        <w:widowControl/>
        <w:spacing w:line="440" w:lineRule="exact"/>
        <w:ind w:left="6114" w:hanging="6987" w:hangingChars="2900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  <w:t>日期：      年      月      日</w:t>
      </w:r>
    </w:p>
    <w:p w14:paraId="62DDBE04">
      <w:pPr>
        <w:pStyle w:val="3"/>
        <w:widowControl/>
        <w:spacing w:line="440" w:lineRule="exact"/>
        <w:ind w:left="6114" w:hanging="6987" w:hangingChars="2900"/>
        <w:rPr>
          <w:rFonts w:hint="eastAsia" w:ascii="宋体" w:hAnsi="宋体" w:eastAsia="宋体" w:cs="宋体"/>
          <w:b/>
          <w:bCs/>
          <w:color w:val="333333"/>
          <w:sz w:val="24"/>
          <w:szCs w:val="24"/>
          <w:u w:val="none"/>
          <w:lang w:val="en-US" w:eastAsia="zh-CN"/>
        </w:rPr>
      </w:pPr>
    </w:p>
    <w:p w14:paraId="30358D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</w:p>
    <w:p w14:paraId="1CB194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default" w:ascii="宋体" w:hAnsi="宋体" w:eastAsia="宋体" w:cs="宋体"/>
          <w:b/>
          <w:bCs/>
          <w:color w:val="333333"/>
          <w:sz w:val="30"/>
          <w:szCs w:val="30"/>
          <w:lang w:val="en-US" w:eastAsia="zh-CN"/>
        </w:rPr>
      </w:pP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000000"/>
    <w:rsid w:val="01A27E8C"/>
    <w:rsid w:val="052C2AEA"/>
    <w:rsid w:val="0E463D72"/>
    <w:rsid w:val="0F40631D"/>
    <w:rsid w:val="14A10AFD"/>
    <w:rsid w:val="154A4AB7"/>
    <w:rsid w:val="169871DE"/>
    <w:rsid w:val="17373473"/>
    <w:rsid w:val="23EE47D6"/>
    <w:rsid w:val="32D2090D"/>
    <w:rsid w:val="3B323769"/>
    <w:rsid w:val="3C10388E"/>
    <w:rsid w:val="3DB611FF"/>
    <w:rsid w:val="43002EE4"/>
    <w:rsid w:val="453E5429"/>
    <w:rsid w:val="48025300"/>
    <w:rsid w:val="4B177046"/>
    <w:rsid w:val="4D4D67D1"/>
    <w:rsid w:val="52042C72"/>
    <w:rsid w:val="536321AE"/>
    <w:rsid w:val="569002BD"/>
    <w:rsid w:val="596158F5"/>
    <w:rsid w:val="5AEC0B8F"/>
    <w:rsid w:val="5EBF49B5"/>
    <w:rsid w:val="62323B9C"/>
    <w:rsid w:val="66EF1FF5"/>
    <w:rsid w:val="6D3047CC"/>
    <w:rsid w:val="6D5C5B6B"/>
    <w:rsid w:val="6E7F76C5"/>
    <w:rsid w:val="721323B2"/>
    <w:rsid w:val="77C4384E"/>
    <w:rsid w:val="77F65DDE"/>
    <w:rsid w:val="7CB0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6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1623</Words>
  <Characters>1784</Characters>
  <Lines>0</Lines>
  <Paragraphs>0</Paragraphs>
  <TotalTime>180</TotalTime>
  <ScaleCrop>false</ScaleCrop>
  <LinksUpToDate>false</LinksUpToDate>
  <CharactersWithSpaces>1859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慕缇</cp:lastModifiedBy>
  <cp:lastPrinted>2024-11-12T07:41:07Z</cp:lastPrinted>
  <dcterms:modified xsi:type="dcterms:W3CDTF">2024-11-12T07:50:23Z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1FDD92B098EE4A3186EFC5DA86163CBE_13</vt:lpwstr>
  </property>
</Properties>
</file>