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DA1A1"/>
    <w:p w14:paraId="5D559F9E"/>
    <w:p w14:paraId="69BFB086"/>
    <w:p w14:paraId="6FF962EC"/>
    <w:p w14:paraId="6A4113EF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032E5766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6D1E51D6"/>
    <w:p w14:paraId="04AE332D"/>
    <w:p w14:paraId="58749A5A"/>
    <w:p w14:paraId="3DB3CF0C"/>
    <w:p w14:paraId="2D87281B"/>
    <w:p w14:paraId="36076E43"/>
    <w:p w14:paraId="570AEB6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试验名称：回弹性能</w:t>
      </w:r>
    </w:p>
    <w:p w14:paraId="429F3897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210A52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89225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C592E6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925830" cy="562610"/>
                  <wp:effectExtent l="0" t="0" r="7620" b="8890"/>
                  <wp:docPr id="9" name="图片 9" descr="C:\Users\Administrator\Desktop\徐\2024所有实验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strator\Desktop\徐\2024所有实验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35" cy="572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33BD2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4-11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E7373C1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2024年11月11日</w:t>
                </w:r>
              </w:p>
            </w:sdtContent>
          </w:sdt>
        </w:tc>
      </w:tr>
      <w:tr w14:paraId="3492C6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ADDB03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D35C35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655955" cy="586740"/>
                  <wp:effectExtent l="0" t="0" r="0" b="3810"/>
                  <wp:docPr id="8" name="图片 8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DDB96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4-11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2580C060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2024年11月12日</w:t>
                </w:r>
              </w:p>
            </w:sdtContent>
          </w:sdt>
        </w:tc>
      </w:tr>
      <w:tr w14:paraId="274A68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2E5EC1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919695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655955" cy="586740"/>
                  <wp:effectExtent l="0" t="0" r="0" b="3810"/>
                  <wp:docPr id="5" name="图片 5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C6A7F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4-11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2E99686A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2024年11月12日</w:t>
                </w:r>
              </w:p>
            </w:sdtContent>
          </w:sdt>
        </w:tc>
      </w:tr>
    </w:tbl>
    <w:p w14:paraId="7B4B669D"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2980690</wp:posOffset>
            </wp:positionH>
            <wp:positionV relativeFrom="paragraph">
              <wp:posOffset>10160</wp:posOffset>
            </wp:positionV>
            <wp:extent cx="1179195" cy="1184275"/>
            <wp:effectExtent l="0" t="0" r="2540" b="0"/>
            <wp:wrapNone/>
            <wp:docPr id="11" name="图片 11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9115" cy="118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89D59F"/>
    <w:p w14:paraId="659262A5"/>
    <w:p w14:paraId="7FB63DB7"/>
    <w:p w14:paraId="67E6D752"/>
    <w:p w14:paraId="5131532D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53023607">
      <w:pPr>
        <w:rPr>
          <w:b/>
        </w:rPr>
      </w:pPr>
    </w:p>
    <w:p w14:paraId="52C6CA22">
      <w:pPr>
        <w:widowControl/>
        <w:jc w:val="left"/>
        <w:rPr>
          <w:b/>
        </w:rPr>
      </w:pPr>
      <w:r>
        <w:rPr>
          <w:b/>
        </w:rPr>
        <w:br w:type="page"/>
      </w:r>
    </w:p>
    <w:p w14:paraId="4C974FD4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648B51EC">
      <w:pPr>
        <w:spacing w:line="360" w:lineRule="auto"/>
        <w:ind w:firstLine="1280" w:firstLineChars="400"/>
        <w:rPr>
          <w:sz w:val="32"/>
        </w:rPr>
      </w:pPr>
    </w:p>
    <w:p w14:paraId="2E004839">
      <w:pPr>
        <w:spacing w:line="360" w:lineRule="auto"/>
        <w:ind w:firstLine="1280" w:firstLineChars="400"/>
        <w:rPr>
          <w:sz w:val="32"/>
        </w:rPr>
      </w:pPr>
    </w:p>
    <w:p w14:paraId="157009DE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60E53DEF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6FE76153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73D55D16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567D48CD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56E2AB93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547C30CA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4CA7DB0A">
      <w:pPr>
        <w:spacing w:line="360" w:lineRule="auto"/>
        <w:rPr>
          <w:sz w:val="32"/>
        </w:rPr>
      </w:pPr>
    </w:p>
    <w:p w14:paraId="5D93138F">
      <w:pPr>
        <w:spacing w:line="360" w:lineRule="auto"/>
        <w:rPr>
          <w:sz w:val="32"/>
        </w:rPr>
      </w:pPr>
    </w:p>
    <w:p w14:paraId="4DDC36CF">
      <w:pPr>
        <w:spacing w:line="360" w:lineRule="auto"/>
        <w:rPr>
          <w:sz w:val="32"/>
        </w:rPr>
      </w:pPr>
    </w:p>
    <w:p w14:paraId="7BA147D7">
      <w:pPr>
        <w:spacing w:line="360" w:lineRule="auto"/>
        <w:rPr>
          <w:sz w:val="32"/>
        </w:rPr>
      </w:pPr>
    </w:p>
    <w:p w14:paraId="2E920E01">
      <w:pPr>
        <w:spacing w:line="360" w:lineRule="auto"/>
        <w:rPr>
          <w:sz w:val="32"/>
        </w:rPr>
      </w:pPr>
    </w:p>
    <w:p w14:paraId="1161E242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79A4200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01B13C29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0B88FE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52E6F8E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0328D70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荣昌座垫</w:t>
            </w:r>
            <w:r>
              <w:rPr>
                <w:rFonts w:ascii="宋体" w:hAnsi="宋体"/>
                <w:kern w:val="0"/>
                <w:szCs w:val="20"/>
              </w:rPr>
              <w:t>泡沫总成</w:t>
            </w:r>
          </w:p>
          <w:p w14:paraId="2FA23E4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格拉默</w:t>
            </w:r>
            <w:r>
              <w:rPr>
                <w:rFonts w:ascii="宋体" w:hAnsi="宋体"/>
                <w:kern w:val="0"/>
                <w:szCs w:val="20"/>
              </w:rPr>
              <w:t>座垫泡沫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 w14:paraId="392DA36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53C1E57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H4</w:t>
            </w:r>
          </w:p>
        </w:tc>
      </w:tr>
      <w:tr w14:paraId="27CA15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424F66B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2EFF89C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14:paraId="26006F6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2E75FDB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 w14:paraId="082A66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0EEEB0A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7B7D7F7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3D7218F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6639E04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092E12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0210EF0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3D528F3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李宁</w:t>
            </w:r>
          </w:p>
          <w:p w14:paraId="52BE210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19213058797</w:t>
            </w:r>
          </w:p>
        </w:tc>
        <w:tc>
          <w:tcPr>
            <w:tcW w:w="2056" w:type="dxa"/>
            <w:vAlign w:val="center"/>
          </w:tcPr>
          <w:p w14:paraId="661D3E4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11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14A7D2CD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2024年11月7日</w:t>
                </w:r>
              </w:p>
            </w:sdtContent>
          </w:sdt>
        </w:tc>
      </w:tr>
      <w:tr w14:paraId="22EF2A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6D0FC11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75F86D4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3F1DCB8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11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06948D01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2024年11月11日</w:t>
                </w:r>
              </w:p>
            </w:sdtContent>
          </w:sdt>
        </w:tc>
      </w:tr>
      <w:tr w14:paraId="653853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268214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6403973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回弹性能</w:t>
            </w:r>
          </w:p>
        </w:tc>
      </w:tr>
      <w:tr w14:paraId="16065B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0A1AA75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0FD8869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kern w:val="0"/>
                <w:szCs w:val="20"/>
              </w:rPr>
              <w:t>QC/T 56-1993</w:t>
            </w:r>
          </w:p>
        </w:tc>
      </w:tr>
      <w:tr w14:paraId="7EA2B7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49CA01D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29C77E50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675CD1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267369D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05A77DD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对2024年11月7日座椅开发部送检的</w:t>
            </w:r>
            <w:r>
              <w:rPr>
                <w:rFonts w:ascii="宋体" w:hAnsi="宋体" w:eastAsia="宋体"/>
              </w:rPr>
              <w:t xml:space="preserve"> H4</w:t>
            </w:r>
            <w:r>
              <w:rPr>
                <w:rFonts w:hint="eastAsia" w:ascii="宋体" w:hAnsi="宋体"/>
                <w:kern w:val="0"/>
                <w:szCs w:val="20"/>
              </w:rPr>
              <w:t>荣昌座垫</w:t>
            </w:r>
            <w:r>
              <w:rPr>
                <w:rFonts w:ascii="宋体" w:hAnsi="宋体"/>
                <w:kern w:val="0"/>
                <w:szCs w:val="20"/>
              </w:rPr>
              <w:t>泡沫总成、格拉默</w:t>
            </w:r>
            <w:r>
              <w:rPr>
                <w:rFonts w:hint="eastAsia" w:ascii="宋体" w:hAnsi="宋体"/>
                <w:kern w:val="0"/>
                <w:szCs w:val="20"/>
              </w:rPr>
              <w:t>座垫</w:t>
            </w:r>
            <w:r>
              <w:rPr>
                <w:rFonts w:ascii="宋体" w:hAnsi="宋体"/>
                <w:kern w:val="0"/>
                <w:szCs w:val="20"/>
              </w:rPr>
              <w:t>泡沫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  <w:kern w:val="0"/>
                <w:szCs w:val="20"/>
              </w:rPr>
              <w:t xml:space="preserve"> QC/T 56-1993</w:t>
            </w:r>
            <w:r>
              <w:rPr>
                <w:rFonts w:hint="eastAsia" w:ascii="宋体" w:hAnsi="宋体" w:eastAsia="宋体"/>
              </w:rPr>
              <w:t>进行回弹性能检测，只提供数据</w:t>
            </w:r>
            <w:r>
              <w:rPr>
                <w:rFonts w:ascii="宋体" w:hAnsi="宋体" w:eastAsia="宋体"/>
              </w:rPr>
              <w:t>不做评价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792E1B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44D6EFC4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15B912E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717C71A4">
      <w:pPr>
        <w:rPr>
          <w:b/>
        </w:rPr>
      </w:pPr>
    </w:p>
    <w:p w14:paraId="0037636B">
      <w:pPr>
        <w:widowControl/>
        <w:jc w:val="left"/>
        <w:rPr>
          <w:b/>
        </w:rPr>
      </w:pPr>
      <w:r>
        <w:rPr>
          <w:b/>
        </w:rPr>
        <w:br w:type="page"/>
      </w:r>
    </w:p>
    <w:p w14:paraId="515A6F3B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4303F3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061146C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6B72814D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11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2024年11月11日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11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2024年11月11日</w:t>
                </w:r>
              </w:sdtContent>
            </w:sdt>
          </w:p>
        </w:tc>
      </w:tr>
      <w:tr w14:paraId="23B0A2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5363811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D8B855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6BDCB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33D748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09F976F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020FA5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AD72E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2AB0BF08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 w14:paraId="4094FA69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66B011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0A9787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2808C5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4B5A8DC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0425CD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77B79E2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612E401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64EDD6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6428C0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AFF66E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5E5C0CD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泡沫塑料落球回弹测定仪</w:t>
            </w:r>
          </w:p>
        </w:tc>
        <w:tc>
          <w:tcPr>
            <w:tcW w:w="1418" w:type="dxa"/>
            <w:vAlign w:val="center"/>
          </w:tcPr>
          <w:p w14:paraId="7B4FAE6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Q-016</w:t>
            </w:r>
          </w:p>
        </w:tc>
        <w:tc>
          <w:tcPr>
            <w:tcW w:w="1417" w:type="dxa"/>
            <w:vAlign w:val="center"/>
          </w:tcPr>
          <w:p w14:paraId="451ACB3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XLH-460/500</w:t>
            </w:r>
          </w:p>
        </w:tc>
        <w:tc>
          <w:tcPr>
            <w:tcW w:w="2192" w:type="dxa"/>
            <w:vAlign w:val="center"/>
          </w:tcPr>
          <w:p w14:paraId="589CDD9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长春新科试验仪器设备有限公司</w:t>
            </w:r>
          </w:p>
        </w:tc>
        <w:tc>
          <w:tcPr>
            <w:tcW w:w="1068" w:type="dxa"/>
            <w:vAlign w:val="center"/>
          </w:tcPr>
          <w:p w14:paraId="4AE49B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＜1.5</w:t>
            </w:r>
          </w:p>
        </w:tc>
        <w:tc>
          <w:tcPr>
            <w:tcW w:w="1985" w:type="dxa"/>
            <w:vAlign w:val="center"/>
          </w:tcPr>
          <w:p w14:paraId="20580A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ascii="宋体" w:hAnsi="宋体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254F006D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61710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CC2A94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EAB45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241E551C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方法B</w:t>
            </w:r>
          </w:p>
          <w:p w14:paraId="6411F4EA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预压状态调节（不使用闭孔软质泡沫材料）</w:t>
            </w:r>
          </w:p>
          <w:p w14:paraId="61325F81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14:paraId="73696048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14:paraId="3895912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钢球直径16mm±0.5mm。</w:t>
            </w:r>
          </w:p>
          <w:p w14:paraId="4B5E76C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钢球质量为16.3g。</w:t>
            </w:r>
          </w:p>
          <w:p w14:paraId="2B50E1C1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三个试样分别要在1min内至少得到3个有效的回弹值，记录同一个试样回弹率的最大值，取三个最大值的平均值。</w:t>
            </w:r>
          </w:p>
        </w:tc>
      </w:tr>
      <w:tr w14:paraId="0BC1C3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539A18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38DD0A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 w14:paraId="1884413D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不评价</w:t>
            </w:r>
          </w:p>
        </w:tc>
      </w:tr>
    </w:tbl>
    <w:p w14:paraId="14580324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C136D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A87ACA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0774A1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8987C88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2C0C6E1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38F37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A7616A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41A0DB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83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tblpY="368"/>
              <w:tblOverlap w:val="never"/>
              <w:tblW w:w="904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22"/>
              <w:gridCol w:w="841"/>
              <w:gridCol w:w="1290"/>
              <w:gridCol w:w="1290"/>
              <w:gridCol w:w="1290"/>
              <w:gridCol w:w="1156"/>
              <w:gridCol w:w="1156"/>
            </w:tblGrid>
            <w:tr w14:paraId="2982744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2022" w:type="dxa"/>
                  <w:vAlign w:val="center"/>
                </w:tcPr>
                <w:p w14:paraId="079877A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841" w:type="dxa"/>
                  <w:vAlign w:val="center"/>
                </w:tcPr>
                <w:p w14:paraId="3E08A59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号</w:t>
                  </w:r>
                </w:p>
              </w:tc>
              <w:tc>
                <w:tcPr>
                  <w:tcW w:w="1290" w:type="dxa"/>
                  <w:vAlign w:val="center"/>
                </w:tcPr>
                <w:p w14:paraId="27441A6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290" w:type="dxa"/>
                  <w:vAlign w:val="center"/>
                </w:tcPr>
                <w:p w14:paraId="383B0B0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290" w:type="dxa"/>
                  <w:vAlign w:val="center"/>
                </w:tcPr>
                <w:p w14:paraId="217350F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156" w:type="dxa"/>
                  <w:vAlign w:val="center"/>
                </w:tcPr>
                <w:p w14:paraId="58E775B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156" w:type="dxa"/>
                  <w:vAlign w:val="center"/>
                </w:tcPr>
                <w:p w14:paraId="053F241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平均值（%）</w:t>
                  </w:r>
                </w:p>
              </w:tc>
            </w:tr>
            <w:tr w14:paraId="0B49DB6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2022" w:type="dxa"/>
                  <w:vMerge w:val="restart"/>
                  <w:vAlign w:val="center"/>
                </w:tcPr>
                <w:p w14:paraId="14F122F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荣昌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座垫泡沫总成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158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-001-202411</w:t>
                  </w:r>
                </w:p>
              </w:tc>
              <w:tc>
                <w:tcPr>
                  <w:tcW w:w="841" w:type="dxa"/>
                  <w:vAlign w:val="center"/>
                </w:tcPr>
                <w:p w14:paraId="36A7716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290" w:type="dxa"/>
                  <w:vAlign w:val="center"/>
                </w:tcPr>
                <w:p w14:paraId="3C06746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58.9</w:t>
                  </w:r>
                </w:p>
              </w:tc>
              <w:tc>
                <w:tcPr>
                  <w:tcW w:w="1290" w:type="dxa"/>
                  <w:vAlign w:val="center"/>
                </w:tcPr>
                <w:p w14:paraId="54ECD5E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58.9</w:t>
                  </w:r>
                </w:p>
              </w:tc>
              <w:tc>
                <w:tcPr>
                  <w:tcW w:w="1290" w:type="dxa"/>
                  <w:vAlign w:val="center"/>
                </w:tcPr>
                <w:p w14:paraId="5926425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59.4</w:t>
                  </w:r>
                </w:p>
              </w:tc>
              <w:tc>
                <w:tcPr>
                  <w:tcW w:w="1156" w:type="dxa"/>
                  <w:vAlign w:val="center"/>
                </w:tcPr>
                <w:p w14:paraId="3B7BDDD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59.4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 w14:paraId="173B3E5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59.4</w:t>
                  </w:r>
                </w:p>
              </w:tc>
            </w:tr>
            <w:tr w14:paraId="574C686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4" w:hRule="atLeast"/>
              </w:trPr>
              <w:tc>
                <w:tcPr>
                  <w:tcW w:w="2022" w:type="dxa"/>
                  <w:vMerge w:val="continue"/>
                  <w:vAlign w:val="center"/>
                </w:tcPr>
                <w:p w14:paraId="249AC82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41" w:type="dxa"/>
                  <w:vAlign w:val="center"/>
                </w:tcPr>
                <w:p w14:paraId="7DA5932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290" w:type="dxa"/>
                  <w:vAlign w:val="center"/>
                </w:tcPr>
                <w:p w14:paraId="18708DA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58.0</w:t>
                  </w:r>
                </w:p>
              </w:tc>
              <w:tc>
                <w:tcPr>
                  <w:tcW w:w="1290" w:type="dxa"/>
                  <w:vAlign w:val="center"/>
                </w:tcPr>
                <w:p w14:paraId="3A1736C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58.5</w:t>
                  </w:r>
                </w:p>
              </w:tc>
              <w:tc>
                <w:tcPr>
                  <w:tcW w:w="1290" w:type="dxa"/>
                  <w:vAlign w:val="center"/>
                </w:tcPr>
                <w:p w14:paraId="6D8E1B7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58.5</w:t>
                  </w:r>
                </w:p>
              </w:tc>
              <w:tc>
                <w:tcPr>
                  <w:tcW w:w="1156" w:type="dxa"/>
                  <w:vAlign w:val="center"/>
                </w:tcPr>
                <w:p w14:paraId="4C9FE51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58.5</w:t>
                  </w:r>
                </w:p>
              </w:tc>
              <w:tc>
                <w:tcPr>
                  <w:tcW w:w="1156" w:type="dxa"/>
                  <w:vMerge w:val="continue"/>
                </w:tcPr>
                <w:p w14:paraId="69E83A1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01B36AA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2022" w:type="dxa"/>
                  <w:vMerge w:val="continue"/>
                  <w:vAlign w:val="center"/>
                </w:tcPr>
                <w:p w14:paraId="1ADD2EB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41" w:type="dxa"/>
                  <w:vAlign w:val="center"/>
                </w:tcPr>
                <w:p w14:paraId="1DF3A29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90" w:type="dxa"/>
                  <w:vAlign w:val="center"/>
                </w:tcPr>
                <w:p w14:paraId="3E6D233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59.4</w:t>
                  </w:r>
                </w:p>
              </w:tc>
              <w:tc>
                <w:tcPr>
                  <w:tcW w:w="1290" w:type="dxa"/>
                  <w:vAlign w:val="center"/>
                </w:tcPr>
                <w:p w14:paraId="4ACEC5F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60.3</w:t>
                  </w:r>
                </w:p>
              </w:tc>
              <w:tc>
                <w:tcPr>
                  <w:tcW w:w="1290" w:type="dxa"/>
                  <w:vAlign w:val="center"/>
                </w:tcPr>
                <w:p w14:paraId="51D8BC7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59.8</w:t>
                  </w:r>
                </w:p>
              </w:tc>
              <w:tc>
                <w:tcPr>
                  <w:tcW w:w="1156" w:type="dxa"/>
                  <w:vAlign w:val="center"/>
                </w:tcPr>
                <w:p w14:paraId="562A7A9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60.3</w:t>
                  </w:r>
                </w:p>
              </w:tc>
              <w:tc>
                <w:tcPr>
                  <w:tcW w:w="1156" w:type="dxa"/>
                  <w:vMerge w:val="continue"/>
                </w:tcPr>
                <w:p w14:paraId="2AE3EA9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4E8800E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2022" w:type="dxa"/>
                  <w:vMerge w:val="restart"/>
                  <w:vAlign w:val="center"/>
                </w:tcPr>
                <w:p w14:paraId="119CCBF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格拉默座垫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泡沫总成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158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-002-202411</w:t>
                  </w:r>
                </w:p>
              </w:tc>
              <w:tc>
                <w:tcPr>
                  <w:tcW w:w="841" w:type="dxa"/>
                  <w:vAlign w:val="center"/>
                </w:tcPr>
                <w:p w14:paraId="7C1DDED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290" w:type="dxa"/>
                  <w:vAlign w:val="center"/>
                </w:tcPr>
                <w:p w14:paraId="0238F84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48</w:t>
                  </w:r>
                  <w:bookmarkStart w:id="0" w:name="_GoBack"/>
                  <w:bookmarkEnd w:id="0"/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.3</w:t>
                  </w:r>
                </w:p>
              </w:tc>
              <w:tc>
                <w:tcPr>
                  <w:tcW w:w="1290" w:type="dxa"/>
                  <w:vAlign w:val="center"/>
                </w:tcPr>
                <w:p w14:paraId="1ED004F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49.5</w:t>
                  </w:r>
                </w:p>
              </w:tc>
              <w:tc>
                <w:tcPr>
                  <w:tcW w:w="1290" w:type="dxa"/>
                  <w:vAlign w:val="center"/>
                </w:tcPr>
                <w:p w14:paraId="5E28D33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49.5</w:t>
                  </w:r>
                </w:p>
              </w:tc>
              <w:tc>
                <w:tcPr>
                  <w:tcW w:w="1156" w:type="dxa"/>
                  <w:vAlign w:val="center"/>
                </w:tcPr>
                <w:p w14:paraId="355D20F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49.5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 w14:paraId="0ADB21C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51.4</w:t>
                  </w:r>
                </w:p>
              </w:tc>
            </w:tr>
            <w:tr w14:paraId="18BCF7B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2022" w:type="dxa"/>
                  <w:vMerge w:val="continue"/>
                  <w:vAlign w:val="center"/>
                </w:tcPr>
                <w:p w14:paraId="0AC37F2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41" w:type="dxa"/>
                  <w:vAlign w:val="center"/>
                </w:tcPr>
                <w:p w14:paraId="480B7C7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290" w:type="dxa"/>
                  <w:vAlign w:val="center"/>
                </w:tcPr>
                <w:p w14:paraId="34F72B4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52.0</w:t>
                  </w:r>
                </w:p>
              </w:tc>
              <w:tc>
                <w:tcPr>
                  <w:tcW w:w="1290" w:type="dxa"/>
                  <w:vAlign w:val="center"/>
                </w:tcPr>
                <w:p w14:paraId="7BDCC29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52.4</w:t>
                  </w:r>
                </w:p>
              </w:tc>
              <w:tc>
                <w:tcPr>
                  <w:tcW w:w="1290" w:type="dxa"/>
                  <w:vAlign w:val="center"/>
                </w:tcPr>
                <w:p w14:paraId="796AFBD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52.0</w:t>
                  </w:r>
                </w:p>
              </w:tc>
              <w:tc>
                <w:tcPr>
                  <w:tcW w:w="1156" w:type="dxa"/>
                  <w:vAlign w:val="center"/>
                </w:tcPr>
                <w:p w14:paraId="0562406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52.4</w:t>
                  </w:r>
                </w:p>
              </w:tc>
              <w:tc>
                <w:tcPr>
                  <w:tcW w:w="1156" w:type="dxa"/>
                  <w:vMerge w:val="continue"/>
                </w:tcPr>
                <w:p w14:paraId="1D6A293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297F3D0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2022" w:type="dxa"/>
                  <w:vMerge w:val="continue"/>
                  <w:vAlign w:val="center"/>
                </w:tcPr>
                <w:p w14:paraId="7CD27E0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41" w:type="dxa"/>
                  <w:vAlign w:val="center"/>
                </w:tcPr>
                <w:p w14:paraId="4B619F8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90" w:type="dxa"/>
                  <w:vAlign w:val="center"/>
                </w:tcPr>
                <w:p w14:paraId="7E0F9BC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51.6</w:t>
                  </w:r>
                </w:p>
              </w:tc>
              <w:tc>
                <w:tcPr>
                  <w:tcW w:w="1290" w:type="dxa"/>
                  <w:vAlign w:val="center"/>
                </w:tcPr>
                <w:p w14:paraId="5F902E9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51.1</w:t>
                  </w:r>
                </w:p>
              </w:tc>
              <w:tc>
                <w:tcPr>
                  <w:tcW w:w="1290" w:type="dxa"/>
                  <w:vAlign w:val="center"/>
                </w:tcPr>
                <w:p w14:paraId="2C164A0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52.4</w:t>
                  </w:r>
                </w:p>
              </w:tc>
              <w:tc>
                <w:tcPr>
                  <w:tcW w:w="1156" w:type="dxa"/>
                  <w:vAlign w:val="center"/>
                </w:tcPr>
                <w:p w14:paraId="26BA91D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52.4</w:t>
                  </w:r>
                </w:p>
              </w:tc>
              <w:tc>
                <w:tcPr>
                  <w:tcW w:w="1156" w:type="dxa"/>
                  <w:vMerge w:val="continue"/>
                </w:tcPr>
                <w:p w14:paraId="344FB41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 w14:paraId="5FE96F8B">
            <w:pPr>
              <w:tabs>
                <w:tab w:val="left" w:pos="1088"/>
              </w:tabs>
            </w:pPr>
          </w:p>
          <w:p w14:paraId="46E58D38">
            <w:pPr>
              <w:tabs>
                <w:tab w:val="left" w:pos="1088"/>
              </w:tabs>
            </w:pPr>
            <w:r>
              <w:tab/>
            </w:r>
          </w:p>
          <w:p w14:paraId="1EB789F2">
            <w:pPr>
              <w:tabs>
                <w:tab w:val="left" w:pos="1088"/>
              </w:tabs>
            </w:pPr>
          </w:p>
        </w:tc>
      </w:tr>
    </w:tbl>
    <w:p w14:paraId="0420876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EFA8E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F7E31B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95A21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A687E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491CE7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4D50BC0">
            <w:pPr>
              <w:tabs>
                <w:tab w:val="center" w:pos="5225"/>
                <w:tab w:val="left" w:pos="8205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14:paraId="68C1BF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A2B5B3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15187D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69F9C864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48B7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5B8B63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4F45DEF9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C6110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D84C8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</w:t>
    </w:r>
    <w:r>
      <w:rPr>
        <w:rFonts w:ascii="宋体" w:hAnsi="宋体" w:eastAsia="宋体"/>
        <w:sz w:val="21"/>
        <w:szCs w:val="21"/>
      </w:rPr>
      <w:t>41107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ascii="宋体" w:hAnsi="宋体" w:eastAsia="宋体"/>
        <w:sz w:val="21"/>
        <w:szCs w:val="21"/>
      </w:rPr>
      <w:t>158</w:t>
    </w:r>
    <w:r>
      <w:rPr>
        <w:rFonts w:hint="eastAsia" w:ascii="宋体" w:hAnsi="宋体" w:eastAsia="宋体"/>
        <w:sz w:val="21"/>
        <w:szCs w:val="21"/>
      </w:rPr>
      <w:t>-</w:t>
    </w:r>
    <w:r>
      <w:rPr>
        <w:rFonts w:ascii="宋体" w:hAnsi="宋体" w:eastAsia="宋体"/>
        <w:sz w:val="21"/>
        <w:szCs w:val="21"/>
      </w:rPr>
      <w:t>0479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7E94"/>
    <w:rsid w:val="000D38FE"/>
    <w:rsid w:val="000E379C"/>
    <w:rsid w:val="00100B55"/>
    <w:rsid w:val="0011116C"/>
    <w:rsid w:val="00112635"/>
    <w:rsid w:val="00125DC5"/>
    <w:rsid w:val="00137587"/>
    <w:rsid w:val="00144AA3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10E4E"/>
    <w:rsid w:val="0021721E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D1F2F"/>
    <w:rsid w:val="002E414F"/>
    <w:rsid w:val="002E4246"/>
    <w:rsid w:val="002F0A97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02BBC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1068"/>
    <w:rsid w:val="00664B1B"/>
    <w:rsid w:val="00667513"/>
    <w:rsid w:val="00675B51"/>
    <w:rsid w:val="00690336"/>
    <w:rsid w:val="006B1056"/>
    <w:rsid w:val="006C28F8"/>
    <w:rsid w:val="006D387E"/>
    <w:rsid w:val="006D6DD5"/>
    <w:rsid w:val="006E1F42"/>
    <w:rsid w:val="006F6C14"/>
    <w:rsid w:val="00700BF5"/>
    <w:rsid w:val="0070187E"/>
    <w:rsid w:val="00715664"/>
    <w:rsid w:val="007253E9"/>
    <w:rsid w:val="00742F95"/>
    <w:rsid w:val="007641C2"/>
    <w:rsid w:val="007706EB"/>
    <w:rsid w:val="007B268A"/>
    <w:rsid w:val="007C12ED"/>
    <w:rsid w:val="007E6AE1"/>
    <w:rsid w:val="007F48BA"/>
    <w:rsid w:val="00800D3F"/>
    <w:rsid w:val="00814D73"/>
    <w:rsid w:val="00831246"/>
    <w:rsid w:val="008362EC"/>
    <w:rsid w:val="00843E81"/>
    <w:rsid w:val="00861258"/>
    <w:rsid w:val="0087152F"/>
    <w:rsid w:val="008716A0"/>
    <w:rsid w:val="00872913"/>
    <w:rsid w:val="00890A68"/>
    <w:rsid w:val="008A43C8"/>
    <w:rsid w:val="008A62B5"/>
    <w:rsid w:val="008D357E"/>
    <w:rsid w:val="008D48E0"/>
    <w:rsid w:val="0091278D"/>
    <w:rsid w:val="0093425C"/>
    <w:rsid w:val="0094396F"/>
    <w:rsid w:val="00954A3A"/>
    <w:rsid w:val="00955E7D"/>
    <w:rsid w:val="009578D6"/>
    <w:rsid w:val="00957ACD"/>
    <w:rsid w:val="00957C48"/>
    <w:rsid w:val="0096583C"/>
    <w:rsid w:val="009676E2"/>
    <w:rsid w:val="009828D0"/>
    <w:rsid w:val="0098343E"/>
    <w:rsid w:val="009C4456"/>
    <w:rsid w:val="009C7DFC"/>
    <w:rsid w:val="009D624F"/>
    <w:rsid w:val="009F2203"/>
    <w:rsid w:val="00A02B8A"/>
    <w:rsid w:val="00A06C43"/>
    <w:rsid w:val="00A11C8F"/>
    <w:rsid w:val="00A2036D"/>
    <w:rsid w:val="00A370DB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2362"/>
    <w:rsid w:val="00BA6FA9"/>
    <w:rsid w:val="00BB20BA"/>
    <w:rsid w:val="00BD635E"/>
    <w:rsid w:val="00BF0E19"/>
    <w:rsid w:val="00C006C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CE58F7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507"/>
    <w:rsid w:val="00DB4DFA"/>
    <w:rsid w:val="00DC4540"/>
    <w:rsid w:val="00DC759B"/>
    <w:rsid w:val="00DD7FF1"/>
    <w:rsid w:val="00DE607A"/>
    <w:rsid w:val="00DF3BD6"/>
    <w:rsid w:val="00E2083A"/>
    <w:rsid w:val="00E215EF"/>
    <w:rsid w:val="00E23433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03884"/>
    <w:rsid w:val="00F26B63"/>
    <w:rsid w:val="00F528AD"/>
    <w:rsid w:val="00F53F2E"/>
    <w:rsid w:val="00F54056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56F2735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8B7128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4A26CA"/>
    <w:rsid w:val="338E62A6"/>
    <w:rsid w:val="34036C94"/>
    <w:rsid w:val="344239BA"/>
    <w:rsid w:val="3586192A"/>
    <w:rsid w:val="35F5260C"/>
    <w:rsid w:val="390B584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5BB72B3"/>
    <w:rsid w:val="46EB1AF6"/>
    <w:rsid w:val="48233009"/>
    <w:rsid w:val="48DF2707"/>
    <w:rsid w:val="48FD10B0"/>
    <w:rsid w:val="4C8845CA"/>
    <w:rsid w:val="4CFF2296"/>
    <w:rsid w:val="4EB1537D"/>
    <w:rsid w:val="4EEC684A"/>
    <w:rsid w:val="4EF23735"/>
    <w:rsid w:val="50096F88"/>
    <w:rsid w:val="50B138A7"/>
    <w:rsid w:val="511D0F3D"/>
    <w:rsid w:val="51E732F9"/>
    <w:rsid w:val="52BB6C5F"/>
    <w:rsid w:val="53CE29C2"/>
    <w:rsid w:val="54BA6AA3"/>
    <w:rsid w:val="54FE4BE1"/>
    <w:rsid w:val="55540CA5"/>
    <w:rsid w:val="57342B3C"/>
    <w:rsid w:val="58F9403E"/>
    <w:rsid w:val="59594ADC"/>
    <w:rsid w:val="5A3612C1"/>
    <w:rsid w:val="5F5A217E"/>
    <w:rsid w:val="60902F1D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8F640F6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228042B"/>
    <w:rsid w:val="72EA56E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D7880-3D46-4899-A8F4-F1035EADE9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875</Words>
  <Characters>1158</Characters>
  <Lines>10</Lines>
  <Paragraphs>2</Paragraphs>
  <TotalTime>201</TotalTime>
  <ScaleCrop>false</ScaleCrop>
  <LinksUpToDate>false</LinksUpToDate>
  <CharactersWithSpaces>1214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2024-11-13T05:49:00Z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B4DBA66B1E1745A7843E673FBFAA819F</vt:lpwstr>
  </property>
</Properties>
</file>