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E2EC8A">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14:paraId="026E699D">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SD-WF-24-01-045</w:t>
      </w:r>
      <w:r>
        <w:rPr>
          <w:rFonts w:hint="eastAsia" w:asciiTheme="minorEastAsia" w:hAnsiTheme="minorEastAsia"/>
          <w:b/>
          <w:sz w:val="32"/>
          <w:szCs w:val="24"/>
          <w:u w:val="single"/>
        </w:rPr>
        <w:t xml:space="preserve">  </w:t>
      </w:r>
    </w:p>
    <w:p w14:paraId="15B8DE2E">
      <w:pPr>
        <w:rPr>
          <w:rFonts w:asciiTheme="minorEastAsia" w:hAnsiTheme="minorEastAsia"/>
          <w:sz w:val="22"/>
          <w:szCs w:val="24"/>
        </w:rPr>
      </w:pPr>
    </w:p>
    <w:p w14:paraId="5AB4E993">
      <w:pPr>
        <w:jc w:val="center"/>
        <w:rPr>
          <w:rFonts w:asciiTheme="minorEastAsia" w:hAnsiTheme="minorEastAsia"/>
          <w:b/>
          <w:sz w:val="72"/>
          <w:szCs w:val="72"/>
        </w:rPr>
      </w:pPr>
    </w:p>
    <w:p w14:paraId="0426D36A">
      <w:pPr>
        <w:jc w:val="center"/>
        <w:rPr>
          <w:rFonts w:asciiTheme="minorEastAsia" w:hAnsiTheme="minorEastAsia"/>
          <w:b/>
          <w:sz w:val="72"/>
          <w:szCs w:val="72"/>
        </w:rPr>
      </w:pPr>
    </w:p>
    <w:p w14:paraId="594C828A">
      <w:pPr>
        <w:jc w:val="center"/>
        <w:rPr>
          <w:rFonts w:hint="eastAsia" w:ascii="楷体" w:hAnsi="楷体" w:eastAsia="楷体" w:cs="楷体"/>
          <w:b/>
          <w:sz w:val="96"/>
          <w:szCs w:val="72"/>
        </w:rPr>
      </w:pPr>
      <w:r>
        <w:rPr>
          <w:rFonts w:hint="eastAsia" w:ascii="楷体" w:hAnsi="楷体" w:eastAsia="楷体" w:cs="楷体"/>
          <w:b/>
          <w:sz w:val="96"/>
          <w:szCs w:val="72"/>
        </w:rPr>
        <w:t>质量保证协议书</w:t>
      </w:r>
    </w:p>
    <w:p w14:paraId="7504862E">
      <w:pPr>
        <w:jc w:val="center"/>
        <w:rPr>
          <w:rFonts w:hint="eastAsia" w:ascii="楷体" w:hAnsi="楷体" w:eastAsia="楷体" w:cs="楷体"/>
          <w:b/>
          <w:sz w:val="72"/>
          <w:szCs w:val="72"/>
        </w:rPr>
      </w:pPr>
    </w:p>
    <w:p w14:paraId="214FD6D1">
      <w:pPr>
        <w:jc w:val="center"/>
        <w:rPr>
          <w:rFonts w:hint="eastAsia" w:ascii="楷体" w:hAnsi="楷体" w:eastAsia="楷体" w:cs="楷体"/>
          <w:b/>
          <w:sz w:val="72"/>
          <w:szCs w:val="72"/>
        </w:rPr>
      </w:pPr>
    </w:p>
    <w:p w14:paraId="0828C572">
      <w:pPr>
        <w:spacing w:line="360" w:lineRule="auto"/>
        <w:jc w:val="left"/>
        <w:rPr>
          <w:rFonts w:hint="eastAsia" w:ascii="楷体" w:hAnsi="楷体" w:eastAsia="楷体" w:cs="楷体"/>
          <w:b/>
          <w:sz w:val="40"/>
          <w:szCs w:val="32"/>
        </w:rPr>
      </w:pPr>
    </w:p>
    <w:p w14:paraId="36D8DDD9">
      <w:pPr>
        <w:spacing w:line="360" w:lineRule="auto"/>
        <w:jc w:val="left"/>
        <w:rPr>
          <w:rFonts w:hint="eastAsia" w:ascii="楷体" w:hAnsi="楷体" w:eastAsia="楷体" w:cs="楷体"/>
          <w:b/>
          <w:sz w:val="40"/>
          <w:szCs w:val="32"/>
        </w:rPr>
      </w:pPr>
    </w:p>
    <w:p w14:paraId="10B829B7">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甲    方：</w:t>
      </w:r>
      <w:r>
        <w:rPr>
          <w:rFonts w:hint="eastAsia" w:ascii="楷体" w:hAnsi="楷体" w:eastAsia="楷体" w:cs="楷体"/>
          <w:b/>
          <w:sz w:val="40"/>
          <w:szCs w:val="32"/>
          <w:lang w:val="en-US" w:eastAsia="zh-CN"/>
        </w:rPr>
        <w:t>潍坊光华荣昌汽车技术有限公司</w:t>
      </w:r>
    </w:p>
    <w:p w14:paraId="64A26807">
      <w:pPr>
        <w:spacing w:line="360" w:lineRule="auto"/>
        <w:jc w:val="left"/>
        <w:rPr>
          <w:rFonts w:hint="eastAsia" w:ascii="楷体" w:hAnsi="楷体" w:eastAsia="楷体" w:cs="楷体"/>
          <w:b/>
          <w:sz w:val="40"/>
          <w:szCs w:val="32"/>
          <w:lang w:val="en-US" w:eastAsia="zh-CN"/>
        </w:rPr>
      </w:pPr>
    </w:p>
    <w:p w14:paraId="13A09580">
      <w:pPr>
        <w:spacing w:line="360" w:lineRule="auto"/>
        <w:ind w:firstLine="803" w:firstLineChars="200"/>
        <w:jc w:val="left"/>
        <w:rPr>
          <w:rFonts w:hint="eastAsia" w:ascii="楷体" w:hAnsi="楷体" w:eastAsia="楷体" w:cs="楷体"/>
          <w:b/>
          <w:sz w:val="40"/>
          <w:szCs w:val="32"/>
          <w:lang w:val="en-US" w:eastAsia="zh-CN"/>
        </w:rPr>
      </w:pPr>
      <w:r>
        <w:rPr>
          <w:rFonts w:hint="eastAsia" w:ascii="楷体" w:hAnsi="楷体" w:eastAsia="楷体" w:cs="楷体"/>
          <w:b/>
          <w:sz w:val="40"/>
          <w:szCs w:val="32"/>
        </w:rPr>
        <w:t>乙    方：黄骅市鑫祺汽车配件有限公司</w:t>
      </w:r>
    </w:p>
    <w:p w14:paraId="644BCD1A">
      <w:pPr>
        <w:spacing w:line="360" w:lineRule="auto"/>
        <w:jc w:val="left"/>
        <w:rPr>
          <w:rFonts w:hint="eastAsia" w:ascii="楷体" w:hAnsi="楷体" w:eastAsia="楷体" w:cs="楷体"/>
          <w:b/>
          <w:sz w:val="40"/>
          <w:szCs w:val="32"/>
          <w:lang w:val="en-US" w:eastAsia="zh-CN"/>
        </w:rPr>
      </w:pPr>
      <w:r>
        <w:rPr>
          <w:rFonts w:hint="eastAsia" w:ascii="楷体" w:hAnsi="楷体" w:eastAsia="楷体" w:cs="楷体"/>
          <w:b/>
          <w:sz w:val="40"/>
          <w:szCs w:val="32"/>
          <w:lang w:val="en-US" w:eastAsia="zh-CN"/>
        </w:rPr>
        <w:t xml:space="preserve"> </w:t>
      </w:r>
    </w:p>
    <w:p w14:paraId="3A03A9FD">
      <w:pPr>
        <w:spacing w:line="360" w:lineRule="auto"/>
        <w:ind w:firstLine="803" w:firstLineChars="200"/>
        <w:jc w:val="left"/>
        <w:rPr>
          <w:rFonts w:hint="eastAsia" w:ascii="楷体" w:hAnsi="楷体" w:eastAsia="楷体" w:cs="楷体"/>
          <w:b/>
          <w:sz w:val="40"/>
          <w:szCs w:val="32"/>
        </w:rPr>
      </w:pPr>
      <w:r>
        <w:rPr>
          <w:rFonts w:hint="eastAsia" w:ascii="楷体" w:hAnsi="楷体" w:eastAsia="楷体" w:cs="楷体"/>
          <w:b/>
          <w:sz w:val="40"/>
          <w:szCs w:val="32"/>
        </w:rPr>
        <w:t>签订时间：</w:t>
      </w:r>
      <w:r>
        <w:rPr>
          <w:rFonts w:hint="eastAsia" w:ascii="楷体" w:hAnsi="楷体" w:eastAsia="楷体" w:cs="楷体"/>
          <w:b/>
          <w:sz w:val="40"/>
          <w:szCs w:val="32"/>
          <w:lang w:val="en-US" w:eastAsia="zh-CN"/>
        </w:rPr>
        <w:t xml:space="preserve">  2024</w:t>
      </w:r>
      <w:r>
        <w:rPr>
          <w:rFonts w:hint="eastAsia" w:ascii="楷体" w:hAnsi="楷体" w:eastAsia="楷体" w:cs="楷体"/>
          <w:b/>
          <w:sz w:val="40"/>
          <w:szCs w:val="32"/>
        </w:rPr>
        <w:t xml:space="preserve">年 </w:t>
      </w:r>
      <w:r>
        <w:rPr>
          <w:rFonts w:hint="eastAsia" w:ascii="楷体" w:hAnsi="楷体" w:eastAsia="楷体" w:cs="楷体"/>
          <w:b/>
          <w:sz w:val="40"/>
          <w:szCs w:val="32"/>
          <w:lang w:val="en-US" w:eastAsia="zh-CN"/>
        </w:rPr>
        <w:t>1</w:t>
      </w:r>
      <w:r>
        <w:rPr>
          <w:rFonts w:hint="eastAsia" w:ascii="楷体" w:hAnsi="楷体" w:eastAsia="楷体" w:cs="楷体"/>
          <w:b/>
          <w:sz w:val="40"/>
          <w:szCs w:val="32"/>
        </w:rPr>
        <w:t xml:space="preserve">月 </w:t>
      </w:r>
      <w:r>
        <w:rPr>
          <w:rFonts w:hint="eastAsia" w:ascii="楷体" w:hAnsi="楷体" w:eastAsia="楷体" w:cs="楷体"/>
          <w:b/>
          <w:sz w:val="40"/>
          <w:szCs w:val="32"/>
          <w:lang w:val="en-US" w:eastAsia="zh-CN"/>
        </w:rPr>
        <w:t>1</w:t>
      </w:r>
      <w:r>
        <w:rPr>
          <w:rFonts w:hint="eastAsia" w:ascii="楷体" w:hAnsi="楷体" w:eastAsia="楷体" w:cs="楷体"/>
          <w:b/>
          <w:sz w:val="40"/>
          <w:szCs w:val="32"/>
        </w:rPr>
        <w:t>日</w:t>
      </w:r>
    </w:p>
    <w:p w14:paraId="19D43008">
      <w:pPr>
        <w:spacing w:line="360" w:lineRule="auto"/>
        <w:jc w:val="left"/>
        <w:rPr>
          <w:rFonts w:hint="eastAsia" w:ascii="楷体" w:hAnsi="楷体" w:eastAsia="楷体" w:cs="楷体"/>
          <w:b/>
          <w:sz w:val="40"/>
          <w:szCs w:val="32"/>
        </w:rPr>
      </w:pPr>
    </w:p>
    <w:p w14:paraId="2C2238A0">
      <w:pPr>
        <w:ind w:firstLine="492" w:firstLineChars="245"/>
        <w:jc w:val="left"/>
        <w:rPr>
          <w:rFonts w:hint="default" w:asciiTheme="minorEastAsia" w:hAnsiTheme="minorEastAsia" w:eastAsiaTheme="minorEastAsia"/>
          <w:b/>
          <w:sz w:val="20"/>
          <w:szCs w:val="20"/>
          <w:lang w:val="en-US" w:eastAsia="zh-CN"/>
        </w:rPr>
      </w:pPr>
      <w:r>
        <w:rPr>
          <w:rFonts w:hint="eastAsia" w:asciiTheme="minorEastAsia" w:hAnsiTheme="minorEastAsia"/>
          <w:b/>
          <w:sz w:val="20"/>
          <w:szCs w:val="20"/>
          <w:lang w:val="en-US" w:eastAsia="zh-CN"/>
        </w:rPr>
        <w:t xml:space="preserve">    </w:t>
      </w:r>
    </w:p>
    <w:p w14:paraId="541CB59F">
      <w:pPr>
        <w:ind w:firstLine="492" w:firstLineChars="245"/>
        <w:jc w:val="left"/>
        <w:rPr>
          <w:rFonts w:hint="eastAsia" w:asciiTheme="minorEastAsia" w:hAnsiTheme="minorEastAsia" w:eastAsiaTheme="minorEastAsia"/>
          <w:b/>
          <w:sz w:val="20"/>
          <w:szCs w:val="20"/>
          <w:lang w:eastAsia="zh-CN"/>
        </w:rPr>
      </w:pPr>
    </w:p>
    <w:p w14:paraId="72C5C2BE">
      <w:pPr>
        <w:ind w:firstLine="492" w:firstLineChars="245"/>
        <w:jc w:val="left"/>
        <w:rPr>
          <w:rFonts w:hint="eastAsia" w:asciiTheme="minorEastAsia" w:hAnsiTheme="minorEastAsia"/>
          <w:b/>
          <w:sz w:val="20"/>
          <w:szCs w:val="20"/>
        </w:rPr>
      </w:pPr>
    </w:p>
    <w:p w14:paraId="52660BCF">
      <w:pPr>
        <w:ind w:firstLine="492" w:firstLineChars="245"/>
        <w:jc w:val="left"/>
        <w:rPr>
          <w:rFonts w:hint="eastAsia" w:asciiTheme="minorEastAsia" w:hAnsiTheme="minorEastAsia"/>
          <w:b/>
          <w:sz w:val="20"/>
          <w:szCs w:val="20"/>
        </w:rPr>
      </w:pPr>
    </w:p>
    <w:p w14:paraId="7BF68C0B">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14:paraId="1039A553">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14:paraId="44D22B1D">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14:paraId="2C54542A">
      <w:pPr>
        <w:ind w:firstLine="588" w:firstLineChars="245"/>
        <w:jc w:val="left"/>
        <w:rPr>
          <w:rFonts w:hint="eastAsia" w:ascii="楷体" w:hAnsi="楷体" w:eastAsia="楷体" w:cs="楷体"/>
          <w:b w:val="0"/>
          <w:bCs/>
          <w:sz w:val="24"/>
          <w:szCs w:val="24"/>
        </w:rPr>
      </w:pPr>
    </w:p>
    <w:p w14:paraId="0F669980">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1．名词定义</w:t>
      </w:r>
    </w:p>
    <w:p w14:paraId="7993898E">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原材料：指甲方为了生产产品而购买的所有直接和间接材料，包括但不限于注塑原料、发泡原料、化工料、包装材料、辅助材料、布料等的统称。</w:t>
      </w:r>
    </w:p>
    <w:p w14:paraId="1B2DCCEC">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零部件：指甲方为了生产产品而购买的所有直接和间接部件，包括但不限于调角器、滑道、升降机构、镜片、调整机构、加热片、座椅骨架、镜座、镜杆、标准件等的统称。</w:t>
      </w:r>
    </w:p>
    <w:p w14:paraId="211501F7">
      <w:pPr>
        <w:ind w:firstLine="588" w:firstLineChars="245"/>
        <w:jc w:val="left"/>
        <w:rPr>
          <w:rFonts w:hint="eastAsia" w:ascii="楷体" w:hAnsi="楷体" w:eastAsia="楷体" w:cs="楷体"/>
          <w:b w:val="0"/>
          <w:bCs/>
          <w:sz w:val="24"/>
          <w:szCs w:val="24"/>
        </w:rPr>
      </w:pPr>
    </w:p>
    <w:p w14:paraId="1621F7B6">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2．使用范围</w:t>
      </w:r>
    </w:p>
    <w:p w14:paraId="1E8B550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此协议适用于为甲方提供生产性原材料、零部件的供应商。</w:t>
      </w:r>
    </w:p>
    <w:p w14:paraId="3C68C542">
      <w:pPr>
        <w:jc w:val="left"/>
        <w:rPr>
          <w:rFonts w:hint="eastAsia" w:ascii="楷体" w:hAnsi="楷体" w:eastAsia="楷体" w:cs="楷体"/>
          <w:b w:val="0"/>
          <w:bCs/>
          <w:sz w:val="24"/>
          <w:szCs w:val="24"/>
        </w:rPr>
      </w:pPr>
    </w:p>
    <w:p w14:paraId="17857B24">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3．质量要求</w:t>
      </w:r>
    </w:p>
    <w:p w14:paraId="5C2838C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14:paraId="53BEA2F4">
      <w:pPr>
        <w:ind w:firstLine="583" w:firstLineChars="243"/>
        <w:jc w:val="left"/>
        <w:rPr>
          <w:rFonts w:hint="eastAsia" w:ascii="楷体" w:hAnsi="楷体" w:eastAsia="楷体" w:cs="楷体"/>
          <w:b w:val="0"/>
          <w:bCs/>
          <w:sz w:val="24"/>
          <w:szCs w:val="24"/>
        </w:rPr>
      </w:pPr>
      <w:r>
        <w:rPr>
          <w:rFonts w:hint="eastAsia" w:ascii="楷体" w:hAnsi="楷体" w:eastAsia="楷体" w:cs="楷体"/>
          <w:b w:val="0"/>
          <w:bCs/>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14:paraId="5B9F3902">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3.3 乙方的产品包装必须满足甲方要求，包装方案需经甲方认可。</w:t>
      </w:r>
    </w:p>
    <w:p w14:paraId="4A4F9B9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3.4 乙方必须向甲方提供每批产品的检验合格证明。</w:t>
      </w:r>
    </w:p>
    <w:p w14:paraId="0C6BB1FA">
      <w:pPr>
        <w:jc w:val="left"/>
        <w:rPr>
          <w:rFonts w:hint="eastAsia" w:ascii="楷体" w:hAnsi="楷体" w:eastAsia="楷体" w:cs="楷体"/>
          <w:b w:val="0"/>
          <w:bCs/>
          <w:sz w:val="24"/>
          <w:szCs w:val="24"/>
        </w:rPr>
      </w:pPr>
    </w:p>
    <w:p w14:paraId="34B31792">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4．质量保证</w:t>
      </w:r>
    </w:p>
    <w:p w14:paraId="3824866F">
      <w:pPr>
        <w:ind w:left="541" w:hanging="588" w:hangingChars="245"/>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4.1 乙方应接受甲方对乙方产品的质量评审工作，并配合提交有关资料，并根据</w:t>
      </w:r>
    </w:p>
    <w:p w14:paraId="09410E37">
      <w:pPr>
        <w:ind w:left="541" w:hanging="588" w:hangingChars="245"/>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甲方的评审结果，按照甲方要求进行整改。   </w:t>
      </w:r>
      <w:r>
        <w:rPr>
          <w:rFonts w:hint="eastAsia" w:ascii="楷体" w:hAnsi="楷体" w:eastAsia="楷体" w:cs="楷体"/>
          <w:b w:val="0"/>
          <w:bCs/>
          <w:color w:val="FF0000"/>
          <w:sz w:val="24"/>
          <w:szCs w:val="24"/>
        </w:rPr>
        <w:t xml:space="preserve">  </w:t>
      </w:r>
    </w:p>
    <w:p w14:paraId="1E6C3E2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14:paraId="5C08108E">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4.3 乙方应按要求参加甲方质量部门组织的质量改进会议、质量培训等活动。</w:t>
      </w:r>
    </w:p>
    <w:p w14:paraId="31CAF474">
      <w:pPr>
        <w:jc w:val="left"/>
        <w:rPr>
          <w:rFonts w:hint="eastAsia" w:ascii="楷体" w:hAnsi="楷体" w:eastAsia="楷体" w:cs="楷体"/>
          <w:b w:val="0"/>
          <w:bCs/>
          <w:sz w:val="24"/>
          <w:szCs w:val="24"/>
        </w:rPr>
      </w:pPr>
    </w:p>
    <w:p w14:paraId="7ECF311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5．质量确认及记录</w:t>
      </w:r>
    </w:p>
    <w:p w14:paraId="1BA11C0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14:paraId="498D12C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5.2 乙方关于订货产品检查、试验等结果的记录，至少应在</w:t>
      </w:r>
      <w:r>
        <w:rPr>
          <w:rFonts w:hint="eastAsia" w:ascii="楷体" w:hAnsi="楷体" w:eastAsia="楷体" w:cs="楷体"/>
          <w:b w:val="0"/>
          <w:bCs/>
          <w:color w:val="000000" w:themeColor="text1"/>
          <w:sz w:val="24"/>
          <w:szCs w:val="24"/>
          <w14:textFill>
            <w14:solidFill>
              <w14:schemeClr w14:val="tx1"/>
            </w14:solidFill>
          </w14:textFill>
        </w:rPr>
        <w:t>产品质量保证期限</w:t>
      </w:r>
      <w:r>
        <w:rPr>
          <w:rFonts w:hint="eastAsia" w:ascii="楷体" w:hAnsi="楷体" w:eastAsia="楷体" w:cs="楷体"/>
          <w:b w:val="0"/>
          <w:bCs/>
          <w:sz w:val="24"/>
          <w:szCs w:val="24"/>
        </w:rPr>
        <w:t>内妥善保管。甲方要求时，应允许甲方阅览或提交其副本。</w:t>
      </w:r>
    </w:p>
    <w:p w14:paraId="3901E8AA">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5.3 为了达到订货产品批量追踪的目的，乙方应根据甲乙双方另行商定的办法，进行生产批次的可追溯性管理。</w:t>
      </w:r>
    </w:p>
    <w:p w14:paraId="0970F9E7">
      <w:pPr>
        <w:jc w:val="left"/>
        <w:rPr>
          <w:rFonts w:hint="eastAsia" w:ascii="楷体" w:hAnsi="楷体" w:eastAsia="楷体" w:cs="楷体"/>
          <w:b w:val="0"/>
          <w:bCs/>
          <w:sz w:val="24"/>
          <w:szCs w:val="24"/>
        </w:rPr>
      </w:pPr>
    </w:p>
    <w:p w14:paraId="7057ACE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6．质量责任</w:t>
      </w:r>
    </w:p>
    <w:p w14:paraId="5E68C39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6.1 甲方对质量问题的事实和损失情况负有举证责任，乙方承担证明该产品合格的举证责任。</w:t>
      </w:r>
    </w:p>
    <w:p w14:paraId="70175CF2">
      <w:pPr>
        <w:jc w:val="left"/>
        <w:rPr>
          <w:rFonts w:hint="eastAsia" w:ascii="楷体" w:hAnsi="楷体" w:eastAsia="楷体" w:cs="楷体"/>
          <w:b w:val="0"/>
          <w:bCs/>
          <w:color w:val="000000" w:themeColor="text1"/>
          <w:sz w:val="24"/>
          <w:szCs w:val="24"/>
          <w14:textFill>
            <w14:solidFill>
              <w14:schemeClr w14:val="tx1"/>
            </w14:solidFill>
          </w14:textFill>
        </w:rPr>
      </w:pPr>
      <w:r>
        <w:rPr>
          <w:rFonts w:hint="eastAsia" w:ascii="楷体" w:hAnsi="楷体" w:eastAsia="楷体" w:cs="楷体"/>
          <w:b w:val="0"/>
          <w:bCs/>
          <w:sz w:val="24"/>
          <w:szCs w:val="24"/>
        </w:rPr>
        <w:t xml:space="preserve">     6.2 甲方对于原材料、零部件的品质控制采用委托乙方检验的方式，即使不做任何检验和测试也能直接投入生产，但并不因此免除乙方的产品质量责任。</w:t>
      </w:r>
      <w:r>
        <w:rPr>
          <w:rFonts w:hint="eastAsia" w:ascii="楷体" w:hAnsi="楷体" w:eastAsia="楷体" w:cs="楷体"/>
          <w:b w:val="0"/>
          <w:bCs/>
          <w:color w:val="000000" w:themeColor="text1"/>
          <w:sz w:val="24"/>
          <w:szCs w:val="24"/>
          <w14:textFill>
            <w14:solidFill>
              <w14:schemeClr w14:val="tx1"/>
            </w14:solidFill>
          </w14:textFill>
        </w:rPr>
        <w:t>甲方进行材料、性能等年度强制性试验所产生的费用需由乙方承担。</w:t>
      </w:r>
    </w:p>
    <w:p w14:paraId="30E44A7B">
      <w:pPr>
        <w:jc w:val="left"/>
        <w:rPr>
          <w:rFonts w:hint="eastAsia" w:ascii="楷体" w:hAnsi="楷体" w:eastAsia="楷体" w:cs="楷体"/>
          <w:b w:val="0"/>
          <w:bCs/>
          <w:sz w:val="24"/>
          <w:szCs w:val="24"/>
        </w:rPr>
      </w:pPr>
      <w:r>
        <w:rPr>
          <w:rFonts w:hint="eastAsia" w:ascii="楷体" w:hAnsi="楷体" w:eastAsia="楷体" w:cs="楷体"/>
          <w:b w:val="0"/>
          <w:bCs/>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楷体" w:hAnsi="楷体" w:eastAsia="楷体" w:cs="楷体"/>
          <w:b w:val="0"/>
          <w:bCs/>
          <w:sz w:val="24"/>
          <w:szCs w:val="24"/>
        </w:rPr>
        <w:t>存进货检验的原始记录。</w:t>
      </w:r>
    </w:p>
    <w:p w14:paraId="3EF4854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14:paraId="6DCB0FE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6.5 乙方应使生产过程或采购过程完全受控，如有失控，应及时查明原因并采取纠正措施，并通知甲方采取相应的措施，否则一切后果由乙方承担。</w:t>
      </w:r>
      <w:r>
        <w:rPr>
          <w:rFonts w:hint="eastAsia" w:ascii="楷体" w:hAnsi="楷体" w:eastAsia="楷体" w:cs="楷体"/>
          <w:b w:val="0"/>
          <w:bCs/>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楷体" w:hAnsi="楷体" w:eastAsia="楷体" w:cs="楷体"/>
          <w:b w:val="0"/>
          <w:bCs/>
          <w:sz w:val="24"/>
          <w:szCs w:val="24"/>
        </w:rPr>
        <w:t>定情形的，经甲方指出后，乙方须及时进行有效整改，对未整改或整改情况不符合甲方要求的，视为乙方违约，甲方有权终止供货关系，并要求乙方对甲方因此发生的损失承担赔偿责任。</w:t>
      </w:r>
    </w:p>
    <w:p w14:paraId="1203965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14:paraId="2623E82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 发生以下情形，乙方应承担相应的违约责任</w:t>
      </w:r>
    </w:p>
    <w:p w14:paraId="11E0D9F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6.7.1 乙方交货时间超出订单合约交期（交期延误）。</w:t>
      </w:r>
    </w:p>
    <w:p w14:paraId="7F45719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6.7.2</w:t>
      </w:r>
      <w:r>
        <w:rPr>
          <w:rFonts w:hint="eastAsia" w:ascii="楷体" w:hAnsi="楷体" w:eastAsia="楷体" w:cs="楷体"/>
          <w:b w:val="0"/>
          <w:bCs/>
          <w:color w:val="FF0000"/>
          <w:sz w:val="24"/>
          <w:szCs w:val="24"/>
        </w:rPr>
        <w:t xml:space="preserve"> </w:t>
      </w:r>
      <w:r>
        <w:rPr>
          <w:rFonts w:hint="eastAsia" w:ascii="楷体" w:hAnsi="楷体" w:eastAsia="楷体" w:cs="楷体"/>
          <w:b w:val="0"/>
          <w:bCs/>
          <w:sz w:val="24"/>
          <w:szCs w:val="24"/>
        </w:rPr>
        <w:t>乙方原材料、零部件因包装、运输品质问题导致甲方生产线停线。</w:t>
      </w:r>
    </w:p>
    <w:p w14:paraId="457359A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6.7.3 乙方原材料、零部件在甲方入厂检验时因品质问题乙方不能及时处理而造成甲方停线。</w:t>
      </w:r>
    </w:p>
    <w:p w14:paraId="6702007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6.7.4 乙方原材料、零部件在甲方生产过程中发生品质异常造成甲方生产线停线，或导致甲方已生产的产品返工、返修。</w:t>
      </w:r>
    </w:p>
    <w:p w14:paraId="56FE30A0">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6.7.5 因乙方原材料、零部件质量问题造成甲方产品出厂后发生批量质量事故（如退货等）。</w:t>
      </w:r>
    </w:p>
    <w:p w14:paraId="6FDE118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6.7.6 因乙方原材料、零部件质量问题造成产品用户在使用中出现危及人身、财产安全或丧失使用价值的情形。</w:t>
      </w:r>
    </w:p>
    <w:p w14:paraId="211C92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6.7.7 乙方原材料、零部件在装配直到用户使用过程中发现有质量问题且造成损失。</w:t>
      </w:r>
    </w:p>
    <w:p w14:paraId="7362B465">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6.7.8 因乙方对其产品材料的技术和商业机密泄露造成的损失。</w:t>
      </w:r>
    </w:p>
    <w:p w14:paraId="06B6EC60">
      <w:pPr>
        <w:jc w:val="left"/>
        <w:rPr>
          <w:rFonts w:hint="eastAsia" w:ascii="楷体" w:hAnsi="楷体" w:eastAsia="楷体" w:cs="楷体"/>
          <w:b w:val="0"/>
          <w:bCs/>
          <w:sz w:val="24"/>
          <w:szCs w:val="24"/>
        </w:rPr>
      </w:pPr>
    </w:p>
    <w:p w14:paraId="23AB64E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7．交货需遵守的规则</w:t>
      </w:r>
    </w:p>
    <w:p w14:paraId="3E11115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14:paraId="3C68586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7.2 乙方初次交货时要提供可靠性试验报告，以后每年至少提供一次。</w:t>
      </w:r>
    </w:p>
    <w:p w14:paraId="0180922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7.3 对于塑胶原料、化学有机溶剂等需要提供化学成份分析表、安全使用说明书。</w:t>
      </w:r>
    </w:p>
    <w:p w14:paraId="197F5ADF">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7.4 包装箱、外包装必须标注产品合格证、产品名称、型号规格、出货日期、批号、数量、公司名称等信息。</w:t>
      </w:r>
    </w:p>
    <w:p w14:paraId="48AA64D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14:paraId="09908770">
      <w:pPr>
        <w:jc w:val="left"/>
        <w:rPr>
          <w:rFonts w:hint="eastAsia" w:ascii="楷体" w:hAnsi="楷体" w:eastAsia="楷体" w:cs="楷体"/>
          <w:b w:val="0"/>
          <w:bCs/>
          <w:sz w:val="24"/>
          <w:szCs w:val="24"/>
        </w:rPr>
      </w:pPr>
    </w:p>
    <w:p w14:paraId="44B611C3">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8．赔偿的具体要求和办法</w:t>
      </w:r>
    </w:p>
    <w:p w14:paraId="5DD06C0B">
      <w:pPr>
        <w:jc w:val="left"/>
        <w:rPr>
          <w:rFonts w:hint="eastAsia" w:ascii="楷体" w:hAnsi="楷体" w:eastAsia="楷体" w:cs="楷体"/>
          <w:b w:val="0"/>
          <w:bCs/>
          <w:sz w:val="24"/>
          <w:szCs w:val="24"/>
        </w:rPr>
      </w:pPr>
      <w:r>
        <w:rPr>
          <w:rFonts w:hint="eastAsia" w:ascii="楷体" w:hAnsi="楷体" w:eastAsia="楷体" w:cs="楷体"/>
          <w:b w:val="0"/>
          <w:bCs/>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楷体" w:hAnsi="楷体" w:eastAsia="楷体" w:cs="楷体"/>
          <w:b w:val="0"/>
          <w:bCs/>
          <w:sz w:val="24"/>
          <w:szCs w:val="24"/>
        </w:rPr>
        <w:t>。</w:t>
      </w:r>
    </w:p>
    <w:p w14:paraId="09AD3E1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8.2 乙方不合格品的让步接收</w:t>
      </w:r>
    </w:p>
    <w:p w14:paraId="41453EC3">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14:paraId="31606FBB">
      <w:pPr>
        <w:ind w:firstLine="588" w:firstLineChars="245"/>
        <w:jc w:val="left"/>
        <w:rPr>
          <w:rFonts w:hint="eastAsia" w:ascii="楷体" w:hAnsi="楷体" w:eastAsia="楷体" w:cs="楷体"/>
          <w:b w:val="0"/>
          <w:bCs/>
          <w:sz w:val="24"/>
          <w:szCs w:val="24"/>
        </w:rPr>
      </w:pPr>
      <w:r>
        <w:rPr>
          <w:rFonts w:hint="eastAsia" w:ascii="楷体" w:hAnsi="楷体" w:eastAsia="楷体" w:cs="楷体"/>
          <w:b w:val="0"/>
          <w:bCs/>
          <w:sz w:val="24"/>
          <w:szCs w:val="24"/>
        </w:rPr>
        <w:t>8.2.2 降价接收的标准为，第一次发生让步接收的产品单价下降10%，让步总金额不满500元时按500元计算；第二次发生让步接收的产品单价下降20%，让步总金额不满1000元时按1000元计算，以此类推。</w:t>
      </w:r>
    </w:p>
    <w:p w14:paraId="6906379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楷体" w:hAnsi="楷体" w:eastAsia="楷体" w:cs="楷体"/>
          <w:b w:val="0"/>
          <w:bCs/>
          <w:sz w:val="24"/>
          <w:szCs w:val="24"/>
        </w:rPr>
        <w:t>。</w:t>
      </w:r>
    </w:p>
    <w:p w14:paraId="264EC504">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 xml:space="preserve"> 8.4 乙方原材料入厂后连续3次以上（含3次）在甲方发生品质问题，甲方有权要求乙方承担违约责任，违约金数额为5000至10000元</w:t>
      </w:r>
      <w:r>
        <w:rPr>
          <w:rFonts w:hint="eastAsia" w:ascii="楷体" w:hAnsi="楷体" w:eastAsia="楷体" w:cs="楷体"/>
          <w:b w:val="0"/>
          <w:bCs/>
          <w:sz w:val="24"/>
          <w:szCs w:val="24"/>
        </w:rPr>
        <w:t>。</w:t>
      </w:r>
    </w:p>
    <w:p w14:paraId="3953F90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FF00"/>
          <w:sz w:val="24"/>
          <w:szCs w:val="24"/>
        </w:rPr>
        <w:t xml:space="preserve"> </w:t>
      </w:r>
      <w:r>
        <w:rPr>
          <w:rFonts w:hint="eastAsia" w:ascii="楷体" w:hAnsi="楷体" w:eastAsia="楷体" w:cs="楷体"/>
          <w:b w:val="0"/>
          <w:bCs/>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楷体" w:hAnsi="楷体" w:eastAsia="楷体" w:cs="楷体"/>
          <w:b w:val="0"/>
          <w:bCs/>
          <w:sz w:val="24"/>
          <w:szCs w:val="24"/>
        </w:rPr>
        <w:t>。</w:t>
      </w:r>
    </w:p>
    <w:p w14:paraId="4D569AB8">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14:paraId="3DBD6429">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8.7 由于乙方供货或产品质量原因，影响甲方总成供货或造成主机厂停线，导致其向甲方索赔的，乙方应承担全部责任，赔偿标准以主机厂相关规定为准。</w:t>
      </w:r>
    </w:p>
    <w:p w14:paraId="1FC2EDC1">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8.8 在乙方发生质量异常时，甲方将按附件一《采购零部件质量索赔及处罚标准》进行处罚。</w:t>
      </w:r>
    </w:p>
    <w:p w14:paraId="17644BDF">
      <w:pPr>
        <w:jc w:val="left"/>
        <w:rPr>
          <w:rFonts w:hint="eastAsia" w:ascii="楷体" w:hAnsi="楷体" w:eastAsia="楷体" w:cs="楷体"/>
          <w:b w:val="0"/>
          <w:bCs/>
          <w:sz w:val="24"/>
          <w:szCs w:val="24"/>
        </w:rPr>
      </w:pPr>
    </w:p>
    <w:p w14:paraId="2D3DD4ED">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14:paraId="1B4ABDE3">
      <w:pPr>
        <w:jc w:val="left"/>
        <w:rPr>
          <w:rFonts w:hint="eastAsia" w:ascii="楷体" w:hAnsi="楷体" w:eastAsia="楷体" w:cs="楷体"/>
          <w:b w:val="0"/>
          <w:bCs/>
          <w:sz w:val="24"/>
          <w:szCs w:val="24"/>
        </w:rPr>
      </w:pPr>
    </w:p>
    <w:p w14:paraId="20CA85F7">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10．基于乙方月度评价情况，甲方采购管理部对乙方作出年度综合评价，对于全年质量稳定、售后配合良好的乙方，甲方将于年底给予奖彰，在新产品开发上享有优先供货权。</w:t>
      </w:r>
    </w:p>
    <w:p w14:paraId="731FEC5D">
      <w:pPr>
        <w:jc w:val="left"/>
        <w:rPr>
          <w:rFonts w:hint="eastAsia" w:ascii="楷体" w:hAnsi="楷体" w:eastAsia="楷体" w:cs="楷体"/>
          <w:b w:val="0"/>
          <w:bCs/>
          <w:sz w:val="24"/>
          <w:szCs w:val="24"/>
        </w:rPr>
      </w:pPr>
    </w:p>
    <w:p w14:paraId="522B6253">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11．协议变更：对本协议任何内容的变更或增加，均需由甲乙双方协商一致签订补充协议。</w:t>
      </w:r>
    </w:p>
    <w:p w14:paraId="21BFFDE1">
      <w:pPr>
        <w:jc w:val="left"/>
        <w:rPr>
          <w:rFonts w:hint="eastAsia" w:ascii="楷体" w:hAnsi="楷体" w:eastAsia="楷体" w:cs="楷体"/>
          <w:b w:val="0"/>
          <w:bCs/>
          <w:sz w:val="24"/>
          <w:szCs w:val="24"/>
        </w:rPr>
      </w:pPr>
    </w:p>
    <w:p w14:paraId="3B70E371">
      <w:pPr>
        <w:jc w:val="left"/>
        <w:rPr>
          <w:rFonts w:hint="eastAsia" w:ascii="楷体" w:hAnsi="楷体" w:eastAsia="楷体" w:cs="楷体"/>
          <w:b w:val="0"/>
          <w:bCs/>
          <w:color w:val="FF0000"/>
          <w:sz w:val="24"/>
          <w:szCs w:val="24"/>
        </w:rPr>
      </w:pPr>
      <w:r>
        <w:rPr>
          <w:rFonts w:hint="eastAsia" w:ascii="楷体" w:hAnsi="楷体" w:eastAsia="楷体" w:cs="楷体"/>
          <w:b w:val="0"/>
          <w:bCs/>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14:paraId="139084F2">
      <w:pPr>
        <w:jc w:val="left"/>
        <w:rPr>
          <w:rFonts w:hint="eastAsia" w:ascii="楷体" w:hAnsi="楷体" w:eastAsia="楷体" w:cs="楷体"/>
          <w:b w:val="0"/>
          <w:bCs/>
          <w:color w:val="FF0000"/>
          <w:sz w:val="24"/>
          <w:szCs w:val="24"/>
        </w:rPr>
      </w:pPr>
    </w:p>
    <w:p w14:paraId="355BA53C">
      <w:pPr>
        <w:jc w:val="left"/>
        <w:rPr>
          <w:rFonts w:hint="eastAsia" w:ascii="楷体" w:hAnsi="楷体" w:eastAsia="楷体" w:cs="楷体"/>
          <w:b w:val="0"/>
          <w:bCs/>
          <w:sz w:val="24"/>
          <w:szCs w:val="24"/>
        </w:rPr>
      </w:pPr>
      <w:r>
        <w:rPr>
          <w:rFonts w:hint="eastAsia" w:ascii="楷体" w:hAnsi="楷体" w:eastAsia="楷体" w:cs="楷体"/>
          <w:b w:val="0"/>
          <w:bCs/>
          <w:sz w:val="24"/>
          <w:szCs w:val="24"/>
        </w:rPr>
        <w:t xml:space="preserve">     </w:t>
      </w:r>
      <w:r>
        <w:rPr>
          <w:rFonts w:hint="eastAsia" w:ascii="楷体" w:hAnsi="楷体" w:eastAsia="楷体" w:cs="楷体"/>
          <w:b w:val="0"/>
          <w:bCs/>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14:paraId="167488C8">
      <w:pPr>
        <w:jc w:val="left"/>
        <w:rPr>
          <w:rFonts w:hint="eastAsia" w:ascii="楷体" w:hAnsi="楷体" w:eastAsia="楷体" w:cs="楷体"/>
          <w:b w:val="0"/>
          <w:bCs/>
          <w:sz w:val="24"/>
          <w:szCs w:val="24"/>
        </w:rPr>
      </w:pPr>
    </w:p>
    <w:p w14:paraId="50DAD7E2">
      <w:pPr>
        <w:numPr>
          <w:ilvl w:val="0"/>
          <w:numId w:val="1"/>
        </w:numPr>
        <w:ind w:left="600" w:leftChars="0" w:firstLine="0" w:firstLineChars="0"/>
        <w:jc w:val="left"/>
        <w:rPr>
          <w:rFonts w:hint="eastAsia" w:ascii="楷体" w:hAnsi="楷体" w:eastAsia="楷体" w:cs="楷体"/>
          <w:b w:val="0"/>
          <w:bCs/>
          <w:sz w:val="24"/>
          <w:szCs w:val="24"/>
        </w:rPr>
      </w:pPr>
      <w:r>
        <w:rPr>
          <w:rFonts w:hint="eastAsia" w:ascii="楷体" w:hAnsi="楷体" w:eastAsia="楷体" w:cs="楷体"/>
          <w:b w:val="0"/>
          <w:bCs/>
          <w:sz w:val="24"/>
          <w:szCs w:val="24"/>
        </w:rPr>
        <w:t>本协议一式二份，甲乙双方各保留一份。</w:t>
      </w:r>
    </w:p>
    <w:p w14:paraId="66BCC691">
      <w:pPr>
        <w:numPr>
          <w:ilvl w:val="0"/>
          <w:numId w:val="0"/>
        </w:numPr>
        <w:ind w:left="600" w:leftChars="0"/>
        <w:jc w:val="left"/>
        <w:rPr>
          <w:rFonts w:hint="eastAsia" w:ascii="楷体" w:hAnsi="楷体" w:eastAsia="楷体" w:cs="楷体"/>
          <w:b w:val="0"/>
          <w:bCs/>
          <w:sz w:val="24"/>
          <w:szCs w:val="24"/>
        </w:rPr>
      </w:pPr>
    </w:p>
    <w:p w14:paraId="2806CAF5">
      <w:pPr>
        <w:numPr>
          <w:ilvl w:val="0"/>
          <w:numId w:val="0"/>
        </w:numPr>
        <w:ind w:left="600" w:leftChars="0" w:firstLine="562" w:firstLineChars="200"/>
        <w:jc w:val="left"/>
        <w:rPr>
          <w:rFonts w:hint="default" w:ascii="楷体" w:hAnsi="楷体" w:eastAsia="楷体" w:cs="楷体"/>
          <w:b/>
          <w:bCs w:val="0"/>
          <w:sz w:val="28"/>
          <w:szCs w:val="21"/>
          <w:u w:val="single"/>
          <w:lang w:val="en-US" w:eastAsia="zh-CN"/>
        </w:rPr>
      </w:pPr>
      <w:r>
        <w:rPr>
          <w:rFonts w:hint="eastAsia" w:ascii="楷体" w:hAnsi="楷体" w:eastAsia="楷体" w:cs="楷体"/>
          <w:b/>
          <w:bCs w:val="0"/>
          <w:sz w:val="28"/>
          <w:szCs w:val="28"/>
          <w:lang w:eastAsia="zh-CN"/>
        </w:rPr>
        <w:t>有效期：</w:t>
      </w:r>
      <w:r>
        <w:rPr>
          <w:rFonts w:hint="eastAsia" w:ascii="楷体" w:hAnsi="楷体" w:eastAsia="楷体" w:cs="楷体"/>
          <w:b/>
          <w:bCs w:val="0"/>
          <w:sz w:val="28"/>
          <w:szCs w:val="28"/>
          <w:u w:val="single"/>
          <w:lang w:val="en-US" w:eastAsia="zh-CN"/>
        </w:rPr>
        <w:t>2024年1月1日</w:t>
      </w:r>
      <w:r>
        <w:rPr>
          <w:rFonts w:hint="eastAsia" w:ascii="楷体" w:hAnsi="楷体" w:eastAsia="楷体" w:cs="楷体"/>
          <w:b/>
          <w:bCs w:val="0"/>
          <w:sz w:val="28"/>
          <w:szCs w:val="28"/>
          <w:lang w:val="en-US" w:eastAsia="zh-CN"/>
        </w:rPr>
        <w:t>-</w:t>
      </w:r>
      <w:r>
        <w:rPr>
          <w:rFonts w:hint="eastAsia" w:ascii="楷体" w:hAnsi="楷体" w:eastAsia="楷体" w:cs="楷体"/>
          <w:b/>
          <w:bCs w:val="0"/>
          <w:sz w:val="28"/>
          <w:szCs w:val="28"/>
          <w:u w:val="single"/>
          <w:lang w:val="en-US" w:eastAsia="zh-CN"/>
        </w:rPr>
        <w:t>2025年12月31日</w:t>
      </w:r>
    </w:p>
    <w:p w14:paraId="50439E0E">
      <w:pPr>
        <w:jc w:val="left"/>
        <w:rPr>
          <w:rFonts w:hint="eastAsia" w:ascii="楷体" w:hAnsi="楷体" w:eastAsia="楷体" w:cs="楷体"/>
          <w:b/>
          <w:bCs w:val="0"/>
          <w:sz w:val="28"/>
          <w:szCs w:val="21"/>
        </w:rPr>
      </w:pPr>
    </w:p>
    <w:p w14:paraId="05B1A9A2">
      <w:pPr>
        <w:jc w:val="left"/>
        <w:rPr>
          <w:rFonts w:hint="eastAsia" w:ascii="楷体" w:hAnsi="楷体" w:eastAsia="楷体" w:cs="楷体"/>
          <w:b w:val="0"/>
          <w:bCs/>
          <w:sz w:val="24"/>
          <w:szCs w:val="20"/>
        </w:rPr>
      </w:pPr>
    </w:p>
    <w:p w14:paraId="5579097B">
      <w:pPr>
        <w:jc w:val="left"/>
        <w:rPr>
          <w:rFonts w:hint="eastAsia" w:ascii="楷体" w:hAnsi="楷体" w:eastAsia="楷体" w:cs="楷体"/>
          <w:b w:val="0"/>
          <w:bCs/>
          <w:sz w:val="24"/>
          <w:szCs w:val="20"/>
        </w:rPr>
      </w:pPr>
    </w:p>
    <w:p w14:paraId="385C8954">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甲 方：</w:t>
      </w:r>
      <w:r>
        <w:rPr>
          <w:rFonts w:hint="eastAsia" w:ascii="楷体" w:hAnsi="楷体" w:eastAsia="楷体" w:cs="楷体"/>
          <w:b w:val="0"/>
          <w:bCs/>
          <w:sz w:val="28"/>
          <w:szCs w:val="20"/>
          <w:lang w:val="en-US" w:eastAsia="zh-CN"/>
        </w:rPr>
        <w:t xml:space="preserve">潍坊光华荣昌汽车技术有限公司  </w:t>
      </w:r>
    </w:p>
    <w:p w14:paraId="58932C21">
      <w:pPr>
        <w:ind w:left="1121" w:leftChars="134" w:hanging="840" w:hangingChars="300"/>
        <w:jc w:val="left"/>
        <w:rPr>
          <w:rFonts w:hint="eastAsia" w:ascii="楷体" w:hAnsi="楷体" w:eastAsia="楷体" w:cs="楷体"/>
          <w:b w:val="0"/>
          <w:bCs/>
          <w:sz w:val="28"/>
          <w:szCs w:val="20"/>
          <w:lang w:val="en-US" w:eastAsia="zh-CN"/>
        </w:rPr>
      </w:pPr>
    </w:p>
    <w:p w14:paraId="3688035A">
      <w:pPr>
        <w:ind w:firstLine="280" w:firstLineChars="100"/>
        <w:jc w:val="left"/>
        <w:rPr>
          <w:rFonts w:hint="eastAsia" w:ascii="楷体" w:hAnsi="楷体" w:eastAsia="楷体" w:cs="楷体"/>
          <w:b w:val="0"/>
          <w:bCs/>
          <w:sz w:val="28"/>
          <w:szCs w:val="20"/>
        </w:rPr>
      </w:pPr>
      <w:r>
        <w:rPr>
          <w:rFonts w:hint="eastAsia" w:ascii="楷体" w:hAnsi="楷体" w:eastAsia="楷体" w:cs="楷体"/>
          <w:b w:val="0"/>
          <w:bCs/>
          <w:sz w:val="28"/>
          <w:szCs w:val="20"/>
        </w:rPr>
        <w:t>地 址：</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 xml:space="preserve">       </w:t>
      </w:r>
    </w:p>
    <w:p w14:paraId="03CA7F03">
      <w:pPr>
        <w:jc w:val="left"/>
        <w:rPr>
          <w:rFonts w:hint="eastAsia" w:ascii="楷体" w:hAnsi="楷体" w:eastAsia="楷体" w:cs="楷体"/>
          <w:b w:val="0"/>
          <w:bCs/>
          <w:sz w:val="28"/>
          <w:szCs w:val="20"/>
        </w:rPr>
      </w:pPr>
    </w:p>
    <w:p w14:paraId="264A9D8A">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日 期</w:t>
      </w:r>
      <w:r>
        <w:rPr>
          <w:rFonts w:hint="eastAsia" w:ascii="楷体" w:hAnsi="楷体" w:eastAsia="楷体" w:cs="楷体"/>
          <w:b w:val="0"/>
          <w:bCs/>
          <w:sz w:val="28"/>
          <w:szCs w:val="20"/>
          <w:lang w:eastAsia="zh-CN"/>
        </w:rPr>
        <w:t>：</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38788552">
      <w:pPr>
        <w:jc w:val="left"/>
        <w:rPr>
          <w:rFonts w:hint="eastAsia" w:ascii="楷体" w:hAnsi="楷体" w:eastAsia="楷体" w:cs="楷体"/>
          <w:b w:val="0"/>
          <w:bCs/>
          <w:sz w:val="24"/>
          <w:szCs w:val="20"/>
        </w:rPr>
      </w:pPr>
    </w:p>
    <w:p w14:paraId="71298C21">
      <w:pPr>
        <w:jc w:val="left"/>
        <w:rPr>
          <w:rFonts w:hint="eastAsia" w:ascii="楷体" w:hAnsi="楷体" w:eastAsia="楷体" w:cs="楷体"/>
          <w:b w:val="0"/>
          <w:bCs/>
          <w:sz w:val="24"/>
          <w:szCs w:val="20"/>
        </w:rPr>
      </w:pPr>
    </w:p>
    <w:p w14:paraId="49CD6303">
      <w:pPr>
        <w:ind w:left="1121" w:leftChars="134" w:hanging="840" w:hangingChars="3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乙 方：</w:t>
      </w:r>
      <w:r>
        <w:rPr>
          <w:rFonts w:hint="eastAsia" w:ascii="楷体" w:hAnsi="楷体" w:eastAsia="楷体" w:cs="楷体"/>
          <w:b w:val="0"/>
          <w:bCs/>
          <w:sz w:val="28"/>
          <w:szCs w:val="20"/>
          <w:lang w:eastAsia="zh-CN"/>
        </w:rPr>
        <w:t>黄骅市鑫祺汽车配件有限公司</w:t>
      </w:r>
      <w:bookmarkStart w:id="0" w:name="_GoBack"/>
      <w:bookmarkEnd w:id="0"/>
      <w:r>
        <w:rPr>
          <w:rFonts w:hint="eastAsia" w:ascii="楷体" w:hAnsi="楷体" w:eastAsia="楷体" w:cs="楷体"/>
          <w:b w:val="0"/>
          <w:bCs/>
          <w:sz w:val="28"/>
          <w:szCs w:val="20"/>
          <w:lang w:val="en-US" w:eastAsia="zh-CN"/>
        </w:rPr>
        <w:t xml:space="preserve">             </w:t>
      </w:r>
    </w:p>
    <w:p w14:paraId="72B2DF00">
      <w:pPr>
        <w:jc w:val="left"/>
        <w:rPr>
          <w:rFonts w:hint="eastAsia" w:ascii="楷体" w:hAnsi="楷体" w:eastAsia="楷体" w:cs="楷体"/>
          <w:b w:val="0"/>
          <w:bCs/>
          <w:sz w:val="24"/>
          <w:szCs w:val="20"/>
        </w:rPr>
      </w:pPr>
    </w:p>
    <w:p w14:paraId="12E9B164">
      <w:pPr>
        <w:jc w:val="left"/>
        <w:rPr>
          <w:rFonts w:hint="eastAsia" w:ascii="楷体" w:hAnsi="楷体" w:eastAsia="楷体" w:cs="楷体"/>
          <w:b w:val="0"/>
          <w:bCs/>
          <w:sz w:val="24"/>
          <w:szCs w:val="20"/>
        </w:rPr>
      </w:pPr>
    </w:p>
    <w:p w14:paraId="38377492">
      <w:pPr>
        <w:jc w:val="left"/>
        <w:rPr>
          <w:rFonts w:hint="eastAsia" w:ascii="楷体" w:hAnsi="楷体" w:eastAsia="楷体" w:cs="楷体"/>
          <w:b w:val="0"/>
          <w:bCs/>
          <w:sz w:val="28"/>
          <w:szCs w:val="20"/>
          <w:lang w:eastAsia="zh-CN"/>
        </w:rPr>
      </w:pPr>
      <w:r>
        <w:rPr>
          <w:rFonts w:hint="eastAsia" w:ascii="楷体" w:hAnsi="楷体" w:eastAsia="楷体" w:cs="楷体"/>
          <w:b w:val="0"/>
          <w:bCs/>
          <w:sz w:val="28"/>
          <w:szCs w:val="20"/>
          <w:lang w:val="en-US" w:eastAsia="zh-CN"/>
        </w:rPr>
        <w:t xml:space="preserve">  </w:t>
      </w:r>
      <w:r>
        <w:rPr>
          <w:rFonts w:hint="eastAsia" w:ascii="楷体" w:hAnsi="楷体" w:eastAsia="楷体" w:cs="楷体"/>
          <w:b w:val="0"/>
          <w:bCs/>
          <w:sz w:val="28"/>
          <w:szCs w:val="20"/>
        </w:rPr>
        <w:t>地 址</w:t>
      </w:r>
      <w:r>
        <w:rPr>
          <w:rFonts w:hint="eastAsia" w:ascii="楷体" w:hAnsi="楷体" w:eastAsia="楷体" w:cs="楷体"/>
          <w:b w:val="0"/>
          <w:bCs/>
          <w:sz w:val="28"/>
          <w:szCs w:val="20"/>
          <w:lang w:eastAsia="zh-CN"/>
        </w:rPr>
        <w:t>：</w:t>
      </w:r>
    </w:p>
    <w:p w14:paraId="0B55B56A">
      <w:pPr>
        <w:jc w:val="left"/>
        <w:rPr>
          <w:rFonts w:hint="eastAsia" w:ascii="楷体" w:hAnsi="楷体" w:eastAsia="楷体" w:cs="楷体"/>
          <w:b w:val="0"/>
          <w:bCs/>
          <w:sz w:val="28"/>
          <w:szCs w:val="20"/>
        </w:rPr>
      </w:pPr>
    </w:p>
    <w:p w14:paraId="54B2EDF4">
      <w:pPr>
        <w:jc w:val="left"/>
        <w:rPr>
          <w:rFonts w:hint="eastAsia" w:ascii="楷体" w:hAnsi="楷体" w:eastAsia="楷体" w:cs="楷体"/>
          <w:b w:val="0"/>
          <w:bCs/>
          <w:sz w:val="24"/>
          <w:szCs w:val="20"/>
        </w:rPr>
      </w:pPr>
    </w:p>
    <w:p w14:paraId="0D316446">
      <w:pPr>
        <w:ind w:firstLine="280" w:firstLineChars="100"/>
        <w:jc w:val="left"/>
        <w:rPr>
          <w:rFonts w:hint="eastAsia" w:ascii="楷体" w:hAnsi="楷体" w:eastAsia="楷体" w:cs="楷体"/>
          <w:b w:val="0"/>
          <w:bCs/>
          <w:sz w:val="24"/>
          <w:szCs w:val="20"/>
        </w:rPr>
      </w:pPr>
      <w:r>
        <w:rPr>
          <w:rFonts w:hint="eastAsia" w:ascii="楷体" w:hAnsi="楷体" w:eastAsia="楷体" w:cs="楷体"/>
          <w:b w:val="0"/>
          <w:bCs/>
          <w:sz w:val="28"/>
          <w:szCs w:val="20"/>
        </w:rPr>
        <w:t>代 表：</w:t>
      </w:r>
    </w:p>
    <w:p w14:paraId="0442DC92">
      <w:pPr>
        <w:jc w:val="left"/>
        <w:rPr>
          <w:rFonts w:hint="eastAsia" w:ascii="楷体" w:hAnsi="楷体" w:eastAsia="楷体" w:cs="楷体"/>
          <w:b w:val="0"/>
          <w:bCs/>
          <w:sz w:val="24"/>
          <w:szCs w:val="20"/>
        </w:rPr>
      </w:pPr>
    </w:p>
    <w:p w14:paraId="57B373FD">
      <w:pPr>
        <w:jc w:val="left"/>
        <w:rPr>
          <w:rFonts w:hint="eastAsia" w:ascii="楷体" w:hAnsi="楷体" w:eastAsia="楷体" w:cs="楷体"/>
          <w:b w:val="0"/>
          <w:bCs/>
          <w:sz w:val="24"/>
          <w:szCs w:val="20"/>
        </w:rPr>
      </w:pPr>
    </w:p>
    <w:p w14:paraId="53A956D7">
      <w:pPr>
        <w:ind w:firstLine="280" w:firstLineChars="100"/>
        <w:jc w:val="left"/>
        <w:rPr>
          <w:rFonts w:hint="eastAsia" w:ascii="楷体" w:hAnsi="楷体" w:eastAsia="楷体" w:cs="楷体"/>
          <w:b w:val="0"/>
          <w:bCs/>
          <w:sz w:val="28"/>
          <w:szCs w:val="20"/>
          <w:lang w:val="en-US" w:eastAsia="zh-CN"/>
        </w:rPr>
      </w:pPr>
      <w:r>
        <w:rPr>
          <w:rFonts w:hint="eastAsia" w:ascii="楷体" w:hAnsi="楷体" w:eastAsia="楷体" w:cs="楷体"/>
          <w:b w:val="0"/>
          <w:bCs/>
          <w:sz w:val="28"/>
          <w:szCs w:val="20"/>
        </w:rPr>
        <w:t>日 期：</w:t>
      </w:r>
      <w:r>
        <w:rPr>
          <w:rFonts w:hint="eastAsia" w:ascii="楷体" w:hAnsi="楷体" w:eastAsia="楷体" w:cs="楷体"/>
          <w:b w:val="0"/>
          <w:bCs/>
          <w:sz w:val="28"/>
          <w:szCs w:val="20"/>
          <w:lang w:val="en-US" w:eastAsia="zh-CN"/>
        </w:rPr>
        <w:t>2024年1月1日</w:t>
      </w:r>
      <w:r>
        <w:rPr>
          <w:rFonts w:hint="eastAsia" w:ascii="楷体" w:hAnsi="楷体" w:eastAsia="楷体" w:cs="楷体"/>
          <w:b w:val="0"/>
          <w:bCs/>
          <w:sz w:val="28"/>
          <w:szCs w:val="20"/>
        </w:rPr>
        <w:t xml:space="preserve">    </w:t>
      </w:r>
      <w:r>
        <w:rPr>
          <w:rFonts w:hint="eastAsia" w:ascii="楷体" w:hAnsi="楷体" w:eastAsia="楷体" w:cs="楷体"/>
          <w:b w:val="0"/>
          <w:bCs/>
          <w:sz w:val="28"/>
          <w:szCs w:val="20"/>
          <w:lang w:val="en-US" w:eastAsia="zh-CN"/>
        </w:rPr>
        <w:t xml:space="preserve"> </w:t>
      </w:r>
    </w:p>
    <w:p w14:paraId="6A912013">
      <w:pPr>
        <w:ind w:firstLine="280" w:firstLineChars="100"/>
        <w:jc w:val="left"/>
        <w:rPr>
          <w:rFonts w:hint="eastAsia" w:ascii="楷体" w:hAnsi="楷体" w:eastAsia="楷体" w:cs="楷体"/>
          <w:b w:val="0"/>
          <w:bCs/>
          <w:sz w:val="28"/>
          <w:szCs w:val="20"/>
          <w:lang w:val="en-US" w:eastAsia="zh-CN"/>
        </w:rPr>
      </w:pPr>
    </w:p>
    <w:p w14:paraId="4A989CA9">
      <w:pPr>
        <w:ind w:firstLine="280" w:firstLineChars="100"/>
        <w:jc w:val="left"/>
        <w:rPr>
          <w:rFonts w:hint="eastAsia" w:ascii="楷体" w:hAnsi="楷体" w:eastAsia="楷体" w:cs="楷体"/>
          <w:b w:val="0"/>
          <w:bCs/>
          <w:sz w:val="28"/>
          <w:szCs w:val="20"/>
          <w:lang w:val="en-US" w:eastAsia="zh-CN"/>
        </w:rPr>
      </w:pPr>
    </w:p>
    <w:p w14:paraId="3592A0FB">
      <w:pPr>
        <w:rPr>
          <w:rFonts w:hint="eastAsia"/>
          <w:b/>
          <w:sz w:val="22"/>
          <w:szCs w:val="24"/>
        </w:rPr>
      </w:pPr>
    </w:p>
    <w:p w14:paraId="22AC23B3">
      <w:pPr>
        <w:rPr>
          <w:b/>
          <w:sz w:val="22"/>
          <w:szCs w:val="24"/>
        </w:rPr>
      </w:pPr>
      <w:r>
        <w:rPr>
          <w:rFonts w:hint="eastAsia"/>
          <w:b/>
          <w:sz w:val="22"/>
          <w:szCs w:val="24"/>
        </w:rPr>
        <w:t>附件一</w:t>
      </w:r>
    </w:p>
    <w:p w14:paraId="4A021816">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14:paraId="33117A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EC60220">
            <w:pPr>
              <w:jc w:val="center"/>
              <w:rPr>
                <w:b/>
                <w:sz w:val="22"/>
                <w:szCs w:val="24"/>
              </w:rPr>
            </w:pPr>
            <w:r>
              <w:rPr>
                <w:rFonts w:hint="eastAsia"/>
                <w:b/>
                <w:sz w:val="22"/>
                <w:szCs w:val="24"/>
              </w:rPr>
              <w:t>序号</w:t>
            </w:r>
          </w:p>
        </w:tc>
        <w:tc>
          <w:tcPr>
            <w:tcW w:w="1145" w:type="dxa"/>
            <w:vAlign w:val="center"/>
          </w:tcPr>
          <w:p w14:paraId="32FA9752">
            <w:pPr>
              <w:jc w:val="center"/>
              <w:rPr>
                <w:b/>
                <w:sz w:val="22"/>
                <w:szCs w:val="24"/>
              </w:rPr>
            </w:pPr>
            <w:r>
              <w:rPr>
                <w:rFonts w:hint="eastAsia"/>
                <w:b/>
                <w:sz w:val="22"/>
                <w:szCs w:val="24"/>
              </w:rPr>
              <w:t>考核项目</w:t>
            </w:r>
          </w:p>
        </w:tc>
        <w:tc>
          <w:tcPr>
            <w:tcW w:w="4149" w:type="dxa"/>
            <w:vAlign w:val="center"/>
          </w:tcPr>
          <w:p w14:paraId="3377BA28">
            <w:pPr>
              <w:jc w:val="center"/>
              <w:rPr>
                <w:b/>
                <w:sz w:val="22"/>
                <w:szCs w:val="24"/>
              </w:rPr>
            </w:pPr>
            <w:r>
              <w:rPr>
                <w:rFonts w:hint="eastAsia"/>
                <w:b/>
                <w:sz w:val="22"/>
                <w:szCs w:val="24"/>
              </w:rPr>
              <w:t>采购质量激励类型</w:t>
            </w:r>
          </w:p>
        </w:tc>
        <w:tc>
          <w:tcPr>
            <w:tcW w:w="4721" w:type="dxa"/>
            <w:vAlign w:val="center"/>
          </w:tcPr>
          <w:p w14:paraId="3791E872">
            <w:pPr>
              <w:jc w:val="center"/>
              <w:rPr>
                <w:b/>
                <w:sz w:val="22"/>
                <w:szCs w:val="24"/>
              </w:rPr>
            </w:pPr>
            <w:r>
              <w:rPr>
                <w:rFonts w:hint="eastAsia"/>
                <w:b/>
                <w:sz w:val="22"/>
                <w:szCs w:val="24"/>
              </w:rPr>
              <w:t>考核标准</w:t>
            </w:r>
          </w:p>
        </w:tc>
      </w:tr>
      <w:tr w14:paraId="191090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14:paraId="7DEA25A3">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14:paraId="33D57322">
            <w:pPr>
              <w:rPr>
                <w:b/>
                <w:sz w:val="22"/>
                <w:szCs w:val="24"/>
              </w:rPr>
            </w:pPr>
            <w:r>
              <w:rPr>
                <w:rFonts w:hint="eastAsia"/>
                <w:b/>
                <w:sz w:val="22"/>
                <w:szCs w:val="24"/>
              </w:rPr>
              <w:t>实物质量</w:t>
            </w:r>
          </w:p>
        </w:tc>
      </w:tr>
      <w:tr w14:paraId="109333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73D03227">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14:paraId="1D4BE01A">
            <w:pPr>
              <w:jc w:val="center"/>
              <w:rPr>
                <w:sz w:val="22"/>
                <w:szCs w:val="24"/>
              </w:rPr>
            </w:pPr>
            <w:r>
              <w:rPr>
                <w:rFonts w:hint="eastAsia"/>
                <w:sz w:val="22"/>
                <w:szCs w:val="24"/>
              </w:rPr>
              <w:t>重大质</w:t>
            </w:r>
          </w:p>
          <w:p w14:paraId="6B3EBB9A">
            <w:pPr>
              <w:jc w:val="center"/>
              <w:rPr>
                <w:sz w:val="22"/>
                <w:szCs w:val="24"/>
              </w:rPr>
            </w:pPr>
            <w:r>
              <w:rPr>
                <w:rFonts w:hint="eastAsia"/>
                <w:sz w:val="22"/>
                <w:szCs w:val="24"/>
              </w:rPr>
              <w:t>量问题</w:t>
            </w:r>
          </w:p>
        </w:tc>
        <w:tc>
          <w:tcPr>
            <w:tcW w:w="4149" w:type="dxa"/>
            <w:vAlign w:val="center"/>
          </w:tcPr>
          <w:p w14:paraId="24CC1E7E">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14:paraId="46D00322">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14:paraId="4AC31738">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14:paraId="7094A1CF">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21786E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29863E22">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14:paraId="3A9A4007">
            <w:pPr>
              <w:rPr>
                <w:sz w:val="22"/>
                <w:szCs w:val="24"/>
              </w:rPr>
            </w:pPr>
          </w:p>
        </w:tc>
        <w:tc>
          <w:tcPr>
            <w:tcW w:w="4149" w:type="dxa"/>
            <w:vAlign w:val="center"/>
          </w:tcPr>
          <w:p w14:paraId="48E72406">
            <w:pPr>
              <w:rPr>
                <w:sz w:val="22"/>
                <w:szCs w:val="24"/>
              </w:rPr>
            </w:pPr>
            <w:r>
              <w:rPr>
                <w:rFonts w:hint="eastAsia"/>
                <w:sz w:val="22"/>
                <w:szCs w:val="24"/>
              </w:rPr>
              <w:t>因乙方零部件质量问题造成主机厂停线，4S店、主机厂各环节整车排查。</w:t>
            </w:r>
          </w:p>
        </w:tc>
        <w:tc>
          <w:tcPr>
            <w:tcW w:w="4721" w:type="dxa"/>
            <w:vAlign w:val="center"/>
          </w:tcPr>
          <w:p w14:paraId="4E0A8246">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经评审后可停止供货</w:t>
            </w:r>
          </w:p>
          <w:p w14:paraId="2267CE40">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14:paraId="2CE0D25A">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6BDB8C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14:paraId="711B754D">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14:paraId="1B9402B7">
            <w:pPr>
              <w:jc w:val="center"/>
              <w:rPr>
                <w:sz w:val="22"/>
                <w:szCs w:val="24"/>
              </w:rPr>
            </w:pPr>
            <w:r>
              <w:rPr>
                <w:rFonts w:hint="eastAsia"/>
                <w:sz w:val="22"/>
                <w:szCs w:val="24"/>
              </w:rPr>
              <w:t>严重质</w:t>
            </w:r>
          </w:p>
          <w:p w14:paraId="70FCCB1A">
            <w:pPr>
              <w:jc w:val="center"/>
              <w:rPr>
                <w:sz w:val="22"/>
                <w:szCs w:val="24"/>
              </w:rPr>
            </w:pPr>
            <w:r>
              <w:rPr>
                <w:rFonts w:hint="eastAsia"/>
                <w:sz w:val="22"/>
                <w:szCs w:val="24"/>
              </w:rPr>
              <w:t>量问题</w:t>
            </w:r>
          </w:p>
        </w:tc>
        <w:tc>
          <w:tcPr>
            <w:tcW w:w="4149" w:type="dxa"/>
            <w:vAlign w:val="center"/>
          </w:tcPr>
          <w:p w14:paraId="448B5BCF">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14:paraId="183301C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37CF5590">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14:paraId="17FE1BAD">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F287CB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14:paraId="2A3FAE32">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14:paraId="42633A4F">
            <w:pPr>
              <w:jc w:val="center"/>
              <w:rPr>
                <w:sz w:val="22"/>
                <w:szCs w:val="24"/>
              </w:rPr>
            </w:pPr>
          </w:p>
        </w:tc>
        <w:tc>
          <w:tcPr>
            <w:tcW w:w="4149" w:type="dxa"/>
            <w:vAlign w:val="center"/>
          </w:tcPr>
          <w:p w14:paraId="76339D7C">
            <w:pPr>
              <w:rPr>
                <w:sz w:val="22"/>
                <w:szCs w:val="24"/>
              </w:rPr>
            </w:pPr>
            <w:r>
              <w:rPr>
                <w:rFonts w:hint="eastAsia"/>
                <w:sz w:val="22"/>
                <w:szCs w:val="24"/>
              </w:rPr>
              <w:t>乙方零部件质量问题导致甲方甩件生产，或成品批量更换、返修。</w:t>
            </w:r>
          </w:p>
        </w:tc>
        <w:tc>
          <w:tcPr>
            <w:tcW w:w="4721" w:type="dxa"/>
            <w:vMerge w:val="continue"/>
            <w:vAlign w:val="center"/>
          </w:tcPr>
          <w:p w14:paraId="122D52C2">
            <w:pPr>
              <w:rPr>
                <w:rFonts w:asciiTheme="minorEastAsia" w:hAnsiTheme="minorEastAsia"/>
                <w:sz w:val="22"/>
                <w:szCs w:val="24"/>
              </w:rPr>
            </w:pPr>
          </w:p>
        </w:tc>
      </w:tr>
      <w:tr w14:paraId="1258D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1B235C60">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14:paraId="242048A5">
            <w:pPr>
              <w:rPr>
                <w:sz w:val="22"/>
                <w:szCs w:val="24"/>
              </w:rPr>
            </w:pPr>
          </w:p>
        </w:tc>
        <w:tc>
          <w:tcPr>
            <w:tcW w:w="4149" w:type="dxa"/>
            <w:vAlign w:val="center"/>
          </w:tcPr>
          <w:p w14:paraId="6FEA4BFA">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14:paraId="679BCC70">
            <w:pPr>
              <w:rPr>
                <w:rFonts w:asciiTheme="minorEastAsia" w:hAnsiTheme="minorEastAsia"/>
                <w:sz w:val="22"/>
                <w:szCs w:val="24"/>
              </w:rPr>
            </w:pPr>
          </w:p>
        </w:tc>
      </w:tr>
      <w:tr w14:paraId="05C355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5A8BE425">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14:paraId="0FD02914">
            <w:pPr>
              <w:jc w:val="center"/>
              <w:rPr>
                <w:sz w:val="22"/>
                <w:szCs w:val="24"/>
              </w:rPr>
            </w:pPr>
            <w:r>
              <w:rPr>
                <w:rFonts w:hint="eastAsia"/>
                <w:sz w:val="22"/>
                <w:szCs w:val="24"/>
              </w:rPr>
              <w:t>一般质</w:t>
            </w:r>
          </w:p>
          <w:p w14:paraId="7C1C73F7">
            <w:pPr>
              <w:jc w:val="center"/>
              <w:rPr>
                <w:sz w:val="22"/>
                <w:szCs w:val="24"/>
              </w:rPr>
            </w:pPr>
            <w:r>
              <w:rPr>
                <w:rFonts w:hint="eastAsia"/>
                <w:sz w:val="22"/>
                <w:szCs w:val="24"/>
              </w:rPr>
              <w:t>量问题</w:t>
            </w:r>
          </w:p>
        </w:tc>
        <w:tc>
          <w:tcPr>
            <w:tcW w:w="4149" w:type="dxa"/>
            <w:vAlign w:val="center"/>
          </w:tcPr>
          <w:p w14:paraId="06FCD58F">
            <w:pPr>
              <w:rPr>
                <w:sz w:val="22"/>
                <w:szCs w:val="24"/>
              </w:rPr>
            </w:pPr>
            <w:r>
              <w:rPr>
                <w:rFonts w:hint="eastAsia"/>
                <w:sz w:val="22"/>
                <w:szCs w:val="24"/>
              </w:rPr>
              <w:t>乙方零部件质量问题造成甲方生产、物流抱怨，严重影响甲方正常生产秩序。</w:t>
            </w:r>
          </w:p>
        </w:tc>
        <w:tc>
          <w:tcPr>
            <w:tcW w:w="4721" w:type="dxa"/>
            <w:vAlign w:val="center"/>
          </w:tcPr>
          <w:p w14:paraId="6E8DF2C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经评审后可暂停装用</w:t>
            </w:r>
          </w:p>
          <w:p w14:paraId="0AE1180F">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14:paraId="1EF923A2">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14:paraId="570BA2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14:paraId="0308278A">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14:paraId="61533C67">
            <w:pPr>
              <w:jc w:val="center"/>
              <w:rPr>
                <w:sz w:val="22"/>
                <w:szCs w:val="24"/>
              </w:rPr>
            </w:pPr>
            <w:r>
              <w:rPr>
                <w:rFonts w:hint="eastAsia"/>
                <w:sz w:val="22"/>
                <w:szCs w:val="24"/>
              </w:rPr>
              <w:t>市场三包</w:t>
            </w:r>
          </w:p>
        </w:tc>
        <w:tc>
          <w:tcPr>
            <w:tcW w:w="4149" w:type="dxa"/>
            <w:vAlign w:val="center"/>
          </w:tcPr>
          <w:p w14:paraId="2B5E87CB">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14:paraId="5736471F">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14:paraId="22ABDC36">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14:paraId="00416D89">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14:paraId="4B5AE227">
            <w:pPr>
              <w:pStyle w:val="11"/>
              <w:numPr>
                <w:ilvl w:val="0"/>
                <w:numId w:val="0"/>
              </w:numPr>
              <w:ind w:leftChars="0"/>
              <w:rPr>
                <w:rFonts w:asciiTheme="minorEastAsia" w:hAnsiTheme="minorEastAsia"/>
                <w:color w:val="FF0000"/>
                <w:sz w:val="22"/>
                <w:szCs w:val="24"/>
              </w:rPr>
            </w:pPr>
          </w:p>
          <w:p w14:paraId="02A6238B">
            <w:pPr>
              <w:pStyle w:val="11"/>
              <w:numPr>
                <w:ilvl w:val="0"/>
                <w:numId w:val="6"/>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14:paraId="193EE6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14:paraId="79A88FD9">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14:paraId="7E9D3124">
            <w:pPr>
              <w:jc w:val="center"/>
              <w:rPr>
                <w:sz w:val="22"/>
                <w:szCs w:val="24"/>
              </w:rPr>
            </w:pPr>
            <w:r>
              <w:rPr>
                <w:rFonts w:hint="eastAsia"/>
                <w:sz w:val="22"/>
                <w:szCs w:val="24"/>
              </w:rPr>
              <w:t>质量改进</w:t>
            </w:r>
          </w:p>
        </w:tc>
        <w:tc>
          <w:tcPr>
            <w:tcW w:w="4149" w:type="dxa"/>
            <w:vAlign w:val="center"/>
          </w:tcPr>
          <w:p w14:paraId="52C2C5BD">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14:paraId="048A898C">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14:paraId="3E020F2E">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14:paraId="4C0691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14:paraId="2929D0C4">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14:paraId="14442E65">
            <w:pPr>
              <w:rPr>
                <w:sz w:val="22"/>
                <w:szCs w:val="24"/>
              </w:rPr>
            </w:pPr>
          </w:p>
        </w:tc>
        <w:tc>
          <w:tcPr>
            <w:tcW w:w="4149" w:type="dxa"/>
            <w:vAlign w:val="center"/>
          </w:tcPr>
          <w:p w14:paraId="7EE5E5CF">
            <w:pPr>
              <w:rPr>
                <w:sz w:val="22"/>
                <w:szCs w:val="24"/>
              </w:rPr>
            </w:pPr>
            <w:r>
              <w:rPr>
                <w:rFonts w:hint="eastAsia"/>
                <w:sz w:val="22"/>
                <w:szCs w:val="24"/>
              </w:rPr>
              <w:t>同类问题整改验收后半年内重复发生。</w:t>
            </w:r>
          </w:p>
        </w:tc>
        <w:tc>
          <w:tcPr>
            <w:tcW w:w="4721" w:type="dxa"/>
            <w:vAlign w:val="center"/>
          </w:tcPr>
          <w:p w14:paraId="03BF16AF">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可以停止供货</w:t>
            </w:r>
          </w:p>
          <w:p w14:paraId="2E3135B0">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14:paraId="7255C3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14:paraId="66D64876">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14:paraId="40EF5E74">
            <w:pPr>
              <w:rPr>
                <w:sz w:val="22"/>
                <w:szCs w:val="24"/>
              </w:rPr>
            </w:pPr>
            <w:r>
              <w:rPr>
                <w:rFonts w:hint="eastAsia"/>
                <w:sz w:val="22"/>
                <w:szCs w:val="24"/>
              </w:rPr>
              <w:t>响应速度</w:t>
            </w:r>
          </w:p>
        </w:tc>
        <w:tc>
          <w:tcPr>
            <w:tcW w:w="4149" w:type="dxa"/>
            <w:vAlign w:val="center"/>
          </w:tcPr>
          <w:p w14:paraId="5101049E">
            <w:pPr>
              <w:rPr>
                <w:sz w:val="22"/>
                <w:szCs w:val="24"/>
              </w:rPr>
            </w:pPr>
            <w:r>
              <w:rPr>
                <w:rFonts w:hint="eastAsia"/>
                <w:sz w:val="22"/>
                <w:szCs w:val="24"/>
              </w:rPr>
              <w:t>零部件出现质量问题，要求到甲方现场确认，而没有及时到现场。</w:t>
            </w:r>
          </w:p>
        </w:tc>
        <w:tc>
          <w:tcPr>
            <w:tcW w:w="4721" w:type="dxa"/>
            <w:vMerge w:val="restart"/>
            <w:vAlign w:val="center"/>
          </w:tcPr>
          <w:p w14:paraId="5EDE7258">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14:paraId="4DE0F530">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14:paraId="2D6883A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6095694E">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14:paraId="4B59BA50">
            <w:pPr>
              <w:rPr>
                <w:sz w:val="22"/>
                <w:szCs w:val="24"/>
              </w:rPr>
            </w:pPr>
          </w:p>
        </w:tc>
        <w:tc>
          <w:tcPr>
            <w:tcW w:w="4149" w:type="dxa"/>
            <w:vAlign w:val="center"/>
          </w:tcPr>
          <w:p w14:paraId="590D59FB">
            <w:pPr>
              <w:rPr>
                <w:sz w:val="22"/>
                <w:szCs w:val="24"/>
              </w:rPr>
            </w:pPr>
            <w:r>
              <w:rPr>
                <w:rFonts w:hint="eastAsia"/>
                <w:sz w:val="22"/>
                <w:szCs w:val="24"/>
              </w:rPr>
              <w:t>供应商现场服务不配合质量问题处理，不良品返修、周转不及时。</w:t>
            </w:r>
          </w:p>
        </w:tc>
        <w:tc>
          <w:tcPr>
            <w:tcW w:w="4721" w:type="dxa"/>
            <w:vMerge w:val="continue"/>
            <w:vAlign w:val="center"/>
          </w:tcPr>
          <w:p w14:paraId="0C70DBA8">
            <w:pPr>
              <w:rPr>
                <w:rFonts w:asciiTheme="minorEastAsia" w:hAnsiTheme="minorEastAsia"/>
                <w:sz w:val="22"/>
                <w:szCs w:val="24"/>
              </w:rPr>
            </w:pPr>
          </w:p>
        </w:tc>
      </w:tr>
      <w:tr w14:paraId="37EBC5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14:paraId="16E33C73">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14:paraId="2E9F0BD6">
            <w:pPr>
              <w:rPr>
                <w:sz w:val="22"/>
                <w:szCs w:val="24"/>
              </w:rPr>
            </w:pPr>
          </w:p>
        </w:tc>
        <w:tc>
          <w:tcPr>
            <w:tcW w:w="4149" w:type="dxa"/>
            <w:vAlign w:val="center"/>
          </w:tcPr>
          <w:p w14:paraId="60760CAC">
            <w:pPr>
              <w:rPr>
                <w:sz w:val="22"/>
                <w:szCs w:val="24"/>
              </w:rPr>
            </w:pPr>
            <w:r>
              <w:rPr>
                <w:rFonts w:hint="eastAsia"/>
                <w:sz w:val="22"/>
                <w:szCs w:val="24"/>
              </w:rPr>
              <w:t>甲方邀请参加的质量会议、专题汇报会议，供应商未按时参加。</w:t>
            </w:r>
          </w:p>
        </w:tc>
        <w:tc>
          <w:tcPr>
            <w:tcW w:w="4721" w:type="dxa"/>
            <w:vMerge w:val="continue"/>
            <w:vAlign w:val="center"/>
          </w:tcPr>
          <w:p w14:paraId="4145FB38">
            <w:pPr>
              <w:rPr>
                <w:rFonts w:asciiTheme="minorEastAsia" w:hAnsiTheme="minorEastAsia"/>
                <w:sz w:val="22"/>
                <w:szCs w:val="24"/>
              </w:rPr>
            </w:pPr>
          </w:p>
        </w:tc>
      </w:tr>
      <w:tr w14:paraId="1093C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14:paraId="3F195DA6">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14:paraId="3D6B973A">
            <w:pPr>
              <w:rPr>
                <w:sz w:val="22"/>
                <w:szCs w:val="24"/>
              </w:rPr>
            </w:pPr>
            <w:r>
              <w:rPr>
                <w:rFonts w:hint="eastAsia"/>
                <w:sz w:val="22"/>
                <w:szCs w:val="24"/>
              </w:rPr>
              <w:t>4M变更</w:t>
            </w:r>
          </w:p>
        </w:tc>
        <w:tc>
          <w:tcPr>
            <w:tcW w:w="4149" w:type="dxa"/>
            <w:vAlign w:val="center"/>
          </w:tcPr>
          <w:p w14:paraId="5F66B943">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14:paraId="2E305B5C">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关键件考核20万/次</w:t>
            </w:r>
          </w:p>
          <w:p w14:paraId="2F718EA0">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14:paraId="275EF65A">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14:paraId="16E4CA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14:paraId="7BCD3502">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14:paraId="4EB87F0F">
            <w:pPr>
              <w:rPr>
                <w:sz w:val="22"/>
                <w:szCs w:val="24"/>
              </w:rPr>
            </w:pPr>
            <w:r>
              <w:rPr>
                <w:rFonts w:hint="eastAsia"/>
                <w:sz w:val="22"/>
                <w:szCs w:val="24"/>
              </w:rPr>
              <w:t>定期试验</w:t>
            </w:r>
          </w:p>
        </w:tc>
        <w:tc>
          <w:tcPr>
            <w:tcW w:w="4149" w:type="dxa"/>
            <w:vAlign w:val="center"/>
          </w:tcPr>
          <w:p w14:paraId="6EFBC8FB">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14:paraId="78D6C051">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关键件考核3万/次</w:t>
            </w:r>
          </w:p>
          <w:p w14:paraId="4D50BBE2">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一般件考核2万/次</w:t>
            </w:r>
          </w:p>
          <w:p w14:paraId="2089CE43">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14:paraId="457B5E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14:paraId="06EB35C3">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14:paraId="2EA3F87F">
            <w:pPr>
              <w:jc w:val="center"/>
              <w:rPr>
                <w:sz w:val="22"/>
                <w:szCs w:val="24"/>
              </w:rPr>
            </w:pPr>
          </w:p>
        </w:tc>
        <w:tc>
          <w:tcPr>
            <w:tcW w:w="4110" w:type="dxa"/>
            <w:vAlign w:val="center"/>
          </w:tcPr>
          <w:p w14:paraId="493F6154">
            <w:pPr>
              <w:rPr>
                <w:sz w:val="22"/>
                <w:szCs w:val="24"/>
              </w:rPr>
            </w:pPr>
            <w:r>
              <w:rPr>
                <w:rFonts w:hint="eastAsia"/>
                <w:sz w:val="22"/>
                <w:szCs w:val="24"/>
              </w:rPr>
              <w:t>供应商PPM值目标见附件三，PPM值超标，且改善不积极。</w:t>
            </w:r>
          </w:p>
        </w:tc>
        <w:tc>
          <w:tcPr>
            <w:tcW w:w="4678" w:type="dxa"/>
            <w:vAlign w:val="center"/>
          </w:tcPr>
          <w:p w14:paraId="54258C0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超标≤10%，不考核</w:t>
            </w:r>
          </w:p>
          <w:p w14:paraId="2D89EA87">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10%＜超标≤50% 考核500元</w:t>
            </w:r>
          </w:p>
          <w:p w14:paraId="6B09281A">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50%＜超标≤100% 考核1仟元</w:t>
            </w:r>
          </w:p>
          <w:p w14:paraId="1CF625F9">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100%＜超标≤200% 考核3仟元</w:t>
            </w:r>
          </w:p>
          <w:p w14:paraId="1B7DC796">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14:paraId="7C7920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14:paraId="0AD49F2F">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14:paraId="750030B9">
            <w:pPr>
              <w:rPr>
                <w:sz w:val="22"/>
                <w:szCs w:val="24"/>
              </w:rPr>
            </w:pPr>
          </w:p>
        </w:tc>
        <w:tc>
          <w:tcPr>
            <w:tcW w:w="4110" w:type="dxa"/>
            <w:vAlign w:val="center"/>
          </w:tcPr>
          <w:p w14:paraId="45DB1EC7">
            <w:pPr>
              <w:rPr>
                <w:sz w:val="22"/>
                <w:szCs w:val="24"/>
              </w:rPr>
            </w:pPr>
            <w:r>
              <w:rPr>
                <w:rFonts w:hint="eastAsia"/>
                <w:sz w:val="22"/>
                <w:szCs w:val="24"/>
              </w:rPr>
              <w:t>因供应商零部件质量问题造成主机厂PPM值超标。</w:t>
            </w:r>
          </w:p>
        </w:tc>
        <w:tc>
          <w:tcPr>
            <w:tcW w:w="4678" w:type="dxa"/>
            <w:vAlign w:val="center"/>
          </w:tcPr>
          <w:p w14:paraId="592ED939">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14:paraId="1DA2C3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14:paraId="4802F8B9">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14:paraId="2A9D45C4">
            <w:pPr>
              <w:rPr>
                <w:rFonts w:asciiTheme="minorEastAsia" w:hAnsiTheme="minorEastAsia"/>
                <w:b/>
                <w:sz w:val="22"/>
                <w:szCs w:val="24"/>
              </w:rPr>
            </w:pPr>
            <w:r>
              <w:rPr>
                <w:rFonts w:hint="eastAsia" w:asciiTheme="minorEastAsia" w:hAnsiTheme="minorEastAsia"/>
                <w:b/>
                <w:sz w:val="22"/>
                <w:szCs w:val="24"/>
              </w:rPr>
              <w:t>质量体系</w:t>
            </w:r>
          </w:p>
        </w:tc>
      </w:tr>
      <w:tr w14:paraId="70AED0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0ACCEEFC">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14:paraId="7ECFAC00">
            <w:pPr>
              <w:jc w:val="center"/>
              <w:rPr>
                <w:rFonts w:asciiTheme="minorEastAsia" w:hAnsiTheme="minorEastAsia"/>
                <w:sz w:val="22"/>
                <w:szCs w:val="24"/>
              </w:rPr>
            </w:pPr>
            <w:r>
              <w:rPr>
                <w:rFonts w:hint="eastAsia" w:asciiTheme="minorEastAsia" w:hAnsiTheme="minorEastAsia"/>
                <w:sz w:val="22"/>
                <w:szCs w:val="24"/>
              </w:rPr>
              <w:t>3C</w:t>
            </w:r>
          </w:p>
          <w:p w14:paraId="4C72A424">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14:paraId="2DA32F82">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14:paraId="60FFAC22">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考核2万元/次</w:t>
            </w:r>
          </w:p>
          <w:p w14:paraId="3475060E">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1F9CEF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14:paraId="78DBC058">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14:paraId="38DAD569">
            <w:pPr>
              <w:rPr>
                <w:sz w:val="22"/>
                <w:szCs w:val="24"/>
              </w:rPr>
            </w:pPr>
          </w:p>
        </w:tc>
        <w:tc>
          <w:tcPr>
            <w:tcW w:w="4110" w:type="dxa"/>
            <w:vAlign w:val="center"/>
          </w:tcPr>
          <w:p w14:paraId="1A204530">
            <w:pPr>
              <w:rPr>
                <w:sz w:val="22"/>
                <w:szCs w:val="24"/>
              </w:rPr>
            </w:pPr>
            <w:r>
              <w:rPr>
                <w:rFonts w:hint="eastAsia"/>
                <w:sz w:val="22"/>
                <w:szCs w:val="24"/>
              </w:rPr>
              <w:t>3C件、环保法规件认证文件到期未及时更新。</w:t>
            </w:r>
          </w:p>
        </w:tc>
        <w:tc>
          <w:tcPr>
            <w:tcW w:w="4678" w:type="dxa"/>
            <w:vAlign w:val="center"/>
          </w:tcPr>
          <w:p w14:paraId="31CF1059">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考核1万元/次</w:t>
            </w:r>
          </w:p>
          <w:p w14:paraId="3C7C531C">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6770D16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14:paraId="66DB11E5">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14:paraId="22E61D42">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14:paraId="23C4EEB6">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14:paraId="0EDF11B7">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考核5万元/次</w:t>
            </w:r>
          </w:p>
          <w:p w14:paraId="7125CB61">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14:paraId="41E92C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14:paraId="58F3E8E7">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14:paraId="7722473A">
            <w:pPr>
              <w:rPr>
                <w:sz w:val="22"/>
                <w:szCs w:val="24"/>
              </w:rPr>
            </w:pPr>
          </w:p>
        </w:tc>
        <w:tc>
          <w:tcPr>
            <w:tcW w:w="4110" w:type="dxa"/>
            <w:vAlign w:val="center"/>
          </w:tcPr>
          <w:p w14:paraId="4916761F">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14:paraId="0DF1F815">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考核3万元/次</w:t>
            </w:r>
          </w:p>
          <w:p w14:paraId="1CA8156E">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14:paraId="30F25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5EEBA344">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14:paraId="3BDA96AB">
            <w:pPr>
              <w:rPr>
                <w:sz w:val="22"/>
                <w:szCs w:val="24"/>
              </w:rPr>
            </w:pPr>
          </w:p>
        </w:tc>
        <w:tc>
          <w:tcPr>
            <w:tcW w:w="4110" w:type="dxa"/>
            <w:vAlign w:val="center"/>
          </w:tcPr>
          <w:p w14:paraId="31B96187">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14:paraId="4CFEBC02">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考核1万元/次</w:t>
            </w:r>
          </w:p>
          <w:p w14:paraId="514E814C">
            <w:pPr>
              <w:pStyle w:val="11"/>
              <w:numPr>
                <w:ilvl w:val="0"/>
                <w:numId w:val="17"/>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14:paraId="17E85F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5D4BB4CB">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14:paraId="79317DEE">
            <w:pPr>
              <w:jc w:val="center"/>
              <w:rPr>
                <w:sz w:val="22"/>
                <w:szCs w:val="24"/>
              </w:rPr>
            </w:pPr>
            <w:r>
              <w:rPr>
                <w:rFonts w:hint="eastAsia"/>
                <w:sz w:val="22"/>
                <w:szCs w:val="24"/>
              </w:rPr>
              <w:t>体系质量审核</w:t>
            </w:r>
          </w:p>
        </w:tc>
        <w:tc>
          <w:tcPr>
            <w:tcW w:w="4110" w:type="dxa"/>
            <w:vAlign w:val="center"/>
          </w:tcPr>
          <w:p w14:paraId="013226C0">
            <w:pPr>
              <w:rPr>
                <w:sz w:val="22"/>
                <w:szCs w:val="24"/>
              </w:rPr>
            </w:pPr>
            <w:r>
              <w:rPr>
                <w:rFonts w:hint="eastAsia"/>
                <w:sz w:val="22"/>
                <w:szCs w:val="24"/>
              </w:rPr>
              <w:t>供应商体系、质量审核，现场与改善措施严重不符、弄虚作假。</w:t>
            </w:r>
          </w:p>
        </w:tc>
        <w:tc>
          <w:tcPr>
            <w:tcW w:w="4678" w:type="dxa"/>
            <w:vAlign w:val="center"/>
          </w:tcPr>
          <w:p w14:paraId="770B6236">
            <w:pPr>
              <w:pStyle w:val="11"/>
              <w:numPr>
                <w:ilvl w:val="0"/>
                <w:numId w:val="18"/>
              </w:numPr>
              <w:ind w:firstLineChars="0"/>
              <w:rPr>
                <w:sz w:val="22"/>
                <w:szCs w:val="24"/>
              </w:rPr>
            </w:pPr>
            <w:r>
              <w:rPr>
                <w:rFonts w:hint="eastAsia"/>
                <w:sz w:val="22"/>
                <w:szCs w:val="24"/>
              </w:rPr>
              <w:t>考核5仟元/次</w:t>
            </w:r>
          </w:p>
          <w:p w14:paraId="45BF4D94">
            <w:pPr>
              <w:pStyle w:val="11"/>
              <w:numPr>
                <w:ilvl w:val="0"/>
                <w:numId w:val="18"/>
              </w:numPr>
              <w:ind w:firstLineChars="0"/>
              <w:rPr>
                <w:sz w:val="22"/>
                <w:szCs w:val="24"/>
              </w:rPr>
            </w:pPr>
            <w:r>
              <w:rPr>
                <w:rFonts w:hint="eastAsia"/>
                <w:sz w:val="22"/>
                <w:szCs w:val="24"/>
              </w:rPr>
              <w:t>限期整改再验收仍不合格，可停止供货</w:t>
            </w:r>
          </w:p>
        </w:tc>
      </w:tr>
      <w:tr w14:paraId="6BC29C5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14:paraId="75ACA663">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14:paraId="0296DB06">
            <w:pPr>
              <w:jc w:val="center"/>
              <w:rPr>
                <w:sz w:val="22"/>
                <w:szCs w:val="24"/>
                <w:highlight w:val="none"/>
              </w:rPr>
            </w:pPr>
            <w:r>
              <w:rPr>
                <w:rFonts w:hint="eastAsia"/>
                <w:sz w:val="22"/>
                <w:szCs w:val="24"/>
                <w:highlight w:val="none"/>
              </w:rPr>
              <w:t>质量体系认证</w:t>
            </w:r>
          </w:p>
        </w:tc>
        <w:tc>
          <w:tcPr>
            <w:tcW w:w="4110" w:type="dxa"/>
            <w:vAlign w:val="center"/>
          </w:tcPr>
          <w:p w14:paraId="72DBB34E">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14:paraId="05473C68">
            <w:pPr>
              <w:pStyle w:val="11"/>
              <w:numPr>
                <w:ilvl w:val="0"/>
                <w:numId w:val="19"/>
              </w:numPr>
              <w:ind w:firstLineChars="0"/>
              <w:rPr>
                <w:sz w:val="22"/>
                <w:szCs w:val="24"/>
                <w:highlight w:val="none"/>
              </w:rPr>
            </w:pPr>
            <w:r>
              <w:rPr>
                <w:rFonts w:hint="eastAsia"/>
                <w:sz w:val="22"/>
                <w:szCs w:val="24"/>
                <w:highlight w:val="none"/>
              </w:rPr>
              <w:t>考核5仟元/次</w:t>
            </w:r>
          </w:p>
          <w:p w14:paraId="5B755D71">
            <w:pPr>
              <w:pStyle w:val="11"/>
              <w:numPr>
                <w:ilvl w:val="0"/>
                <w:numId w:val="19"/>
              </w:numPr>
              <w:ind w:firstLineChars="0"/>
              <w:rPr>
                <w:sz w:val="22"/>
                <w:szCs w:val="24"/>
                <w:highlight w:val="none"/>
              </w:rPr>
            </w:pPr>
            <w:r>
              <w:rPr>
                <w:rFonts w:hint="eastAsia"/>
                <w:sz w:val="22"/>
                <w:szCs w:val="24"/>
                <w:highlight w:val="none"/>
              </w:rPr>
              <w:t>限期仍未通过质量体系认证的，取消供货资格</w:t>
            </w:r>
          </w:p>
        </w:tc>
      </w:tr>
      <w:tr w14:paraId="48767F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14:paraId="31725BF9">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14:paraId="56EBAC9C">
            <w:pPr>
              <w:rPr>
                <w:b/>
                <w:sz w:val="22"/>
                <w:szCs w:val="24"/>
              </w:rPr>
            </w:pPr>
            <w:r>
              <w:rPr>
                <w:rFonts w:hint="eastAsia"/>
                <w:b/>
                <w:sz w:val="22"/>
                <w:szCs w:val="24"/>
              </w:rPr>
              <w:t>物流管理</w:t>
            </w:r>
          </w:p>
        </w:tc>
      </w:tr>
      <w:tr w14:paraId="428C5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2B2D9D0B">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14:paraId="3AD30677">
            <w:pPr>
              <w:jc w:val="center"/>
              <w:rPr>
                <w:sz w:val="22"/>
                <w:szCs w:val="24"/>
              </w:rPr>
            </w:pPr>
            <w:r>
              <w:rPr>
                <w:rFonts w:hint="eastAsia"/>
                <w:sz w:val="22"/>
                <w:szCs w:val="24"/>
              </w:rPr>
              <w:t>不良品管理</w:t>
            </w:r>
          </w:p>
        </w:tc>
        <w:tc>
          <w:tcPr>
            <w:tcW w:w="4110" w:type="dxa"/>
            <w:vAlign w:val="center"/>
          </w:tcPr>
          <w:p w14:paraId="34DD6DAD">
            <w:pPr>
              <w:rPr>
                <w:sz w:val="22"/>
                <w:szCs w:val="24"/>
              </w:rPr>
            </w:pPr>
            <w:r>
              <w:rPr>
                <w:rFonts w:hint="eastAsia"/>
                <w:sz w:val="22"/>
                <w:szCs w:val="24"/>
              </w:rPr>
              <w:t>因供应商物流管理缺失，将荣昌退货的不合格品再次发货。</w:t>
            </w:r>
          </w:p>
        </w:tc>
        <w:tc>
          <w:tcPr>
            <w:tcW w:w="4678" w:type="dxa"/>
            <w:vAlign w:val="center"/>
          </w:tcPr>
          <w:p w14:paraId="7EAFD1AB">
            <w:pPr>
              <w:pStyle w:val="11"/>
              <w:numPr>
                <w:ilvl w:val="0"/>
                <w:numId w:val="20"/>
              </w:numPr>
              <w:ind w:firstLineChars="0"/>
              <w:rPr>
                <w:sz w:val="22"/>
                <w:szCs w:val="24"/>
              </w:rPr>
            </w:pPr>
            <w:r>
              <w:rPr>
                <w:rFonts w:hint="eastAsia"/>
                <w:sz w:val="22"/>
                <w:szCs w:val="24"/>
              </w:rPr>
              <w:t>考核1万元/次</w:t>
            </w:r>
          </w:p>
          <w:p w14:paraId="1A481183">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14:paraId="0087E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7D3C6ED2">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14:paraId="0620A056">
            <w:pPr>
              <w:jc w:val="center"/>
              <w:rPr>
                <w:sz w:val="22"/>
                <w:szCs w:val="24"/>
              </w:rPr>
            </w:pPr>
            <w:r>
              <w:rPr>
                <w:rFonts w:hint="eastAsia"/>
                <w:sz w:val="22"/>
                <w:szCs w:val="24"/>
              </w:rPr>
              <w:t>标识</w:t>
            </w:r>
          </w:p>
          <w:p w14:paraId="4C950532">
            <w:pPr>
              <w:jc w:val="center"/>
              <w:rPr>
                <w:sz w:val="22"/>
                <w:szCs w:val="24"/>
              </w:rPr>
            </w:pPr>
            <w:r>
              <w:rPr>
                <w:rFonts w:hint="eastAsia"/>
                <w:sz w:val="22"/>
                <w:szCs w:val="24"/>
              </w:rPr>
              <w:t>管理</w:t>
            </w:r>
          </w:p>
        </w:tc>
        <w:tc>
          <w:tcPr>
            <w:tcW w:w="4110" w:type="dxa"/>
            <w:vAlign w:val="center"/>
          </w:tcPr>
          <w:p w14:paraId="5B700DAD">
            <w:pPr>
              <w:rPr>
                <w:sz w:val="22"/>
                <w:szCs w:val="24"/>
              </w:rPr>
            </w:pPr>
            <w:r>
              <w:rPr>
                <w:rFonts w:hint="eastAsia"/>
                <w:sz w:val="22"/>
                <w:szCs w:val="24"/>
              </w:rPr>
              <w:t>先入先出或标识管理混乱，影响荣昌正常生产秩序。</w:t>
            </w:r>
          </w:p>
        </w:tc>
        <w:tc>
          <w:tcPr>
            <w:tcW w:w="4678" w:type="dxa"/>
            <w:vAlign w:val="center"/>
          </w:tcPr>
          <w:p w14:paraId="53A73D78">
            <w:pPr>
              <w:pStyle w:val="11"/>
              <w:numPr>
                <w:ilvl w:val="0"/>
                <w:numId w:val="21"/>
              </w:numPr>
              <w:ind w:firstLineChars="0"/>
              <w:rPr>
                <w:sz w:val="22"/>
                <w:szCs w:val="24"/>
              </w:rPr>
            </w:pPr>
            <w:r>
              <w:rPr>
                <w:rFonts w:hint="eastAsia"/>
                <w:sz w:val="22"/>
                <w:szCs w:val="24"/>
              </w:rPr>
              <w:t>考核5仟元/次</w:t>
            </w:r>
          </w:p>
          <w:p w14:paraId="3B5B2276">
            <w:pPr>
              <w:pStyle w:val="11"/>
              <w:numPr>
                <w:ilvl w:val="0"/>
                <w:numId w:val="21"/>
              </w:numPr>
              <w:ind w:firstLineChars="0"/>
              <w:rPr>
                <w:sz w:val="22"/>
                <w:szCs w:val="24"/>
              </w:rPr>
            </w:pPr>
            <w:r>
              <w:rPr>
                <w:rFonts w:hint="eastAsia" w:asciiTheme="minorEastAsia" w:hAnsiTheme="minorEastAsia"/>
                <w:sz w:val="22"/>
                <w:szCs w:val="24"/>
              </w:rPr>
              <w:t>直接经济损失由供应商承担</w:t>
            </w:r>
          </w:p>
        </w:tc>
      </w:tr>
      <w:tr w14:paraId="166CE1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14:paraId="18A2B2DB">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14:paraId="254B8169">
            <w:pPr>
              <w:jc w:val="center"/>
              <w:rPr>
                <w:sz w:val="22"/>
                <w:szCs w:val="24"/>
              </w:rPr>
            </w:pPr>
            <w:r>
              <w:rPr>
                <w:rFonts w:hint="eastAsia"/>
                <w:sz w:val="22"/>
                <w:szCs w:val="24"/>
              </w:rPr>
              <w:t>包装</w:t>
            </w:r>
          </w:p>
          <w:p w14:paraId="65436A3F">
            <w:pPr>
              <w:jc w:val="center"/>
              <w:rPr>
                <w:sz w:val="22"/>
                <w:szCs w:val="24"/>
              </w:rPr>
            </w:pPr>
            <w:r>
              <w:rPr>
                <w:rFonts w:hint="eastAsia"/>
                <w:sz w:val="22"/>
                <w:szCs w:val="24"/>
              </w:rPr>
              <w:t>管理</w:t>
            </w:r>
          </w:p>
        </w:tc>
        <w:tc>
          <w:tcPr>
            <w:tcW w:w="4110" w:type="dxa"/>
            <w:vAlign w:val="center"/>
          </w:tcPr>
          <w:p w14:paraId="7BB977C2">
            <w:pPr>
              <w:rPr>
                <w:sz w:val="22"/>
                <w:szCs w:val="24"/>
              </w:rPr>
            </w:pPr>
            <w:r>
              <w:rPr>
                <w:rFonts w:hint="eastAsia"/>
                <w:sz w:val="22"/>
                <w:szCs w:val="24"/>
              </w:rPr>
              <w:t>随意更换包装形式，物流过程中包装破损，影响产品正常使用</w:t>
            </w:r>
          </w:p>
        </w:tc>
        <w:tc>
          <w:tcPr>
            <w:tcW w:w="4678" w:type="dxa"/>
            <w:vAlign w:val="center"/>
          </w:tcPr>
          <w:p w14:paraId="7496A61F">
            <w:pPr>
              <w:pStyle w:val="11"/>
              <w:numPr>
                <w:ilvl w:val="0"/>
                <w:numId w:val="22"/>
              </w:numPr>
              <w:ind w:firstLineChars="0"/>
              <w:rPr>
                <w:sz w:val="22"/>
                <w:szCs w:val="24"/>
              </w:rPr>
            </w:pPr>
            <w:r>
              <w:rPr>
                <w:rFonts w:hint="eastAsia"/>
                <w:sz w:val="22"/>
                <w:szCs w:val="24"/>
              </w:rPr>
              <w:t>来料拒检，直接退货</w:t>
            </w:r>
          </w:p>
          <w:p w14:paraId="18E25F3B">
            <w:pPr>
              <w:pStyle w:val="11"/>
              <w:numPr>
                <w:ilvl w:val="0"/>
                <w:numId w:val="22"/>
              </w:numPr>
              <w:ind w:firstLineChars="0"/>
              <w:rPr>
                <w:sz w:val="22"/>
                <w:szCs w:val="24"/>
              </w:rPr>
            </w:pPr>
            <w:r>
              <w:rPr>
                <w:rFonts w:hint="eastAsia"/>
                <w:sz w:val="22"/>
                <w:szCs w:val="24"/>
              </w:rPr>
              <w:t>造成的停线损失由供应商承担</w:t>
            </w:r>
          </w:p>
        </w:tc>
      </w:tr>
      <w:tr w14:paraId="520932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14:paraId="662C828F">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14:paraId="644FD07C">
            <w:pPr>
              <w:rPr>
                <w:b/>
                <w:sz w:val="22"/>
                <w:szCs w:val="24"/>
              </w:rPr>
            </w:pPr>
            <w:r>
              <w:rPr>
                <w:rFonts w:hint="eastAsia"/>
                <w:b/>
                <w:sz w:val="22"/>
                <w:szCs w:val="24"/>
              </w:rPr>
              <w:t>售后服务</w:t>
            </w:r>
          </w:p>
        </w:tc>
      </w:tr>
      <w:tr w14:paraId="42C801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1B53110">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14:paraId="197B4AB4">
            <w:pPr>
              <w:jc w:val="center"/>
              <w:rPr>
                <w:sz w:val="22"/>
                <w:szCs w:val="24"/>
              </w:rPr>
            </w:pPr>
            <w:r>
              <w:rPr>
                <w:rFonts w:hint="eastAsia"/>
                <w:sz w:val="22"/>
                <w:szCs w:val="24"/>
              </w:rPr>
              <w:t>配合</w:t>
            </w:r>
          </w:p>
          <w:p w14:paraId="6DF0C160">
            <w:pPr>
              <w:jc w:val="center"/>
              <w:rPr>
                <w:sz w:val="22"/>
                <w:szCs w:val="24"/>
              </w:rPr>
            </w:pPr>
            <w:r>
              <w:rPr>
                <w:rFonts w:hint="eastAsia"/>
                <w:sz w:val="22"/>
                <w:szCs w:val="24"/>
              </w:rPr>
              <w:t>态度</w:t>
            </w:r>
          </w:p>
        </w:tc>
        <w:tc>
          <w:tcPr>
            <w:tcW w:w="4110" w:type="dxa"/>
            <w:vAlign w:val="center"/>
          </w:tcPr>
          <w:p w14:paraId="5C6508B7">
            <w:pPr>
              <w:rPr>
                <w:sz w:val="22"/>
                <w:szCs w:val="24"/>
              </w:rPr>
            </w:pPr>
            <w:r>
              <w:rPr>
                <w:rFonts w:hint="eastAsia"/>
                <w:sz w:val="22"/>
                <w:szCs w:val="24"/>
              </w:rPr>
              <w:t>供应商多次在沟通、响应、合作方面配合消极，态度恶劣。</w:t>
            </w:r>
          </w:p>
        </w:tc>
        <w:tc>
          <w:tcPr>
            <w:tcW w:w="4678" w:type="dxa"/>
            <w:vAlign w:val="center"/>
          </w:tcPr>
          <w:p w14:paraId="1127FDF7">
            <w:pPr>
              <w:pStyle w:val="11"/>
              <w:numPr>
                <w:ilvl w:val="0"/>
                <w:numId w:val="23"/>
              </w:numPr>
              <w:ind w:firstLineChars="0"/>
              <w:rPr>
                <w:sz w:val="22"/>
                <w:szCs w:val="24"/>
              </w:rPr>
            </w:pPr>
            <w:r>
              <w:rPr>
                <w:rFonts w:hint="eastAsia"/>
                <w:sz w:val="22"/>
                <w:szCs w:val="24"/>
              </w:rPr>
              <w:t>考核1仟元</w:t>
            </w:r>
          </w:p>
          <w:p w14:paraId="5DDDDBE2">
            <w:pPr>
              <w:pStyle w:val="11"/>
              <w:numPr>
                <w:ilvl w:val="0"/>
                <w:numId w:val="23"/>
              </w:numPr>
              <w:ind w:firstLineChars="0"/>
              <w:rPr>
                <w:sz w:val="22"/>
                <w:szCs w:val="24"/>
              </w:rPr>
            </w:pPr>
            <w:r>
              <w:rPr>
                <w:rFonts w:hint="eastAsia"/>
                <w:sz w:val="22"/>
                <w:szCs w:val="24"/>
              </w:rPr>
              <w:t>影响严重时可停止供货</w:t>
            </w:r>
          </w:p>
        </w:tc>
      </w:tr>
      <w:tr w14:paraId="4DE25A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14:paraId="0DA971E0">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14:paraId="1C741E72">
            <w:pPr>
              <w:jc w:val="center"/>
              <w:rPr>
                <w:sz w:val="22"/>
                <w:szCs w:val="24"/>
              </w:rPr>
            </w:pPr>
            <w:r>
              <w:rPr>
                <w:rFonts w:hint="eastAsia"/>
                <w:sz w:val="22"/>
                <w:szCs w:val="24"/>
              </w:rPr>
              <w:t>现场</w:t>
            </w:r>
          </w:p>
          <w:p w14:paraId="7DCAA242">
            <w:pPr>
              <w:jc w:val="center"/>
              <w:rPr>
                <w:sz w:val="22"/>
                <w:szCs w:val="24"/>
              </w:rPr>
            </w:pPr>
            <w:r>
              <w:rPr>
                <w:rFonts w:hint="eastAsia"/>
                <w:sz w:val="22"/>
                <w:szCs w:val="24"/>
              </w:rPr>
              <w:t>服务</w:t>
            </w:r>
          </w:p>
        </w:tc>
        <w:tc>
          <w:tcPr>
            <w:tcW w:w="4110" w:type="dxa"/>
            <w:vAlign w:val="center"/>
          </w:tcPr>
          <w:p w14:paraId="53E673CF">
            <w:pPr>
              <w:rPr>
                <w:sz w:val="22"/>
                <w:szCs w:val="24"/>
              </w:rPr>
            </w:pPr>
            <w:r>
              <w:rPr>
                <w:rFonts w:hint="eastAsia"/>
                <w:sz w:val="22"/>
                <w:szCs w:val="24"/>
              </w:rPr>
              <w:t>供应商产品质量不稳定，且不按荣昌要求派驻现场服务。</w:t>
            </w:r>
          </w:p>
        </w:tc>
        <w:tc>
          <w:tcPr>
            <w:tcW w:w="4678" w:type="dxa"/>
            <w:vAlign w:val="center"/>
          </w:tcPr>
          <w:p w14:paraId="30848F92">
            <w:pPr>
              <w:pStyle w:val="11"/>
              <w:numPr>
                <w:ilvl w:val="0"/>
                <w:numId w:val="24"/>
              </w:numPr>
              <w:ind w:firstLineChars="0"/>
              <w:rPr>
                <w:sz w:val="22"/>
                <w:szCs w:val="24"/>
              </w:rPr>
            </w:pPr>
            <w:r>
              <w:rPr>
                <w:rFonts w:hint="eastAsia"/>
                <w:sz w:val="22"/>
                <w:szCs w:val="24"/>
              </w:rPr>
              <w:t>考核3仟元</w:t>
            </w:r>
          </w:p>
          <w:p w14:paraId="45A31A63">
            <w:pPr>
              <w:pStyle w:val="11"/>
              <w:numPr>
                <w:ilvl w:val="0"/>
                <w:numId w:val="24"/>
              </w:numPr>
              <w:ind w:firstLineChars="0"/>
              <w:rPr>
                <w:sz w:val="22"/>
                <w:szCs w:val="24"/>
              </w:rPr>
            </w:pPr>
            <w:r>
              <w:rPr>
                <w:rFonts w:hint="eastAsia"/>
                <w:sz w:val="22"/>
                <w:szCs w:val="24"/>
              </w:rPr>
              <w:t>影响荣昌正常生产时可停止供货</w:t>
            </w:r>
          </w:p>
        </w:tc>
      </w:tr>
    </w:tbl>
    <w:p w14:paraId="6A99D883">
      <w:pPr>
        <w:jc w:val="center"/>
        <w:rPr>
          <w:b/>
          <w:sz w:val="28"/>
          <w:szCs w:val="24"/>
        </w:rPr>
      </w:pPr>
    </w:p>
    <w:p w14:paraId="136555FD">
      <w:pPr>
        <w:rPr>
          <w:b/>
          <w:sz w:val="22"/>
          <w:szCs w:val="22"/>
        </w:rPr>
      </w:pPr>
    </w:p>
    <w:p w14:paraId="189FCA03">
      <w:pPr>
        <w:rPr>
          <w:b/>
          <w:sz w:val="22"/>
          <w:szCs w:val="22"/>
        </w:rPr>
      </w:pPr>
    </w:p>
    <w:p w14:paraId="37A4DEB6">
      <w:pPr>
        <w:rPr>
          <w:rFonts w:hint="eastAsia"/>
          <w:b/>
          <w:sz w:val="22"/>
          <w:szCs w:val="22"/>
        </w:rPr>
      </w:pPr>
    </w:p>
    <w:p w14:paraId="4813BCC3">
      <w:pPr>
        <w:rPr>
          <w:rFonts w:hint="eastAsia"/>
          <w:b/>
          <w:sz w:val="22"/>
          <w:szCs w:val="22"/>
        </w:rPr>
      </w:pPr>
    </w:p>
    <w:p w14:paraId="65F07C69">
      <w:pPr>
        <w:rPr>
          <w:rFonts w:hint="eastAsia"/>
          <w:b/>
          <w:sz w:val="22"/>
          <w:szCs w:val="22"/>
        </w:rPr>
      </w:pPr>
    </w:p>
    <w:p w14:paraId="623E66C9">
      <w:pPr>
        <w:rPr>
          <w:rFonts w:hint="eastAsia"/>
          <w:b/>
          <w:sz w:val="22"/>
          <w:szCs w:val="22"/>
        </w:rPr>
      </w:pPr>
    </w:p>
    <w:p w14:paraId="04D332C5">
      <w:pPr>
        <w:rPr>
          <w:rFonts w:hint="eastAsia"/>
          <w:b/>
          <w:sz w:val="22"/>
          <w:szCs w:val="22"/>
        </w:rPr>
      </w:pPr>
    </w:p>
    <w:p w14:paraId="5E4DB9E0">
      <w:pPr>
        <w:rPr>
          <w:rFonts w:hint="eastAsia"/>
          <w:b/>
          <w:sz w:val="22"/>
          <w:szCs w:val="22"/>
        </w:rPr>
      </w:pPr>
    </w:p>
    <w:p w14:paraId="6F3742BB">
      <w:pPr>
        <w:rPr>
          <w:rFonts w:hint="eastAsia"/>
          <w:b/>
          <w:sz w:val="22"/>
          <w:szCs w:val="22"/>
        </w:rPr>
      </w:pPr>
    </w:p>
    <w:p w14:paraId="6C6425A5">
      <w:pPr>
        <w:rPr>
          <w:rFonts w:hint="eastAsia"/>
          <w:b/>
          <w:sz w:val="22"/>
          <w:szCs w:val="22"/>
        </w:rPr>
      </w:pPr>
    </w:p>
    <w:p w14:paraId="0E1BCCFB">
      <w:pPr>
        <w:rPr>
          <w:rFonts w:hint="eastAsia"/>
          <w:b/>
          <w:sz w:val="22"/>
          <w:szCs w:val="22"/>
        </w:rPr>
      </w:pPr>
    </w:p>
    <w:p w14:paraId="39EE3071">
      <w:pPr>
        <w:rPr>
          <w:rFonts w:hint="eastAsia"/>
          <w:b/>
          <w:sz w:val="22"/>
          <w:szCs w:val="22"/>
        </w:rPr>
      </w:pPr>
    </w:p>
    <w:p w14:paraId="74A85174">
      <w:pPr>
        <w:rPr>
          <w:rFonts w:hint="eastAsia"/>
          <w:b/>
          <w:sz w:val="22"/>
          <w:szCs w:val="22"/>
        </w:rPr>
      </w:pPr>
    </w:p>
    <w:p w14:paraId="414CE9D1">
      <w:pPr>
        <w:rPr>
          <w:rFonts w:hint="eastAsia"/>
          <w:b/>
          <w:sz w:val="22"/>
          <w:szCs w:val="22"/>
        </w:rPr>
      </w:pPr>
    </w:p>
    <w:p w14:paraId="45D55739">
      <w:pPr>
        <w:rPr>
          <w:rFonts w:hint="eastAsia"/>
          <w:b/>
          <w:sz w:val="22"/>
          <w:szCs w:val="22"/>
        </w:rPr>
      </w:pPr>
    </w:p>
    <w:p w14:paraId="56FA2F2C">
      <w:pPr>
        <w:rPr>
          <w:rFonts w:hint="eastAsia"/>
          <w:b/>
          <w:sz w:val="22"/>
          <w:szCs w:val="22"/>
        </w:rPr>
      </w:pPr>
    </w:p>
    <w:p w14:paraId="12C4CEEC">
      <w:pPr>
        <w:rPr>
          <w:rFonts w:hint="eastAsia"/>
          <w:b/>
          <w:sz w:val="22"/>
          <w:szCs w:val="22"/>
        </w:rPr>
      </w:pPr>
    </w:p>
    <w:p w14:paraId="23BFCBB8">
      <w:pPr>
        <w:rPr>
          <w:rFonts w:hint="eastAsia"/>
          <w:b/>
          <w:sz w:val="22"/>
          <w:szCs w:val="22"/>
        </w:rPr>
      </w:pPr>
    </w:p>
    <w:p w14:paraId="3F3597B3">
      <w:pPr>
        <w:rPr>
          <w:rFonts w:hint="eastAsia"/>
          <w:b/>
          <w:sz w:val="22"/>
          <w:szCs w:val="22"/>
        </w:rPr>
      </w:pPr>
    </w:p>
    <w:p w14:paraId="662C2670">
      <w:pPr>
        <w:rPr>
          <w:rFonts w:hint="eastAsia"/>
          <w:b/>
          <w:sz w:val="22"/>
          <w:szCs w:val="22"/>
        </w:rPr>
      </w:pPr>
    </w:p>
    <w:p w14:paraId="0BEFB19A">
      <w:pPr>
        <w:rPr>
          <w:rFonts w:hint="eastAsia"/>
          <w:b/>
          <w:sz w:val="22"/>
          <w:szCs w:val="22"/>
        </w:rPr>
      </w:pPr>
    </w:p>
    <w:p w14:paraId="6F30D1AB">
      <w:pPr>
        <w:rPr>
          <w:rFonts w:hint="eastAsia"/>
          <w:b/>
          <w:sz w:val="22"/>
          <w:szCs w:val="22"/>
        </w:rPr>
      </w:pPr>
    </w:p>
    <w:p w14:paraId="20D1C3A2">
      <w:pPr>
        <w:rPr>
          <w:rFonts w:hint="eastAsia"/>
          <w:b/>
          <w:sz w:val="22"/>
          <w:szCs w:val="22"/>
        </w:rPr>
      </w:pPr>
    </w:p>
    <w:p w14:paraId="75ADF257">
      <w:pPr>
        <w:rPr>
          <w:rFonts w:hint="eastAsia"/>
          <w:b/>
          <w:sz w:val="22"/>
          <w:szCs w:val="22"/>
        </w:rPr>
      </w:pPr>
    </w:p>
    <w:p w14:paraId="531E8F4B">
      <w:pPr>
        <w:rPr>
          <w:rFonts w:hint="eastAsia"/>
          <w:b/>
          <w:sz w:val="22"/>
          <w:szCs w:val="22"/>
        </w:rPr>
      </w:pPr>
    </w:p>
    <w:p w14:paraId="6C3B4424">
      <w:pPr>
        <w:rPr>
          <w:rFonts w:hint="eastAsia"/>
          <w:b/>
          <w:sz w:val="22"/>
          <w:szCs w:val="22"/>
        </w:rPr>
      </w:pPr>
    </w:p>
    <w:p w14:paraId="5B4F4BC1">
      <w:pPr>
        <w:rPr>
          <w:rFonts w:hint="eastAsia"/>
          <w:b/>
          <w:sz w:val="22"/>
          <w:szCs w:val="22"/>
        </w:rPr>
      </w:pPr>
    </w:p>
    <w:p w14:paraId="0FBAC148">
      <w:pPr>
        <w:rPr>
          <w:rFonts w:hint="eastAsia"/>
          <w:b/>
          <w:sz w:val="22"/>
          <w:szCs w:val="22"/>
        </w:rPr>
      </w:pPr>
    </w:p>
    <w:p w14:paraId="399639B6">
      <w:pPr>
        <w:rPr>
          <w:rFonts w:hint="eastAsia"/>
          <w:b/>
          <w:sz w:val="22"/>
          <w:szCs w:val="22"/>
        </w:rPr>
      </w:pPr>
    </w:p>
    <w:p w14:paraId="7D728CEC">
      <w:pPr>
        <w:rPr>
          <w:rFonts w:hint="eastAsia"/>
          <w:b/>
          <w:sz w:val="22"/>
          <w:szCs w:val="22"/>
        </w:rPr>
      </w:pPr>
    </w:p>
    <w:p w14:paraId="1B912228">
      <w:pPr>
        <w:rPr>
          <w:rFonts w:hint="eastAsia"/>
          <w:b/>
          <w:sz w:val="22"/>
          <w:szCs w:val="22"/>
        </w:rPr>
      </w:pPr>
    </w:p>
    <w:p w14:paraId="317C2F72">
      <w:pPr>
        <w:rPr>
          <w:rFonts w:hint="eastAsia"/>
          <w:b/>
          <w:sz w:val="22"/>
          <w:szCs w:val="22"/>
        </w:rPr>
      </w:pPr>
    </w:p>
    <w:p w14:paraId="1DDF1659">
      <w:pPr>
        <w:rPr>
          <w:rFonts w:hint="eastAsia"/>
          <w:b/>
          <w:sz w:val="22"/>
          <w:szCs w:val="22"/>
        </w:rPr>
      </w:pPr>
    </w:p>
    <w:p w14:paraId="3D6AF90A">
      <w:pPr>
        <w:rPr>
          <w:b/>
          <w:sz w:val="22"/>
          <w:szCs w:val="22"/>
        </w:rPr>
      </w:pPr>
      <w:r>
        <w:rPr>
          <w:rFonts w:hint="eastAsia"/>
          <w:b/>
          <w:sz w:val="22"/>
          <w:szCs w:val="22"/>
        </w:rPr>
        <w:t>附件二</w:t>
      </w:r>
    </w:p>
    <w:p w14:paraId="1C5C7F55">
      <w:pPr>
        <w:jc w:val="center"/>
        <w:rPr>
          <w:b/>
          <w:sz w:val="32"/>
          <w:szCs w:val="24"/>
        </w:rPr>
      </w:pPr>
      <w:r>
        <w:rPr>
          <w:rFonts w:hint="eastAsia"/>
          <w:b/>
          <w:sz w:val="32"/>
          <w:szCs w:val="24"/>
        </w:rPr>
        <w:t>零部件重要度分类</w:t>
      </w:r>
    </w:p>
    <w:p w14:paraId="351506EF">
      <w:pPr>
        <w:spacing w:before="156" w:beforeLines="50" w:after="156" w:afterLines="50"/>
        <w:rPr>
          <w:b/>
          <w:sz w:val="28"/>
          <w:szCs w:val="24"/>
        </w:rPr>
      </w:pPr>
    </w:p>
    <w:p w14:paraId="737CDCDA">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14:paraId="7E0224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941" w:hRule="atLeast"/>
        </w:trPr>
        <w:tc>
          <w:tcPr>
            <w:tcW w:w="782" w:type="dxa"/>
            <w:vAlign w:val="center"/>
          </w:tcPr>
          <w:p w14:paraId="1B8035CA">
            <w:pPr>
              <w:spacing w:before="156" w:beforeLines="50" w:after="156" w:afterLines="50"/>
              <w:jc w:val="center"/>
              <w:rPr>
                <w:b/>
                <w:sz w:val="24"/>
                <w:szCs w:val="24"/>
              </w:rPr>
            </w:pPr>
            <w:r>
              <w:rPr>
                <w:rFonts w:hint="eastAsia"/>
                <w:b/>
                <w:sz w:val="24"/>
                <w:szCs w:val="24"/>
              </w:rPr>
              <w:t>序号</w:t>
            </w:r>
          </w:p>
        </w:tc>
        <w:tc>
          <w:tcPr>
            <w:tcW w:w="1562" w:type="dxa"/>
            <w:vAlign w:val="center"/>
          </w:tcPr>
          <w:p w14:paraId="5547F2E5">
            <w:pPr>
              <w:spacing w:before="156" w:beforeLines="50" w:after="156" w:afterLines="50"/>
              <w:jc w:val="center"/>
              <w:rPr>
                <w:b/>
                <w:sz w:val="24"/>
                <w:szCs w:val="24"/>
              </w:rPr>
            </w:pPr>
            <w:r>
              <w:rPr>
                <w:rFonts w:hint="eastAsia"/>
                <w:b/>
                <w:sz w:val="24"/>
                <w:szCs w:val="24"/>
              </w:rPr>
              <w:t>重要度分类</w:t>
            </w:r>
          </w:p>
        </w:tc>
        <w:tc>
          <w:tcPr>
            <w:tcW w:w="3594" w:type="dxa"/>
            <w:vAlign w:val="center"/>
          </w:tcPr>
          <w:p w14:paraId="1F753130">
            <w:pPr>
              <w:spacing w:before="156" w:beforeLines="50" w:after="156" w:afterLines="50"/>
              <w:jc w:val="center"/>
              <w:rPr>
                <w:b/>
                <w:sz w:val="24"/>
                <w:szCs w:val="24"/>
              </w:rPr>
            </w:pPr>
            <w:r>
              <w:rPr>
                <w:rFonts w:hint="eastAsia"/>
                <w:b/>
                <w:sz w:val="24"/>
                <w:szCs w:val="24"/>
              </w:rPr>
              <w:t>分类标准</w:t>
            </w:r>
          </w:p>
        </w:tc>
        <w:tc>
          <w:tcPr>
            <w:tcW w:w="4220" w:type="dxa"/>
            <w:vAlign w:val="center"/>
          </w:tcPr>
          <w:p w14:paraId="03655153">
            <w:pPr>
              <w:spacing w:before="156" w:beforeLines="50" w:after="156" w:afterLines="50"/>
              <w:jc w:val="center"/>
              <w:rPr>
                <w:b/>
                <w:sz w:val="24"/>
                <w:szCs w:val="24"/>
              </w:rPr>
            </w:pPr>
            <w:r>
              <w:rPr>
                <w:rFonts w:hint="eastAsia"/>
                <w:b/>
                <w:sz w:val="24"/>
                <w:szCs w:val="24"/>
              </w:rPr>
              <w:t>座椅零部件</w:t>
            </w:r>
          </w:p>
        </w:tc>
      </w:tr>
      <w:tr w14:paraId="131431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14:paraId="54A04CF0">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14:paraId="73396B4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14:paraId="62BFBC7A">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14:paraId="1372F69C">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14:paraId="664BD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14:paraId="32FCC193">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14:paraId="02A43955">
            <w:pPr>
              <w:spacing w:before="156" w:beforeLines="50" w:after="156" w:afterLines="50"/>
              <w:jc w:val="center"/>
              <w:rPr>
                <w:sz w:val="24"/>
                <w:szCs w:val="24"/>
              </w:rPr>
            </w:pPr>
            <w:r>
              <w:rPr>
                <w:rFonts w:hint="eastAsia"/>
                <w:sz w:val="24"/>
                <w:szCs w:val="24"/>
              </w:rPr>
              <w:t>重要件</w:t>
            </w:r>
          </w:p>
        </w:tc>
        <w:tc>
          <w:tcPr>
            <w:tcW w:w="3594" w:type="dxa"/>
            <w:vAlign w:val="center"/>
          </w:tcPr>
          <w:p w14:paraId="36BBDF0E">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14:paraId="2B66080B">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14:paraId="291B982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14:paraId="176ED8E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14:paraId="00AFA352">
            <w:pPr>
              <w:spacing w:before="156" w:beforeLines="50" w:after="156" w:afterLines="50"/>
              <w:jc w:val="center"/>
              <w:rPr>
                <w:sz w:val="24"/>
                <w:szCs w:val="24"/>
              </w:rPr>
            </w:pPr>
            <w:r>
              <w:rPr>
                <w:rFonts w:hint="eastAsia"/>
                <w:sz w:val="24"/>
                <w:szCs w:val="24"/>
              </w:rPr>
              <w:t>一般件</w:t>
            </w:r>
          </w:p>
        </w:tc>
        <w:tc>
          <w:tcPr>
            <w:tcW w:w="3594" w:type="dxa"/>
            <w:vAlign w:val="center"/>
          </w:tcPr>
          <w:p w14:paraId="0EDF25F8">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14:paraId="1A3B812A">
            <w:pPr>
              <w:spacing w:before="156" w:beforeLines="50" w:after="156" w:afterLines="50"/>
              <w:rPr>
                <w:sz w:val="24"/>
                <w:szCs w:val="24"/>
              </w:rPr>
            </w:pPr>
            <w:r>
              <w:rPr>
                <w:rFonts w:hint="eastAsia"/>
                <w:sz w:val="24"/>
                <w:szCs w:val="24"/>
              </w:rPr>
              <w:t>包装箱、防尘袋、无纺布等</w:t>
            </w:r>
          </w:p>
        </w:tc>
      </w:tr>
    </w:tbl>
    <w:p w14:paraId="428F8784">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14:paraId="2BBC82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874EE8E">
            <w:pPr>
              <w:spacing w:before="156" w:beforeLines="50" w:after="156" w:afterLines="50"/>
              <w:jc w:val="center"/>
              <w:rPr>
                <w:b/>
                <w:sz w:val="24"/>
                <w:szCs w:val="24"/>
              </w:rPr>
            </w:pPr>
            <w:r>
              <w:rPr>
                <w:rFonts w:hint="eastAsia"/>
                <w:b/>
                <w:sz w:val="24"/>
                <w:szCs w:val="24"/>
              </w:rPr>
              <w:t>序号</w:t>
            </w:r>
          </w:p>
        </w:tc>
        <w:tc>
          <w:tcPr>
            <w:tcW w:w="1574" w:type="dxa"/>
            <w:vAlign w:val="center"/>
          </w:tcPr>
          <w:p w14:paraId="677737DB">
            <w:pPr>
              <w:spacing w:before="156" w:beforeLines="50" w:after="156" w:afterLines="50"/>
              <w:jc w:val="center"/>
              <w:rPr>
                <w:b/>
                <w:sz w:val="24"/>
                <w:szCs w:val="24"/>
              </w:rPr>
            </w:pPr>
            <w:r>
              <w:rPr>
                <w:rFonts w:hint="eastAsia"/>
                <w:b/>
                <w:sz w:val="24"/>
                <w:szCs w:val="24"/>
              </w:rPr>
              <w:t>重要度分类</w:t>
            </w:r>
          </w:p>
        </w:tc>
        <w:tc>
          <w:tcPr>
            <w:tcW w:w="3622" w:type="dxa"/>
            <w:vAlign w:val="center"/>
          </w:tcPr>
          <w:p w14:paraId="7B5A76F4">
            <w:pPr>
              <w:spacing w:before="156" w:beforeLines="50" w:after="156" w:afterLines="50"/>
              <w:jc w:val="center"/>
              <w:rPr>
                <w:b/>
                <w:sz w:val="24"/>
                <w:szCs w:val="24"/>
              </w:rPr>
            </w:pPr>
            <w:r>
              <w:rPr>
                <w:rFonts w:hint="eastAsia"/>
                <w:b/>
                <w:sz w:val="24"/>
                <w:szCs w:val="24"/>
              </w:rPr>
              <w:t>分类标准</w:t>
            </w:r>
          </w:p>
        </w:tc>
        <w:tc>
          <w:tcPr>
            <w:tcW w:w="4253" w:type="dxa"/>
            <w:vAlign w:val="center"/>
          </w:tcPr>
          <w:p w14:paraId="6D4BA112">
            <w:pPr>
              <w:spacing w:before="156" w:beforeLines="50" w:after="156" w:afterLines="50"/>
              <w:jc w:val="center"/>
              <w:rPr>
                <w:b/>
                <w:sz w:val="24"/>
                <w:szCs w:val="24"/>
              </w:rPr>
            </w:pPr>
            <w:r>
              <w:rPr>
                <w:rFonts w:hint="eastAsia"/>
                <w:b/>
                <w:sz w:val="24"/>
                <w:szCs w:val="24"/>
              </w:rPr>
              <w:t>灯镜零部件</w:t>
            </w:r>
          </w:p>
        </w:tc>
      </w:tr>
      <w:tr w14:paraId="5C986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14:paraId="0242DC99">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14:paraId="21C1B6BE">
            <w:pPr>
              <w:spacing w:before="156" w:beforeLines="50" w:after="156" w:afterLines="50"/>
              <w:jc w:val="center"/>
              <w:rPr>
                <w:sz w:val="24"/>
                <w:szCs w:val="24"/>
              </w:rPr>
            </w:pPr>
            <w:r>
              <w:rPr>
                <w:rFonts w:hint="eastAsia"/>
                <w:sz w:val="24"/>
                <w:szCs w:val="24"/>
              </w:rPr>
              <w:t>关键件</w:t>
            </w:r>
          </w:p>
        </w:tc>
        <w:tc>
          <w:tcPr>
            <w:tcW w:w="3622" w:type="dxa"/>
            <w:vAlign w:val="center"/>
          </w:tcPr>
          <w:p w14:paraId="043469DE">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14:paraId="4E971EF2">
            <w:pPr>
              <w:spacing w:before="156" w:beforeLines="50" w:after="156" w:afterLines="50"/>
              <w:rPr>
                <w:sz w:val="24"/>
                <w:szCs w:val="24"/>
              </w:rPr>
            </w:pPr>
            <w:r>
              <w:rPr>
                <w:rFonts w:hint="eastAsia"/>
                <w:sz w:val="24"/>
                <w:szCs w:val="24"/>
              </w:rPr>
              <w:t>注塑料、镜臂骨架、转轴、调节机构、镜片、弹簧、线束、双面胶、加热片等</w:t>
            </w:r>
          </w:p>
        </w:tc>
      </w:tr>
      <w:tr w14:paraId="02162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14:paraId="2A73B7BB">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14:paraId="43E59CCF">
            <w:pPr>
              <w:spacing w:before="156" w:beforeLines="50" w:after="156" w:afterLines="50"/>
              <w:jc w:val="center"/>
              <w:rPr>
                <w:sz w:val="24"/>
                <w:szCs w:val="24"/>
              </w:rPr>
            </w:pPr>
            <w:r>
              <w:rPr>
                <w:rFonts w:hint="eastAsia"/>
                <w:sz w:val="24"/>
                <w:szCs w:val="24"/>
              </w:rPr>
              <w:t>重要件</w:t>
            </w:r>
          </w:p>
        </w:tc>
        <w:tc>
          <w:tcPr>
            <w:tcW w:w="3622" w:type="dxa"/>
            <w:vAlign w:val="center"/>
          </w:tcPr>
          <w:p w14:paraId="2B9ABB87">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14:paraId="7D253AF7">
            <w:pPr>
              <w:spacing w:before="156" w:beforeLines="50" w:after="156" w:afterLines="50"/>
              <w:rPr>
                <w:sz w:val="24"/>
                <w:szCs w:val="24"/>
              </w:rPr>
            </w:pPr>
            <w:r>
              <w:rPr>
                <w:rFonts w:hint="eastAsia"/>
                <w:sz w:val="24"/>
                <w:szCs w:val="24"/>
              </w:rPr>
              <w:t>镜壳、镜托、镜杆、镜座、铰链、安装块、阻尼片、胶垫、标准件等</w:t>
            </w:r>
          </w:p>
        </w:tc>
      </w:tr>
      <w:tr w14:paraId="5FEEE6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14:paraId="2C6FECF5">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14:paraId="2031D612">
            <w:pPr>
              <w:spacing w:before="156" w:beforeLines="50" w:after="156" w:afterLines="50"/>
              <w:jc w:val="center"/>
              <w:rPr>
                <w:sz w:val="24"/>
                <w:szCs w:val="24"/>
              </w:rPr>
            </w:pPr>
            <w:r>
              <w:rPr>
                <w:rFonts w:hint="eastAsia"/>
                <w:sz w:val="24"/>
                <w:szCs w:val="24"/>
              </w:rPr>
              <w:t>一般件</w:t>
            </w:r>
          </w:p>
        </w:tc>
        <w:tc>
          <w:tcPr>
            <w:tcW w:w="3622" w:type="dxa"/>
            <w:vAlign w:val="center"/>
          </w:tcPr>
          <w:p w14:paraId="78724B51">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14:paraId="19867E5E">
            <w:pPr>
              <w:spacing w:before="156" w:beforeLines="50" w:after="156" w:afterLines="50"/>
              <w:rPr>
                <w:sz w:val="24"/>
                <w:szCs w:val="24"/>
              </w:rPr>
            </w:pPr>
            <w:r>
              <w:rPr>
                <w:rFonts w:hint="eastAsia"/>
                <w:sz w:val="24"/>
                <w:szCs w:val="24"/>
              </w:rPr>
              <w:t>包装箱、防尘袋、无纺布、标识等</w:t>
            </w:r>
          </w:p>
        </w:tc>
      </w:tr>
    </w:tbl>
    <w:p w14:paraId="684B83D0">
      <w:pPr>
        <w:rPr>
          <w:rFonts w:hint="eastAsia"/>
          <w:b/>
          <w:sz w:val="28"/>
          <w:szCs w:val="24"/>
          <w:highlight w:val="none"/>
        </w:rPr>
      </w:pPr>
    </w:p>
    <w:p w14:paraId="58288B08">
      <w:pPr>
        <w:rPr>
          <w:b/>
          <w:sz w:val="28"/>
          <w:szCs w:val="24"/>
          <w:highlight w:val="none"/>
        </w:rPr>
      </w:pPr>
      <w:r>
        <w:rPr>
          <w:rFonts w:hint="eastAsia"/>
          <w:b/>
          <w:sz w:val="28"/>
          <w:szCs w:val="24"/>
          <w:highlight w:val="none"/>
        </w:rPr>
        <w:t>附件三</w:t>
      </w:r>
    </w:p>
    <w:p w14:paraId="32292F1B">
      <w:pPr>
        <w:jc w:val="center"/>
        <w:rPr>
          <w:b/>
          <w:sz w:val="28"/>
          <w:szCs w:val="24"/>
          <w:highlight w:val="none"/>
        </w:rPr>
      </w:pPr>
    </w:p>
    <w:p w14:paraId="2498B66E">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14:paraId="566AD44E">
      <w:pPr>
        <w:jc w:val="center"/>
        <w:rPr>
          <w:b/>
          <w:sz w:val="28"/>
          <w:szCs w:val="24"/>
          <w:highlight w:val="none"/>
        </w:rPr>
      </w:pPr>
    </w:p>
    <w:p w14:paraId="7844AC6B">
      <w:pPr>
        <w:spacing w:before="312" w:beforeLines="100" w:after="312" w:afterLines="100"/>
        <w:jc w:val="center"/>
        <w:rPr>
          <w:b/>
          <w:sz w:val="28"/>
          <w:szCs w:val="24"/>
          <w:highlight w:val="none"/>
        </w:rPr>
      </w:pPr>
    </w:p>
    <w:p w14:paraId="5E167894">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14:paraId="56E998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41C2A5AB">
            <w:pPr>
              <w:jc w:val="center"/>
              <w:rPr>
                <w:b/>
                <w:sz w:val="28"/>
                <w:szCs w:val="24"/>
                <w:highlight w:val="none"/>
              </w:rPr>
            </w:pPr>
            <w:r>
              <w:rPr>
                <w:rFonts w:hint="eastAsia"/>
                <w:b/>
                <w:sz w:val="28"/>
                <w:szCs w:val="24"/>
                <w:highlight w:val="none"/>
              </w:rPr>
              <w:t>序号</w:t>
            </w:r>
          </w:p>
        </w:tc>
        <w:tc>
          <w:tcPr>
            <w:tcW w:w="5464" w:type="dxa"/>
            <w:vAlign w:val="center"/>
          </w:tcPr>
          <w:p w14:paraId="1359A7E7">
            <w:pPr>
              <w:jc w:val="center"/>
              <w:rPr>
                <w:b/>
                <w:sz w:val="28"/>
                <w:szCs w:val="24"/>
                <w:highlight w:val="none"/>
              </w:rPr>
            </w:pPr>
            <w:r>
              <w:rPr>
                <w:rFonts w:hint="eastAsia"/>
                <w:b/>
                <w:sz w:val="28"/>
                <w:szCs w:val="24"/>
                <w:highlight w:val="none"/>
              </w:rPr>
              <w:t>供货零部件类别</w:t>
            </w:r>
          </w:p>
        </w:tc>
        <w:tc>
          <w:tcPr>
            <w:tcW w:w="3287" w:type="dxa"/>
            <w:vAlign w:val="center"/>
          </w:tcPr>
          <w:p w14:paraId="695495B5">
            <w:pPr>
              <w:jc w:val="center"/>
              <w:rPr>
                <w:b/>
                <w:sz w:val="28"/>
                <w:szCs w:val="24"/>
                <w:highlight w:val="none"/>
              </w:rPr>
            </w:pPr>
            <w:r>
              <w:rPr>
                <w:rFonts w:hint="eastAsia"/>
                <w:b/>
                <w:sz w:val="28"/>
                <w:szCs w:val="24"/>
                <w:highlight w:val="none"/>
              </w:rPr>
              <w:t>质量目标（PPM）</w:t>
            </w:r>
          </w:p>
        </w:tc>
      </w:tr>
      <w:tr w14:paraId="71ED2AD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62EB28B9">
            <w:pPr>
              <w:jc w:val="center"/>
              <w:rPr>
                <w:b/>
                <w:sz w:val="28"/>
                <w:szCs w:val="24"/>
                <w:highlight w:val="none"/>
              </w:rPr>
            </w:pPr>
            <w:r>
              <w:rPr>
                <w:rFonts w:hint="eastAsia"/>
                <w:b/>
                <w:sz w:val="28"/>
                <w:szCs w:val="24"/>
                <w:highlight w:val="none"/>
              </w:rPr>
              <w:t>1</w:t>
            </w:r>
          </w:p>
        </w:tc>
        <w:tc>
          <w:tcPr>
            <w:tcW w:w="5464" w:type="dxa"/>
            <w:vAlign w:val="center"/>
          </w:tcPr>
          <w:p w14:paraId="2180F3EB">
            <w:pPr>
              <w:jc w:val="center"/>
              <w:rPr>
                <w:rFonts w:hint="default" w:eastAsiaTheme="minorEastAsia"/>
                <w:b/>
                <w:sz w:val="28"/>
                <w:szCs w:val="24"/>
                <w:highlight w:val="none"/>
                <w:lang w:val="en-US" w:eastAsia="zh-CN"/>
              </w:rPr>
            </w:pPr>
          </w:p>
        </w:tc>
        <w:tc>
          <w:tcPr>
            <w:tcW w:w="3287" w:type="dxa"/>
            <w:vAlign w:val="center"/>
          </w:tcPr>
          <w:p w14:paraId="099C2FAB">
            <w:pPr>
              <w:jc w:val="center"/>
              <w:rPr>
                <w:b/>
                <w:sz w:val="28"/>
                <w:szCs w:val="24"/>
                <w:highlight w:val="none"/>
              </w:rPr>
            </w:pPr>
          </w:p>
        </w:tc>
      </w:tr>
      <w:tr w14:paraId="1CAEA33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FBD3B47">
            <w:pPr>
              <w:jc w:val="center"/>
              <w:rPr>
                <w:b/>
                <w:sz w:val="28"/>
                <w:szCs w:val="24"/>
                <w:highlight w:val="none"/>
              </w:rPr>
            </w:pPr>
            <w:r>
              <w:rPr>
                <w:rFonts w:hint="eastAsia"/>
                <w:b/>
                <w:sz w:val="28"/>
                <w:szCs w:val="24"/>
                <w:highlight w:val="none"/>
              </w:rPr>
              <w:t>2</w:t>
            </w:r>
          </w:p>
        </w:tc>
        <w:tc>
          <w:tcPr>
            <w:tcW w:w="5464" w:type="dxa"/>
            <w:vAlign w:val="center"/>
          </w:tcPr>
          <w:p w14:paraId="28D514B9">
            <w:pPr>
              <w:jc w:val="center"/>
              <w:rPr>
                <w:rFonts w:hint="eastAsia" w:eastAsiaTheme="minorEastAsia"/>
                <w:b/>
                <w:sz w:val="28"/>
                <w:szCs w:val="24"/>
                <w:highlight w:val="none"/>
                <w:lang w:eastAsia="zh-CN"/>
              </w:rPr>
            </w:pPr>
          </w:p>
        </w:tc>
        <w:tc>
          <w:tcPr>
            <w:tcW w:w="3287" w:type="dxa"/>
            <w:vAlign w:val="center"/>
          </w:tcPr>
          <w:p w14:paraId="48C89EDA">
            <w:pPr>
              <w:jc w:val="center"/>
              <w:rPr>
                <w:b/>
                <w:sz w:val="28"/>
                <w:szCs w:val="24"/>
                <w:highlight w:val="none"/>
              </w:rPr>
            </w:pPr>
          </w:p>
        </w:tc>
      </w:tr>
      <w:tr w14:paraId="5DC422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7D4E2A19">
            <w:pPr>
              <w:jc w:val="center"/>
              <w:rPr>
                <w:b/>
                <w:sz w:val="28"/>
                <w:szCs w:val="24"/>
                <w:highlight w:val="none"/>
              </w:rPr>
            </w:pPr>
            <w:r>
              <w:rPr>
                <w:rFonts w:hint="eastAsia"/>
                <w:b/>
                <w:sz w:val="28"/>
                <w:szCs w:val="24"/>
                <w:highlight w:val="none"/>
              </w:rPr>
              <w:t>3</w:t>
            </w:r>
          </w:p>
        </w:tc>
        <w:tc>
          <w:tcPr>
            <w:tcW w:w="5464" w:type="dxa"/>
            <w:vAlign w:val="center"/>
          </w:tcPr>
          <w:p w14:paraId="33937B6C">
            <w:pPr>
              <w:jc w:val="center"/>
              <w:rPr>
                <w:b/>
                <w:sz w:val="28"/>
                <w:szCs w:val="24"/>
                <w:highlight w:val="none"/>
              </w:rPr>
            </w:pPr>
          </w:p>
        </w:tc>
        <w:tc>
          <w:tcPr>
            <w:tcW w:w="3287" w:type="dxa"/>
            <w:vAlign w:val="center"/>
          </w:tcPr>
          <w:p w14:paraId="4EB34438">
            <w:pPr>
              <w:jc w:val="center"/>
              <w:rPr>
                <w:b/>
                <w:sz w:val="28"/>
                <w:szCs w:val="24"/>
                <w:highlight w:val="none"/>
              </w:rPr>
            </w:pPr>
          </w:p>
        </w:tc>
      </w:tr>
      <w:tr w14:paraId="5C18BD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14:paraId="1DEFC521">
            <w:pPr>
              <w:jc w:val="center"/>
              <w:rPr>
                <w:b/>
                <w:sz w:val="28"/>
                <w:szCs w:val="24"/>
                <w:highlight w:val="none"/>
              </w:rPr>
            </w:pPr>
            <w:r>
              <w:rPr>
                <w:rFonts w:hint="eastAsia"/>
                <w:b/>
                <w:sz w:val="28"/>
                <w:szCs w:val="24"/>
                <w:highlight w:val="none"/>
              </w:rPr>
              <w:t>。。。</w:t>
            </w:r>
          </w:p>
        </w:tc>
        <w:tc>
          <w:tcPr>
            <w:tcW w:w="5464" w:type="dxa"/>
            <w:vAlign w:val="center"/>
          </w:tcPr>
          <w:p w14:paraId="0CC14722">
            <w:pPr>
              <w:jc w:val="center"/>
              <w:rPr>
                <w:b/>
                <w:sz w:val="28"/>
                <w:szCs w:val="24"/>
                <w:highlight w:val="none"/>
              </w:rPr>
            </w:pPr>
            <w:r>
              <w:rPr>
                <w:rFonts w:hint="eastAsia"/>
                <w:b/>
                <w:sz w:val="28"/>
                <w:szCs w:val="24"/>
                <w:highlight w:val="none"/>
              </w:rPr>
              <w:t>。。。</w:t>
            </w:r>
          </w:p>
        </w:tc>
        <w:tc>
          <w:tcPr>
            <w:tcW w:w="3287" w:type="dxa"/>
            <w:vAlign w:val="center"/>
          </w:tcPr>
          <w:p w14:paraId="647BBFC8">
            <w:pPr>
              <w:jc w:val="center"/>
              <w:rPr>
                <w:b/>
                <w:sz w:val="28"/>
                <w:szCs w:val="24"/>
                <w:highlight w:val="none"/>
              </w:rPr>
            </w:pPr>
            <w:r>
              <w:rPr>
                <w:rFonts w:hint="eastAsia"/>
                <w:b/>
                <w:sz w:val="28"/>
                <w:szCs w:val="24"/>
                <w:highlight w:val="none"/>
              </w:rPr>
              <w:t>。。。</w:t>
            </w:r>
          </w:p>
        </w:tc>
      </w:tr>
      <w:tr w14:paraId="65832D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14:paraId="067AFBB2">
            <w:pPr>
              <w:jc w:val="left"/>
              <w:rPr>
                <w:b/>
                <w:sz w:val="20"/>
                <w:szCs w:val="24"/>
                <w:highlight w:val="none"/>
              </w:rPr>
            </w:pPr>
            <w:r>
              <w:rPr>
                <w:rFonts w:hint="eastAsia"/>
                <w:b/>
                <w:sz w:val="20"/>
                <w:szCs w:val="24"/>
                <w:highlight w:val="none"/>
              </w:rPr>
              <w:t>注：1）PPM目标每月评价；</w:t>
            </w:r>
          </w:p>
          <w:p w14:paraId="12ECBA94">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14:paraId="5CEF8EC5">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14:paraId="641D329D">
      <w:pPr>
        <w:spacing w:before="312" w:beforeLines="100" w:after="312" w:afterLines="100"/>
        <w:rPr>
          <w:b/>
          <w:sz w:val="28"/>
          <w:szCs w:val="24"/>
          <w:highlight w:val="none"/>
        </w:rPr>
      </w:pPr>
      <w:r>
        <w:rPr>
          <w:rFonts w:hint="eastAsia"/>
          <w:b/>
          <w:sz w:val="28"/>
          <w:szCs w:val="24"/>
          <w:highlight w:val="none"/>
        </w:rPr>
        <w:t>2、供应商质量体系认证</w:t>
      </w:r>
    </w:p>
    <w:p w14:paraId="20EAAEEA">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u w:val="single"/>
          <w:lang w:val="en-US" w:eastAsia="zh-CN"/>
        </w:rPr>
        <w:t>IATF16949</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14:paraId="2E042300">
      <w:pPr>
        <w:spacing w:before="312" w:beforeLines="100" w:after="312" w:afterLines="100"/>
        <w:rPr>
          <w:b/>
          <w:sz w:val="28"/>
          <w:szCs w:val="24"/>
          <w:highlight w:val="none"/>
        </w:rPr>
      </w:pPr>
    </w:p>
    <w:p w14:paraId="666F8F51">
      <w:pPr>
        <w:spacing w:before="312" w:beforeLines="100" w:after="312" w:afterLines="100"/>
        <w:rPr>
          <w:b/>
          <w:sz w:val="28"/>
          <w:szCs w:val="24"/>
          <w:highlight w:val="none"/>
        </w:rPr>
      </w:pPr>
      <w:r>
        <w:rPr>
          <w:rFonts w:hint="eastAsia"/>
          <w:b/>
          <w:color w:val="FF0000"/>
          <w:sz w:val="28"/>
          <w:szCs w:val="24"/>
          <w:highlight w:val="none"/>
        </w:rPr>
        <w:t>附：质量体系证书复印件</w:t>
      </w:r>
    </w:p>
    <w:p w14:paraId="0585A550">
      <w:pPr>
        <w:jc w:val="both"/>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B32DF">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1E2D4"/>
    <w:multiLevelType w:val="singleLevel"/>
    <w:tmpl w:val="A5D1E2D4"/>
    <w:lvl w:ilvl="0" w:tentative="0">
      <w:start w:val="14"/>
      <w:numFmt w:val="decimal"/>
      <w:suff w:val="nothing"/>
      <w:lvlText w:val="%1．"/>
      <w:lvlJc w:val="left"/>
      <w:pPr>
        <w:ind w:left="600" w:leftChars="0" w:firstLine="0" w:firstLineChars="0"/>
      </w:pPr>
    </w:lvl>
  </w:abstractNum>
  <w:abstractNum w:abstractNumId="1">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8"/>
  </w:num>
  <w:num w:numId="3">
    <w:abstractNumId w:val="3"/>
  </w:num>
  <w:num w:numId="4">
    <w:abstractNumId w:val="20"/>
  </w:num>
  <w:num w:numId="5">
    <w:abstractNumId w:val="2"/>
  </w:num>
  <w:num w:numId="6">
    <w:abstractNumId w:val="6"/>
  </w:num>
  <w:num w:numId="7">
    <w:abstractNumId w:val="21"/>
  </w:num>
  <w:num w:numId="8">
    <w:abstractNumId w:val="5"/>
  </w:num>
  <w:num w:numId="9">
    <w:abstractNumId w:val="12"/>
  </w:num>
  <w:num w:numId="10">
    <w:abstractNumId w:val="23"/>
  </w:num>
  <w:num w:numId="11">
    <w:abstractNumId w:val="9"/>
  </w:num>
  <w:num w:numId="12">
    <w:abstractNumId w:val="4"/>
  </w:num>
  <w:num w:numId="13">
    <w:abstractNumId w:val="13"/>
  </w:num>
  <w:num w:numId="14">
    <w:abstractNumId w:val="17"/>
  </w:num>
  <w:num w:numId="15">
    <w:abstractNumId w:val="22"/>
  </w:num>
  <w:num w:numId="16">
    <w:abstractNumId w:val="18"/>
  </w:num>
  <w:num w:numId="17">
    <w:abstractNumId w:val="16"/>
  </w:num>
  <w:num w:numId="18">
    <w:abstractNumId w:val="1"/>
  </w:num>
  <w:num w:numId="19">
    <w:abstractNumId w:val="15"/>
  </w:num>
  <w:num w:numId="20">
    <w:abstractNumId w:val="10"/>
  </w:num>
  <w:num w:numId="21">
    <w:abstractNumId w:val="14"/>
  </w:num>
  <w:num w:numId="22">
    <w:abstractNumId w:val="7"/>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MjY1ZGY4ZGFlNjY1YTk0NWI3ZGJkYjcxNzEzNj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09414E8E"/>
    <w:rsid w:val="16404921"/>
    <w:rsid w:val="196C2DA6"/>
    <w:rsid w:val="23377E52"/>
    <w:rsid w:val="25E37C9D"/>
    <w:rsid w:val="30131749"/>
    <w:rsid w:val="325D08B2"/>
    <w:rsid w:val="33664CBD"/>
    <w:rsid w:val="37F65588"/>
    <w:rsid w:val="3AD13623"/>
    <w:rsid w:val="46591215"/>
    <w:rsid w:val="46F26992"/>
    <w:rsid w:val="49E67A53"/>
    <w:rsid w:val="518104B3"/>
    <w:rsid w:val="5A7242AE"/>
    <w:rsid w:val="5B4014AE"/>
    <w:rsid w:val="6C7B513F"/>
    <w:rsid w:val="6D62752A"/>
    <w:rsid w:val="742E5A13"/>
    <w:rsid w:val="754F75F0"/>
    <w:rsid w:val="7AB00CD6"/>
    <w:rsid w:val="7DB0536D"/>
    <w:rsid w:val="7DEC3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character" w:customStyle="1" w:styleId="10">
    <w:name w:val="批注框文本 Char"/>
    <w:basedOn w:val="7"/>
    <w:link w:val="2"/>
    <w:autoRedefine/>
    <w:semiHidden/>
    <w:qFormat/>
    <w:uiPriority w:val="99"/>
    <w:rPr>
      <w:sz w:val="18"/>
      <w:szCs w:val="18"/>
    </w:rPr>
  </w:style>
  <w:style w:type="paragraph" w:styleId="11">
    <w:name w:val="List Paragraph"/>
    <w:basedOn w:val="1"/>
    <w:autoRedefine/>
    <w:qFormat/>
    <w:uiPriority w:val="34"/>
    <w:pPr>
      <w:ind w:firstLine="420" w:firstLineChars="200"/>
    </w:pPr>
  </w:style>
  <w:style w:type="paragraph" w:styleId="12">
    <w:name w:val="No Spacing"/>
    <w:link w:val="13"/>
    <w:autoRedefine/>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autoRedefine/>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3666</Words>
  <Characters>3843</Characters>
  <Lines>51</Lines>
  <Paragraphs>14</Paragraphs>
  <TotalTime>3</TotalTime>
  <ScaleCrop>false</ScaleCrop>
  <LinksUpToDate>false</LinksUpToDate>
  <CharactersWithSpaces>4217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2024-12-05T07:34:18Z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6CD870C405294ED1A100F8F4C80FA8FB_13</vt:lpwstr>
  </property>
</Properties>
</file>