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83CB9">
      <w:pPr>
        <w:widowControl/>
        <w:spacing w:after="240" w:line="288"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《房屋租赁合同》</w:t>
      </w:r>
    </w:p>
    <w:p w14:paraId="16512F60">
      <w:pPr>
        <w:widowControl/>
        <w:spacing w:after="240" w:line="288"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之</w:t>
      </w:r>
    </w:p>
    <w:p w14:paraId="0F3D3573">
      <w:pPr>
        <w:widowControl/>
        <w:spacing w:after="240" w:line="288" w:lineRule="auto"/>
        <w:jc w:val="center"/>
        <w:rPr>
          <w:rFonts w:cs="宋体" w:asciiTheme="minorEastAsia" w:hAnsiTheme="minorEastAsia"/>
          <w:b/>
          <w:kern w:val="0"/>
          <w:sz w:val="24"/>
          <w:szCs w:val="24"/>
        </w:rPr>
      </w:pPr>
      <w:r>
        <w:rPr>
          <w:rFonts w:hint="eastAsia" w:cs="宋体" w:asciiTheme="minorEastAsia" w:hAnsiTheme="minorEastAsia"/>
          <w:kern w:val="0"/>
          <w:sz w:val="24"/>
          <w:szCs w:val="24"/>
        </w:rPr>
        <w:t>供暖协议</w:t>
      </w:r>
    </w:p>
    <w:p w14:paraId="7F271971">
      <w:pPr>
        <w:widowControl/>
        <w:spacing w:after="240" w:line="288" w:lineRule="auto"/>
        <w:ind w:left="118" w:hanging="118" w:hangingChars="49"/>
        <w:rPr>
          <w:rFonts w:cs="宋体" w:asciiTheme="minorEastAsia" w:hAnsiTheme="minorEastAsia"/>
          <w:b/>
          <w:kern w:val="0"/>
          <w:sz w:val="24"/>
          <w:szCs w:val="24"/>
        </w:rPr>
      </w:pPr>
      <w:r>
        <w:rPr>
          <w:rFonts w:hint="eastAsia" w:cs="宋体" w:asciiTheme="minorEastAsia" w:hAnsiTheme="minorEastAsia"/>
          <w:b/>
          <w:kern w:val="0"/>
          <w:sz w:val="24"/>
          <w:szCs w:val="24"/>
        </w:rPr>
        <w:t xml:space="preserve">  </w:t>
      </w:r>
    </w:p>
    <w:p w14:paraId="5D8285B7">
      <w:pPr>
        <w:widowControl/>
        <w:spacing w:after="240" w:line="288" w:lineRule="auto"/>
        <w:ind w:left="118" w:leftChars="56"/>
        <w:rPr>
          <w:rFonts w:cs="宋体" w:asciiTheme="minorEastAsia" w:hAnsiTheme="minorEastAsia"/>
          <w:kern w:val="0"/>
          <w:sz w:val="24"/>
          <w:szCs w:val="24"/>
        </w:rPr>
      </w:pPr>
      <w:r>
        <w:rPr>
          <w:rFonts w:hint="eastAsia" w:cs="宋体" w:asciiTheme="minorEastAsia" w:hAnsiTheme="minorEastAsia"/>
          <w:kern w:val="0"/>
          <w:sz w:val="24"/>
          <w:szCs w:val="24"/>
        </w:rPr>
        <w:t>本《物业租赁合同》之供暖协议（“</w:t>
      </w:r>
      <w:r>
        <w:rPr>
          <w:rFonts w:hint="eastAsia" w:cs="宋体" w:asciiTheme="minorEastAsia" w:hAnsiTheme="minorEastAsia"/>
          <w:b/>
          <w:kern w:val="0"/>
          <w:sz w:val="24"/>
          <w:szCs w:val="24"/>
        </w:rPr>
        <w:t>本协议</w:t>
      </w:r>
      <w:r>
        <w:rPr>
          <w:rFonts w:hint="eastAsia" w:cs="宋体" w:asciiTheme="minorEastAsia" w:hAnsiTheme="minorEastAsia"/>
          <w:kern w:val="0"/>
          <w:sz w:val="24"/>
          <w:szCs w:val="24"/>
        </w:rPr>
        <w:t>”）由以下双方于20</w:t>
      </w:r>
      <w:r>
        <w:rPr>
          <w:rFonts w:cs="宋体" w:asciiTheme="minorEastAsia" w:hAnsiTheme="minorEastAsia"/>
          <w:kern w:val="0"/>
          <w:sz w:val="24"/>
          <w:szCs w:val="24"/>
        </w:rPr>
        <w:t>24</w:t>
      </w:r>
      <w:r>
        <w:rPr>
          <w:rFonts w:hint="eastAsia" w:cs="宋体" w:asciiTheme="minorEastAsia" w:hAnsiTheme="minorEastAsia"/>
          <w:kern w:val="0"/>
          <w:sz w:val="24"/>
          <w:szCs w:val="24"/>
        </w:rPr>
        <w:t>年</w:t>
      </w:r>
      <w:r>
        <w:rPr>
          <w:rFonts w:cs="宋体" w:asciiTheme="minorEastAsia" w:hAnsiTheme="minorEastAsia"/>
          <w:kern w:val="0"/>
          <w:sz w:val="24"/>
          <w:szCs w:val="24"/>
          <w:u w:val="single"/>
        </w:rPr>
        <w:t xml:space="preserve"> 12 </w:t>
      </w:r>
      <w:r>
        <w:rPr>
          <w:rFonts w:hint="eastAsia" w:cs="宋体" w:asciiTheme="minorEastAsia" w:hAnsiTheme="minorEastAsia"/>
          <w:kern w:val="0"/>
          <w:sz w:val="24"/>
          <w:szCs w:val="24"/>
        </w:rPr>
        <w:t>月</w:t>
      </w:r>
      <w:r>
        <w:rPr>
          <w:rFonts w:cs="宋体" w:asciiTheme="minorEastAsia" w:hAnsiTheme="minorEastAsia"/>
          <w:kern w:val="0"/>
          <w:sz w:val="24"/>
          <w:szCs w:val="24"/>
          <w:u w:val="single"/>
        </w:rPr>
        <w:t xml:space="preserve"> 3 </w:t>
      </w:r>
      <w:r>
        <w:rPr>
          <w:rFonts w:hint="eastAsia" w:cs="宋体" w:asciiTheme="minorEastAsia" w:hAnsiTheme="minorEastAsia"/>
          <w:kern w:val="0"/>
          <w:sz w:val="24"/>
          <w:szCs w:val="24"/>
        </w:rPr>
        <w:t>日签署。</w:t>
      </w:r>
    </w:p>
    <w:p w14:paraId="6760B7AB">
      <w:pPr>
        <w:widowControl/>
        <w:wordWrap w:val="0"/>
        <w:spacing w:line="288" w:lineRule="auto"/>
        <w:ind w:left="353" w:leftChars="168"/>
        <w:jc w:val="left"/>
        <w:rPr>
          <w:rFonts w:cs="宋体" w:asciiTheme="minorEastAsia" w:hAnsiTheme="minorEastAsia"/>
          <w:kern w:val="0"/>
          <w:sz w:val="24"/>
          <w:szCs w:val="24"/>
        </w:rPr>
      </w:pPr>
      <w:r>
        <w:rPr>
          <w:rFonts w:hint="eastAsia" w:cs="宋体" w:asciiTheme="minorEastAsia" w:hAnsiTheme="minorEastAsia"/>
          <w:b/>
          <w:kern w:val="0"/>
          <w:sz w:val="24"/>
          <w:szCs w:val="24"/>
        </w:rPr>
        <w:t>甲方</w:t>
      </w:r>
      <w:r>
        <w:rPr>
          <w:rFonts w:hint="eastAsia" w:cs="宋体" w:asciiTheme="minorEastAsia" w:hAnsiTheme="minorEastAsia"/>
          <w:kern w:val="0"/>
          <w:sz w:val="24"/>
          <w:szCs w:val="24"/>
        </w:rPr>
        <w:t>：长春普开仓储有限公司</w:t>
      </w:r>
      <w:r>
        <w:rPr>
          <w:rFonts w:hint="eastAsia" w:cs="宋体" w:asciiTheme="minorEastAsia" w:hAnsiTheme="minorEastAsia"/>
          <w:kern w:val="0"/>
          <w:sz w:val="24"/>
          <w:szCs w:val="24"/>
        </w:rPr>
        <w:br w:type="textWrapping"/>
      </w:r>
      <w:r>
        <w:rPr>
          <w:rFonts w:hint="eastAsia" w:cs="宋体" w:asciiTheme="minorEastAsia" w:hAnsiTheme="minorEastAsia"/>
          <w:b/>
          <w:kern w:val="0"/>
          <w:sz w:val="24"/>
          <w:szCs w:val="24"/>
        </w:rPr>
        <w:t>乙方</w:t>
      </w:r>
      <w:r>
        <w:rPr>
          <w:rFonts w:hint="eastAsia" w:cs="宋体" w:asciiTheme="minorEastAsia" w:hAnsiTheme="minorEastAsia"/>
          <w:kern w:val="0"/>
          <w:sz w:val="24"/>
          <w:szCs w:val="24"/>
        </w:rPr>
        <w:t>：</w:t>
      </w:r>
      <w:bookmarkStart w:id="0" w:name="1"/>
      <w:bookmarkEnd w:id="0"/>
      <w:r>
        <w:rPr>
          <w:rFonts w:hint="eastAsia" w:cs="宋体" w:asciiTheme="minorEastAsia" w:hAnsiTheme="minorEastAsia"/>
          <w:kern w:val="0"/>
          <w:sz w:val="24"/>
          <w:szCs w:val="24"/>
        </w:rPr>
        <w:t>长春光华荣昌汽车部件有限公司</w:t>
      </w:r>
    </w:p>
    <w:p w14:paraId="1B5DA32E">
      <w:pPr>
        <w:widowControl/>
        <w:spacing w:line="288" w:lineRule="auto"/>
        <w:jc w:val="left"/>
        <w:rPr>
          <w:rFonts w:cs="宋体" w:asciiTheme="minorEastAsia" w:hAnsiTheme="minorEastAsia"/>
          <w:kern w:val="0"/>
          <w:sz w:val="24"/>
          <w:szCs w:val="24"/>
        </w:rPr>
      </w:pPr>
      <w:r>
        <w:rPr>
          <w:rFonts w:hint="eastAsia" w:cs="宋体" w:asciiTheme="minorEastAsia" w:hAnsiTheme="minorEastAsia"/>
          <w:b/>
          <w:kern w:val="0"/>
          <w:sz w:val="24"/>
          <w:szCs w:val="24"/>
        </w:rPr>
        <w:t>鉴于</w:t>
      </w:r>
      <w:r>
        <w:rPr>
          <w:rFonts w:hint="eastAsia" w:cs="宋体" w:asciiTheme="minorEastAsia" w:hAnsiTheme="minorEastAsia"/>
          <w:kern w:val="0"/>
          <w:sz w:val="24"/>
          <w:szCs w:val="24"/>
        </w:rPr>
        <w:t>：</w:t>
      </w:r>
    </w:p>
    <w:p w14:paraId="1B897C21">
      <w:pPr>
        <w:widowControl/>
        <w:spacing w:line="288" w:lineRule="auto"/>
        <w:ind w:firstLine="480" w:firstLineChars="200"/>
        <w:jc w:val="left"/>
        <w:rPr>
          <w:rFonts w:asciiTheme="minorEastAsia" w:hAnsiTheme="minorEastAsia"/>
          <w:sz w:val="24"/>
          <w:szCs w:val="24"/>
        </w:rPr>
      </w:pPr>
      <w:r>
        <w:rPr>
          <w:rFonts w:hint="eastAsia" w:cs="宋体" w:asciiTheme="minorEastAsia" w:hAnsiTheme="minorEastAsia"/>
          <w:kern w:val="0"/>
          <w:sz w:val="24"/>
          <w:szCs w:val="24"/>
        </w:rPr>
        <w:t>1.甲方与乙方于</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2024  </w:t>
      </w:r>
      <w:r>
        <w:rPr>
          <w:rFonts w:hint="eastAsia" w:cs="宋体" w:asciiTheme="minorEastAsia" w:hAnsiTheme="minorEastAsia"/>
          <w:kern w:val="0"/>
          <w:sz w:val="24"/>
          <w:szCs w:val="24"/>
        </w:rPr>
        <w:t>年签订了长春市</w:t>
      </w:r>
      <w:r>
        <w:rPr>
          <w:rFonts w:hint="eastAsia"/>
          <w:sz w:val="24"/>
          <w:szCs w:val="24"/>
        </w:rPr>
        <w:t>汽车产业开发区自主大路1951号</w:t>
      </w:r>
      <w:r>
        <w:rPr>
          <w:rFonts w:hint="eastAsia" w:cs="宋体" w:asciiTheme="minorEastAsia" w:hAnsiTheme="minorEastAsia"/>
          <w:kern w:val="0"/>
          <w:sz w:val="24"/>
          <w:szCs w:val="24"/>
        </w:rPr>
        <w:t>普洛斯长春汽开产业园（以下简称“</w:t>
      </w:r>
      <w:r>
        <w:rPr>
          <w:rFonts w:hint="eastAsia" w:cs="宋体" w:asciiTheme="minorEastAsia" w:hAnsiTheme="minorEastAsia"/>
          <w:b/>
          <w:kern w:val="0"/>
          <w:sz w:val="24"/>
          <w:szCs w:val="24"/>
        </w:rPr>
        <w:t>物业</w:t>
      </w:r>
      <w:r>
        <w:rPr>
          <w:rFonts w:hint="eastAsia" w:cs="宋体" w:asciiTheme="minorEastAsia" w:hAnsiTheme="minorEastAsia"/>
          <w:kern w:val="0"/>
          <w:sz w:val="24"/>
          <w:szCs w:val="24"/>
        </w:rPr>
        <w:t>”）的《房屋租赁合同》（以下简称“</w:t>
      </w:r>
      <w:r>
        <w:rPr>
          <w:rFonts w:hint="eastAsia" w:cs="宋体" w:asciiTheme="minorEastAsia" w:hAnsiTheme="minorEastAsia"/>
          <w:b/>
          <w:kern w:val="0"/>
          <w:sz w:val="24"/>
          <w:szCs w:val="24"/>
        </w:rPr>
        <w:t>主合同</w:t>
      </w:r>
      <w:r>
        <w:rPr>
          <w:rFonts w:hint="eastAsia" w:cs="宋体" w:asciiTheme="minorEastAsia" w:hAnsiTheme="minorEastAsia"/>
          <w:kern w:val="0"/>
          <w:sz w:val="24"/>
          <w:szCs w:val="24"/>
        </w:rPr>
        <w:t xml:space="preserve">”）。 </w:t>
      </w:r>
    </w:p>
    <w:p w14:paraId="3633E6C0">
      <w:pPr>
        <w:widowControl/>
        <w:spacing w:line="288" w:lineRule="auto"/>
        <w:ind w:firstLine="480" w:firstLineChars="200"/>
        <w:jc w:val="left"/>
        <w:rPr>
          <w:rFonts w:asciiTheme="minorEastAsia" w:hAnsiTheme="minorEastAsia"/>
          <w:sz w:val="24"/>
          <w:szCs w:val="24"/>
        </w:rPr>
      </w:pPr>
      <w:r>
        <w:rPr>
          <w:rFonts w:hint="eastAsia" w:cs="宋体" w:asciiTheme="minorEastAsia" w:hAnsiTheme="minorEastAsia"/>
          <w:kern w:val="0"/>
          <w:sz w:val="24"/>
          <w:szCs w:val="24"/>
        </w:rPr>
        <w:t>2.乙方希望甲方在租赁期限内为其提供供热服务。</w:t>
      </w:r>
    </w:p>
    <w:p w14:paraId="53976A17">
      <w:pPr>
        <w:widowControl/>
        <w:spacing w:line="288" w:lineRule="auto"/>
        <w:jc w:val="left"/>
        <w:rPr>
          <w:rFonts w:asciiTheme="minorEastAsia" w:hAnsiTheme="minorEastAsia"/>
          <w:sz w:val="24"/>
          <w:szCs w:val="24"/>
        </w:rPr>
      </w:pPr>
      <w:r>
        <w:rPr>
          <w:rFonts w:hint="eastAsia" w:cs="宋体" w:asciiTheme="minorEastAsia" w:hAnsiTheme="minorEastAsia"/>
          <w:kern w:val="0"/>
          <w:sz w:val="24"/>
          <w:szCs w:val="24"/>
        </w:rPr>
        <w:t>双方经友好协商,</w:t>
      </w:r>
      <w:r>
        <w:rPr>
          <w:rFonts w:hint="eastAsia" w:asciiTheme="minorEastAsia" w:hAnsiTheme="minorEastAsia"/>
          <w:sz w:val="24"/>
          <w:szCs w:val="24"/>
        </w:rPr>
        <w:t>现就甲方在租赁期限内20</w:t>
      </w:r>
      <w:r>
        <w:rPr>
          <w:rFonts w:asciiTheme="minorEastAsia" w:hAnsiTheme="minorEastAsia"/>
          <w:sz w:val="24"/>
          <w:szCs w:val="24"/>
        </w:rPr>
        <w:t>24</w:t>
      </w:r>
      <w:r>
        <w:rPr>
          <w:rFonts w:hint="eastAsia" w:asciiTheme="minorEastAsia" w:hAnsiTheme="minorEastAsia"/>
          <w:sz w:val="24"/>
          <w:szCs w:val="24"/>
        </w:rPr>
        <w:t>年采暖期为乙方提供供暖服务事宜达成如下协议作为主合同的从合同。</w:t>
      </w:r>
    </w:p>
    <w:p w14:paraId="101A187A">
      <w:pPr>
        <w:widowControl/>
        <w:wordWrap w:val="0"/>
        <w:spacing w:line="288" w:lineRule="auto"/>
        <w:ind w:firstLine="465"/>
        <w:jc w:val="left"/>
        <w:rPr>
          <w:rFonts w:cs="宋体" w:asciiTheme="minorEastAsia" w:hAnsiTheme="minorEastAsia"/>
          <w:kern w:val="0"/>
          <w:sz w:val="24"/>
          <w:szCs w:val="24"/>
        </w:rPr>
      </w:pPr>
    </w:p>
    <w:p w14:paraId="44A17CE7">
      <w:pPr>
        <w:widowControl/>
        <w:wordWrap w:val="0"/>
        <w:spacing w:line="288" w:lineRule="auto"/>
        <w:ind w:firstLine="465"/>
        <w:jc w:val="left"/>
        <w:rPr>
          <w:rFonts w:cs="宋体" w:asciiTheme="minorEastAsia" w:hAnsiTheme="minorEastAsia"/>
          <w:b/>
          <w:kern w:val="0"/>
          <w:sz w:val="24"/>
          <w:szCs w:val="24"/>
        </w:rPr>
      </w:pPr>
      <w:r>
        <w:rPr>
          <w:rFonts w:hint="eastAsia" w:cs="宋体" w:asciiTheme="minorEastAsia" w:hAnsiTheme="minorEastAsia"/>
          <w:b/>
          <w:kern w:val="0"/>
          <w:sz w:val="24"/>
          <w:szCs w:val="24"/>
        </w:rPr>
        <w:t>第一条　供热地点、面积、费用</w:t>
      </w:r>
    </w:p>
    <w:p w14:paraId="6060DA7B">
      <w:pPr>
        <w:pStyle w:val="6"/>
        <w:widowControl/>
        <w:wordWrap w:val="0"/>
        <w:spacing w:line="288" w:lineRule="auto"/>
        <w:ind w:firstLineChars="0"/>
        <w:jc w:val="left"/>
        <w:rPr>
          <w:rFonts w:cs="宋体" w:asciiTheme="minorEastAsia" w:hAnsiTheme="minorEastAsia" w:eastAsiaTheme="minorEastAsia"/>
          <w:color w:val="2D4B7D"/>
          <w:kern w:val="0"/>
          <w:sz w:val="24"/>
          <w:szCs w:val="24"/>
        </w:rPr>
      </w:pPr>
      <w:r>
        <w:rPr>
          <w:rFonts w:hint="eastAsia" w:cs="宋体" w:asciiTheme="minorEastAsia" w:hAnsiTheme="minorEastAsia" w:eastAsiaTheme="minorEastAsia"/>
          <w:kern w:val="0"/>
          <w:sz w:val="24"/>
          <w:szCs w:val="24"/>
        </w:rPr>
        <w:t>1.供热地点：乙方所承租的位于长春市</w:t>
      </w:r>
      <w:r>
        <w:rPr>
          <w:rFonts w:hint="eastAsia"/>
          <w:sz w:val="24"/>
          <w:szCs w:val="24"/>
        </w:rPr>
        <w:t>汽车产业开发区自主大路1951号</w:t>
      </w:r>
      <w:r>
        <w:rPr>
          <w:rFonts w:hint="eastAsia" w:cs="宋体" w:asciiTheme="minorEastAsia" w:hAnsiTheme="minorEastAsia" w:eastAsiaTheme="minorEastAsia"/>
          <w:kern w:val="0"/>
          <w:sz w:val="24"/>
          <w:szCs w:val="24"/>
        </w:rPr>
        <w:t>甲方物流园所在的物业。</w:t>
      </w:r>
    </w:p>
    <w:p w14:paraId="5C3B5CE9">
      <w:pPr>
        <w:widowControl/>
        <w:ind w:firstLine="360" w:firstLineChars="150"/>
        <w:jc w:val="left"/>
        <w:rPr>
          <w:rFonts w:cs="宋体" w:asciiTheme="minorEastAsia" w:hAnsiTheme="minorEastAsia"/>
          <w:color w:val="000000"/>
          <w:kern w:val="0"/>
          <w:sz w:val="24"/>
          <w:szCs w:val="24"/>
        </w:rPr>
      </w:pPr>
      <w:r>
        <w:rPr>
          <w:rFonts w:hint="eastAsia" w:cs="宋体" w:asciiTheme="minorEastAsia" w:hAnsiTheme="minorEastAsia"/>
          <w:kern w:val="0"/>
          <w:sz w:val="24"/>
          <w:szCs w:val="24"/>
        </w:rPr>
        <w:t>2.供热范围：</w:t>
      </w:r>
      <w:bookmarkStart w:id="1" w:name="2"/>
      <w:bookmarkEnd w:id="1"/>
      <w:r>
        <w:rPr>
          <w:rFonts w:hint="eastAsia" w:cs="宋体" w:asciiTheme="minorEastAsia" w:hAnsiTheme="minorEastAsia"/>
          <w:kern w:val="0"/>
          <w:sz w:val="24"/>
          <w:szCs w:val="24"/>
        </w:rPr>
        <w:t>采暖收费面积共计为</w:t>
      </w:r>
      <w:r>
        <w:rPr>
          <w:rFonts w:cs="宋体" w:asciiTheme="minorEastAsia" w:hAnsiTheme="minorEastAsia"/>
          <w:kern w:val="0"/>
          <w:sz w:val="24"/>
          <w:szCs w:val="24"/>
        </w:rPr>
        <w:t>4667.0</w:t>
      </w:r>
      <w:r>
        <w:rPr>
          <w:rFonts w:hint="eastAsia" w:cs="宋体" w:asciiTheme="minorEastAsia" w:hAnsiTheme="minorEastAsia"/>
          <w:kern w:val="0"/>
          <w:sz w:val="24"/>
          <w:szCs w:val="24"/>
        </w:rPr>
        <w:t>0平方米。具体包括</w:t>
      </w:r>
    </w:p>
    <w:p w14:paraId="3F2351CD">
      <w:pPr>
        <w:numPr>
          <w:ilvl w:val="0"/>
          <w:numId w:val="1"/>
        </w:numPr>
        <w:spacing w:line="288" w:lineRule="auto"/>
        <w:ind w:firstLine="600" w:firstLineChars="250"/>
        <w:rPr>
          <w:rFonts w:cs="宋体" w:asciiTheme="minorEastAsia" w:hAnsiTheme="minorEastAsia"/>
          <w:kern w:val="0"/>
          <w:sz w:val="24"/>
          <w:szCs w:val="24"/>
        </w:rPr>
      </w:pPr>
      <w:r>
        <w:rPr>
          <w:rFonts w:hint="eastAsia" w:cs="宋体" w:asciiTheme="minorEastAsia" w:hAnsiTheme="minorEastAsia"/>
          <w:kern w:val="0"/>
          <w:sz w:val="24"/>
          <w:szCs w:val="24"/>
        </w:rPr>
        <w:t>库区面积：</w:t>
      </w:r>
    </w:p>
    <w:p w14:paraId="4FFCFA94">
      <w:pPr>
        <w:spacing w:line="288"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1</w:t>
      </w:r>
      <w:r>
        <w:rPr>
          <w:rFonts w:hint="eastAsia" w:cs="宋体" w:asciiTheme="minorEastAsia" w:hAnsiTheme="minorEastAsia"/>
          <w:kern w:val="0"/>
          <w:sz w:val="24"/>
          <w:szCs w:val="24"/>
        </w:rPr>
        <w:t>号库区采暖面积为</w:t>
      </w:r>
      <w:r>
        <w:rPr>
          <w:rFonts w:cs="宋体" w:asciiTheme="minorEastAsia" w:hAnsiTheme="minorEastAsia"/>
          <w:kern w:val="0"/>
          <w:sz w:val="24"/>
          <w:szCs w:val="24"/>
        </w:rPr>
        <w:t>4405.00</w:t>
      </w:r>
      <w:r>
        <w:rPr>
          <w:rFonts w:hint="eastAsia" w:cs="宋体" w:asciiTheme="minorEastAsia" w:hAnsiTheme="minorEastAsia"/>
          <w:kern w:val="0"/>
          <w:sz w:val="24"/>
          <w:szCs w:val="24"/>
        </w:rPr>
        <w:t>平方米；</w:t>
      </w:r>
    </w:p>
    <w:p w14:paraId="229086DD">
      <w:pPr>
        <w:spacing w:line="288"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1</w:t>
      </w:r>
      <w:r>
        <w:rPr>
          <w:rFonts w:hint="eastAsia" w:cs="宋体" w:asciiTheme="minorEastAsia" w:hAnsiTheme="minorEastAsia"/>
          <w:kern w:val="0"/>
          <w:sz w:val="24"/>
          <w:szCs w:val="24"/>
        </w:rPr>
        <w:t>号库办公区采暖面积为</w:t>
      </w:r>
      <w:r>
        <w:rPr>
          <w:rFonts w:cs="宋体" w:asciiTheme="minorEastAsia" w:hAnsiTheme="minorEastAsia"/>
          <w:kern w:val="0"/>
          <w:sz w:val="24"/>
          <w:szCs w:val="24"/>
        </w:rPr>
        <w:t>262.00</w:t>
      </w:r>
      <w:r>
        <w:rPr>
          <w:rFonts w:hint="eastAsia" w:cs="宋体" w:asciiTheme="minorEastAsia" w:hAnsiTheme="minorEastAsia"/>
          <w:kern w:val="0"/>
          <w:sz w:val="24"/>
          <w:szCs w:val="24"/>
        </w:rPr>
        <w:t>平方米；</w:t>
      </w:r>
    </w:p>
    <w:p w14:paraId="7D00C5AF">
      <w:pPr>
        <w:pStyle w:val="6"/>
        <w:widowControl/>
        <w:spacing w:line="288" w:lineRule="auto"/>
        <w:ind w:firstLine="360" w:firstLineChars="150"/>
        <w:jc w:val="left"/>
        <w:rPr>
          <w:rFonts w:cs="宋体" w:asciiTheme="minorEastAsia" w:hAnsiTheme="minorEastAsia" w:eastAsiaTheme="minorEastAsia"/>
          <w:kern w:val="0"/>
          <w:sz w:val="24"/>
          <w:szCs w:val="24"/>
        </w:rPr>
      </w:pPr>
    </w:p>
    <w:p w14:paraId="1D3FF4F8">
      <w:pPr>
        <w:pStyle w:val="6"/>
        <w:widowControl/>
        <w:spacing w:line="288" w:lineRule="auto"/>
        <w:ind w:firstLine="360" w:firstLineChars="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.供暖费用：</w:t>
      </w:r>
    </w:p>
    <w:p w14:paraId="20A0C559">
      <w:pPr>
        <w:pStyle w:val="6"/>
        <w:widowControl/>
        <w:spacing w:line="288" w:lineRule="auto"/>
        <w:ind w:left="735" w:leftChars="350"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(1)计费原则:根据市政供暖单位的统一要求, 采暖用热按照房屋建筑面积缴纳热费。</w:t>
      </w:r>
    </w:p>
    <w:p w14:paraId="15BB94A6">
      <w:pPr>
        <w:pStyle w:val="6"/>
        <w:widowControl/>
        <w:spacing w:line="288" w:lineRule="auto"/>
        <w:ind w:left="735" w:leftChars="350"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(2)采暖期20</w:t>
      </w:r>
      <w:r>
        <w:rPr>
          <w:rFonts w:cs="宋体" w:asciiTheme="minorEastAsia" w:hAnsiTheme="minorEastAsia" w:eastAsiaTheme="minorEastAsia"/>
          <w:kern w:val="0"/>
          <w:sz w:val="24"/>
          <w:szCs w:val="24"/>
        </w:rPr>
        <w:t>24</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rPr>
        <w:t>12</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07</w:t>
      </w:r>
      <w:r>
        <w:rPr>
          <w:rFonts w:hint="eastAsia" w:cs="宋体" w:asciiTheme="minorEastAsia" w:hAnsiTheme="minorEastAsia" w:eastAsiaTheme="minorEastAsia"/>
          <w:kern w:val="0"/>
          <w:sz w:val="24"/>
          <w:szCs w:val="24"/>
        </w:rPr>
        <w:t>日-20</w:t>
      </w: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5年4月6日供暖费用:</w:t>
      </w:r>
    </w:p>
    <w:p w14:paraId="31DFD368">
      <w:pPr>
        <w:pStyle w:val="6"/>
        <w:widowControl/>
        <w:spacing w:line="288" w:lineRule="auto"/>
        <w:ind w:left="735" w:leftChars="350" w:firstLine="0" w:firstLineChars="0"/>
        <w:jc w:val="left"/>
        <w:rPr>
          <w:rFonts w:cs="宋体" w:asciiTheme="minorEastAsia" w:hAnsiTheme="minorEastAsia"/>
          <w:kern w:val="0"/>
          <w:sz w:val="24"/>
          <w:szCs w:val="24"/>
          <w:highlight w:val="green"/>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)供暖价格:</w:t>
      </w:r>
      <w:r>
        <w:rPr>
          <w:rFonts w:hint="eastAsia" w:ascii="宋体" w:hAnsi="宋体"/>
          <w:sz w:val="24"/>
        </w:rPr>
        <w:t xml:space="preserve"> 库区单价</w:t>
      </w:r>
      <w:r>
        <w:rPr>
          <w:rFonts w:ascii="宋体" w:hAnsi="宋体"/>
          <w:sz w:val="24"/>
        </w:rPr>
        <w:t xml:space="preserve"> 50 元</w:t>
      </w:r>
      <w:r>
        <w:rPr>
          <w:rFonts w:hint="eastAsia" w:ascii="宋体" w:hAnsi="宋体"/>
          <w:sz w:val="24"/>
        </w:rPr>
        <w:t>/㎡，办公区单价</w:t>
      </w:r>
      <w:r>
        <w:rPr>
          <w:rFonts w:ascii="宋体" w:hAnsi="宋体"/>
          <w:sz w:val="24"/>
        </w:rPr>
        <w:t xml:space="preserve"> 36 元</w:t>
      </w:r>
      <w:r>
        <w:rPr>
          <w:rFonts w:hint="eastAsia" w:ascii="宋体" w:hAnsi="宋体"/>
          <w:sz w:val="24"/>
        </w:rPr>
        <w:t>/平米（含税金）</w:t>
      </w:r>
    </w:p>
    <w:tbl>
      <w:tblPr>
        <w:tblStyle w:val="4"/>
        <w:tblW w:w="8545" w:type="dxa"/>
        <w:tblInd w:w="635" w:type="dxa"/>
        <w:tblLayout w:type="autofit"/>
        <w:tblCellMar>
          <w:top w:w="0" w:type="dxa"/>
          <w:left w:w="108" w:type="dxa"/>
          <w:bottom w:w="0" w:type="dxa"/>
          <w:right w:w="108" w:type="dxa"/>
        </w:tblCellMar>
      </w:tblPr>
      <w:tblGrid>
        <w:gridCol w:w="709"/>
        <w:gridCol w:w="1418"/>
        <w:gridCol w:w="766"/>
        <w:gridCol w:w="1134"/>
        <w:gridCol w:w="1134"/>
        <w:gridCol w:w="850"/>
        <w:gridCol w:w="766"/>
        <w:gridCol w:w="1768"/>
      </w:tblGrid>
      <w:tr w14:paraId="5B600375">
        <w:tblPrEx>
          <w:tblCellMar>
            <w:top w:w="0" w:type="dxa"/>
            <w:left w:w="108" w:type="dxa"/>
            <w:bottom w:w="0" w:type="dxa"/>
            <w:right w:w="108" w:type="dxa"/>
          </w:tblCellMar>
        </w:tblPrEx>
        <w:trPr>
          <w:trHeight w:val="24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A930A">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序号</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769981C">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功能分区</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150FA12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层数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29C2817">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建筑面积</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002452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供暖面积</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62CBF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层高</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7A4E026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单价</w:t>
            </w:r>
          </w:p>
        </w:tc>
        <w:tc>
          <w:tcPr>
            <w:tcW w:w="1768" w:type="dxa"/>
            <w:tcBorders>
              <w:top w:val="single" w:color="auto" w:sz="4" w:space="0"/>
              <w:left w:val="nil"/>
              <w:bottom w:val="single" w:color="auto" w:sz="4" w:space="0"/>
              <w:right w:val="single" w:color="auto" w:sz="4" w:space="0"/>
            </w:tcBorders>
            <w:shd w:val="clear" w:color="auto" w:fill="auto"/>
            <w:noWrap/>
            <w:vAlign w:val="center"/>
          </w:tcPr>
          <w:p w14:paraId="44445AA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合计</w:t>
            </w:r>
          </w:p>
        </w:tc>
      </w:tr>
      <w:tr w14:paraId="58DAFA04">
        <w:tblPrEx>
          <w:tblCellMar>
            <w:top w:w="0" w:type="dxa"/>
            <w:left w:w="108" w:type="dxa"/>
            <w:bottom w:w="0" w:type="dxa"/>
            <w:right w:w="108" w:type="dxa"/>
          </w:tblCellMar>
        </w:tblPrEx>
        <w:trPr>
          <w:trHeight w:val="24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51D50">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53094">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A</w:t>
            </w:r>
            <w:r>
              <w:rPr>
                <w:rFonts w:ascii="宋体" w:hAnsi="宋体" w:eastAsia="宋体" w:cs="宋体"/>
                <w:color w:val="000000"/>
                <w:kern w:val="0"/>
                <w:sz w:val="22"/>
                <w:highlight w:val="none"/>
              </w:rPr>
              <w:t>1</w:t>
            </w:r>
            <w:r>
              <w:rPr>
                <w:rFonts w:hint="eastAsia" w:ascii="宋体" w:hAnsi="宋体" w:eastAsia="宋体" w:cs="宋体"/>
                <w:color w:val="000000"/>
                <w:kern w:val="0"/>
                <w:sz w:val="22"/>
                <w:highlight w:val="none"/>
              </w:rPr>
              <w:t>号库</w:t>
            </w:r>
          </w:p>
        </w:tc>
        <w:tc>
          <w:tcPr>
            <w:tcW w:w="766"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5332541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784D610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4405</w:t>
            </w:r>
          </w:p>
        </w:tc>
        <w:tc>
          <w:tcPr>
            <w:tcW w:w="1134"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2855A57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4405</w:t>
            </w:r>
          </w:p>
        </w:tc>
        <w:tc>
          <w:tcPr>
            <w:tcW w:w="850"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6BCF30AC">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9.00</w:t>
            </w:r>
          </w:p>
        </w:tc>
        <w:tc>
          <w:tcPr>
            <w:tcW w:w="766"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2766FF8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50.00 </w:t>
            </w:r>
          </w:p>
        </w:tc>
        <w:tc>
          <w:tcPr>
            <w:tcW w:w="1768"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45F5962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157693.25</w:t>
            </w:r>
          </w:p>
        </w:tc>
      </w:tr>
      <w:tr w14:paraId="3E234EDE">
        <w:tblPrEx>
          <w:tblCellMar>
            <w:top w:w="0" w:type="dxa"/>
            <w:left w:w="108" w:type="dxa"/>
            <w:bottom w:w="0" w:type="dxa"/>
            <w:right w:w="108" w:type="dxa"/>
          </w:tblCellMar>
        </w:tblPrEx>
        <w:trPr>
          <w:trHeight w:val="24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6592D">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EB7CA">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库区办公室</w:t>
            </w:r>
          </w:p>
        </w:tc>
        <w:tc>
          <w:tcPr>
            <w:tcW w:w="766"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6E40A8B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1134"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4901883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262</w:t>
            </w:r>
          </w:p>
        </w:tc>
        <w:tc>
          <w:tcPr>
            <w:tcW w:w="1134"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7272A02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262</w:t>
            </w:r>
          </w:p>
        </w:tc>
        <w:tc>
          <w:tcPr>
            <w:tcW w:w="850"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75A3557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4.20</w:t>
            </w:r>
          </w:p>
        </w:tc>
        <w:tc>
          <w:tcPr>
            <w:tcW w:w="766"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45B9019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36.00</w:t>
            </w:r>
          </w:p>
        </w:tc>
        <w:tc>
          <w:tcPr>
            <w:tcW w:w="1768"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539DB0C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6753.01</w:t>
            </w:r>
          </w:p>
        </w:tc>
      </w:tr>
      <w:tr w14:paraId="384D98D8">
        <w:tblPrEx>
          <w:tblCellMar>
            <w:top w:w="0" w:type="dxa"/>
            <w:left w:w="108" w:type="dxa"/>
            <w:bottom w:w="0" w:type="dxa"/>
            <w:right w:w="108" w:type="dxa"/>
          </w:tblCellMar>
        </w:tblPrEx>
        <w:trPr>
          <w:trHeight w:val="246" w:hRule="atLeast"/>
        </w:trPr>
        <w:tc>
          <w:tcPr>
            <w:tcW w:w="6777" w:type="dxa"/>
            <w:gridSpan w:val="7"/>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283AACC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合计</w:t>
            </w:r>
          </w:p>
        </w:tc>
        <w:tc>
          <w:tcPr>
            <w:tcW w:w="1768" w:type="dxa"/>
            <w:tcBorders>
              <w:top w:val="single" w:color="auto" w:sz="4" w:space="0"/>
              <w:left w:val="single" w:color="auto" w:sz="4" w:space="0"/>
              <w:bottom w:val="single" w:color="auto" w:sz="4" w:space="0"/>
              <w:right w:val="single" w:color="auto" w:sz="4" w:space="0"/>
            </w:tcBorders>
            <w:shd w:val="clear" w:color="FFFFFF" w:themeColor="background1" w:fill="auto"/>
            <w:noWrap/>
            <w:vAlign w:val="center"/>
          </w:tcPr>
          <w:p w14:paraId="2B77017C">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164446.26</w:t>
            </w:r>
          </w:p>
        </w:tc>
      </w:tr>
    </w:tbl>
    <w:p w14:paraId="62BE9CB1">
      <w:pPr>
        <w:pStyle w:val="6"/>
        <w:widowControl/>
        <w:spacing w:line="288" w:lineRule="auto"/>
        <w:ind w:left="735" w:leftChars="350" w:firstLine="0" w:firstLineChars="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计算公式：</w:t>
      </w:r>
    </w:p>
    <w:p w14:paraId="05017B76">
      <w:pPr>
        <w:pStyle w:val="6"/>
        <w:widowControl/>
        <w:spacing w:line="288" w:lineRule="auto"/>
        <w:ind w:left="735" w:leftChars="350"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highlight w:val="none"/>
        </w:rPr>
        <w:t>供暖季总费用2</w:t>
      </w:r>
      <w:r>
        <w:rPr>
          <w:rFonts w:cs="宋体" w:asciiTheme="minorEastAsia" w:hAnsiTheme="minorEastAsia" w:eastAsiaTheme="minorEastAsia"/>
          <w:kern w:val="0"/>
          <w:sz w:val="24"/>
          <w:szCs w:val="24"/>
          <w:highlight w:val="none"/>
        </w:rPr>
        <w:t>29682</w:t>
      </w:r>
      <w:r>
        <w:rPr>
          <w:rFonts w:hint="eastAsia" w:cs="宋体" w:asciiTheme="minorEastAsia" w:hAnsiTheme="minorEastAsia" w:eastAsiaTheme="minorEastAsia"/>
          <w:kern w:val="0"/>
          <w:sz w:val="24"/>
          <w:szCs w:val="24"/>
          <w:highlight w:val="none"/>
        </w:rPr>
        <w:t>元/供暖季1</w:t>
      </w:r>
      <w:r>
        <w:rPr>
          <w:rFonts w:cs="宋体" w:asciiTheme="minorEastAsia" w:hAnsiTheme="minorEastAsia" w:eastAsiaTheme="minorEastAsia"/>
          <w:kern w:val="0"/>
          <w:sz w:val="24"/>
          <w:szCs w:val="24"/>
          <w:highlight w:val="none"/>
        </w:rPr>
        <w:t>69</w:t>
      </w:r>
      <w:r>
        <w:rPr>
          <w:rFonts w:hint="eastAsia" w:cs="宋体" w:asciiTheme="minorEastAsia" w:hAnsiTheme="minorEastAsia" w:eastAsiaTheme="minorEastAsia"/>
          <w:kern w:val="0"/>
          <w:sz w:val="24"/>
          <w:szCs w:val="24"/>
          <w:highlight w:val="none"/>
        </w:rPr>
        <w:t>天</w:t>
      </w:r>
      <w:r>
        <w:rPr>
          <w:rFonts w:cs="宋体" w:asciiTheme="minorEastAsia" w:hAnsiTheme="minorEastAsia" w:eastAsiaTheme="minorEastAsia"/>
          <w:kern w:val="0"/>
          <w:sz w:val="24"/>
          <w:szCs w:val="24"/>
          <w:highlight w:val="none"/>
        </w:rPr>
        <w:t>*</w:t>
      </w:r>
      <w:r>
        <w:rPr>
          <w:rFonts w:hint="eastAsia" w:cs="宋体" w:asciiTheme="minorEastAsia" w:hAnsiTheme="minorEastAsia" w:eastAsiaTheme="minorEastAsia"/>
          <w:kern w:val="0"/>
          <w:sz w:val="24"/>
          <w:szCs w:val="24"/>
          <w:highlight w:val="none"/>
        </w:rPr>
        <w:t>客户实际供暖天数1</w:t>
      </w:r>
      <w:r>
        <w:rPr>
          <w:rFonts w:cs="宋体" w:asciiTheme="minorEastAsia" w:hAnsiTheme="minorEastAsia" w:eastAsiaTheme="minorEastAsia"/>
          <w:kern w:val="0"/>
          <w:sz w:val="24"/>
          <w:szCs w:val="24"/>
          <w:highlight w:val="none"/>
        </w:rPr>
        <w:t>21</w:t>
      </w:r>
      <w:r>
        <w:rPr>
          <w:rFonts w:hint="eastAsia" w:cs="宋体" w:asciiTheme="minorEastAsia" w:hAnsiTheme="minorEastAsia" w:eastAsiaTheme="minorEastAsia"/>
          <w:kern w:val="0"/>
          <w:sz w:val="24"/>
          <w:szCs w:val="24"/>
          <w:highlight w:val="none"/>
        </w:rPr>
        <w:t>天=</w:t>
      </w:r>
      <w:r>
        <w:rPr>
          <w:rFonts w:cs="宋体" w:asciiTheme="minorEastAsia" w:hAnsiTheme="minorEastAsia" w:eastAsiaTheme="minorEastAsia"/>
          <w:kern w:val="0"/>
          <w:sz w:val="24"/>
          <w:szCs w:val="24"/>
          <w:highlight w:val="none"/>
        </w:rPr>
        <w:t>164446.26</w:t>
      </w:r>
      <w:r>
        <w:rPr>
          <w:rFonts w:hint="eastAsia" w:cs="宋体" w:asciiTheme="minorEastAsia" w:hAnsiTheme="minorEastAsia" w:eastAsiaTheme="minorEastAsia"/>
          <w:kern w:val="0"/>
          <w:sz w:val="24"/>
          <w:szCs w:val="24"/>
          <w:highlight w:val="none"/>
        </w:rPr>
        <w:t>元</w:t>
      </w:r>
      <w:r>
        <w:fldChar w:fldCharType="begin"/>
      </w:r>
      <w:r>
        <w:instrText xml:space="preserve"> LINK Excel.Sheet.12</w:instrText>
      </w:r>
      <w:r>
        <w:rPr>
          <w:rFonts w:hint="eastAsia"/>
        </w:rPr>
        <w:instrText xml:space="preserve"> "D:\\1-Working folder (xymeng)\\1-cost（2017）\\5-供热费（2017-2018）\\21074\\客户采暖费核算表 (2017).xlsx" 最终版!R3C1:R5C9 </w:instrText>
      </w:r>
      <w:r>
        <w:instrText xml:space="preserve">\a \f 4 \h  \* MERGEFORMAT </w:instrText>
      </w:r>
      <w:r>
        <w:fldChar w:fldCharType="end"/>
      </w:r>
    </w:p>
    <w:p w14:paraId="10B6D2FE">
      <w:pPr>
        <w:pStyle w:val="6"/>
        <w:widowControl/>
        <w:spacing w:line="288" w:lineRule="auto"/>
        <w:ind w:left="525" w:leftChars="250" w:firstLine="240" w:firstLineChars="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即： 20</w:t>
      </w:r>
      <w:r>
        <w:rPr>
          <w:rFonts w:asciiTheme="minorEastAsia" w:hAnsiTheme="minorEastAsia" w:eastAsiaTheme="minorEastAsia"/>
          <w:sz w:val="24"/>
          <w:szCs w:val="24"/>
        </w:rPr>
        <w:t>24</w:t>
      </w:r>
      <w:r>
        <w:rPr>
          <w:rFonts w:hint="eastAsia" w:asciiTheme="minorEastAsia" w:hAnsiTheme="minorEastAsia" w:eastAsiaTheme="minorEastAsia"/>
          <w:sz w:val="24"/>
          <w:szCs w:val="24"/>
        </w:rPr>
        <w:t>年度采暖期,供暖费用总计为人民币</w:t>
      </w:r>
      <w:r>
        <w:rPr>
          <w:rFonts w:cs="宋体" w:asciiTheme="minorEastAsia" w:hAnsiTheme="minorEastAsia" w:eastAsiaTheme="minorEastAsia"/>
          <w:color w:val="000000"/>
          <w:kern w:val="0"/>
          <w:sz w:val="24"/>
          <w:szCs w:val="24"/>
          <w:u w:val="single"/>
        </w:rPr>
        <w:t xml:space="preserve">  164446.26  </w:t>
      </w:r>
      <w:r>
        <w:rPr>
          <w:rFonts w:hint="eastAsia" w:asciiTheme="minorEastAsia" w:hAnsiTheme="minorEastAsia" w:eastAsiaTheme="minorEastAsia"/>
          <w:sz w:val="24"/>
          <w:szCs w:val="24"/>
        </w:rPr>
        <w:t>元（大写：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壹拾陆万肆仟肆佰肆拾陆元贰角陆分</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A8E1ECC">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（3）在乙方收到甲方出具的收据及9%增值税发票后,在15个工作日内按照本条规定将当采暖季的采暖供热费用以电汇方式支付至甲方指定的银行账户。</w:t>
      </w:r>
    </w:p>
    <w:p w14:paraId="1A18D167">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（4）在供暖期内，如果出现市政燃气价格波动较大的情况，供暖单价随价格波动情况随时进行调整。</w:t>
      </w:r>
    </w:p>
    <w:p w14:paraId="08A0EA2F">
      <w:pPr>
        <w:pStyle w:val="6"/>
        <w:widowControl/>
        <w:spacing w:line="288" w:lineRule="auto"/>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4</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甲方指定的银行账户信息如下：</w:t>
      </w:r>
    </w:p>
    <w:p w14:paraId="1DAD853E">
      <w:pPr>
        <w:pStyle w:val="6"/>
        <w:widowControl/>
        <w:spacing w:line="288" w:lineRule="auto"/>
        <w:ind w:left="465" w:firstLine="0" w:firstLineChars="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账户名称：</w:t>
      </w:r>
      <w:r>
        <w:rPr>
          <w:rFonts w:hint="eastAsia" w:ascii="宋体" w:hAnsi="宋体"/>
          <w:bCs/>
          <w:sz w:val="24"/>
          <w:szCs w:val="24"/>
        </w:rPr>
        <w:t>长春普开仓储有限公司</w:t>
      </w:r>
    </w:p>
    <w:p w14:paraId="41CEA089">
      <w:pPr>
        <w:pStyle w:val="6"/>
        <w:widowControl/>
        <w:spacing w:line="288" w:lineRule="auto"/>
        <w:ind w:left="465"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 户 行：</w:t>
      </w:r>
      <w:r>
        <w:rPr>
          <w:rFonts w:hint="eastAsia" w:ascii="宋体" w:hAnsi="宋体"/>
          <w:sz w:val="24"/>
          <w:szCs w:val="24"/>
        </w:rPr>
        <w:t>招商银行股份有限公司上海分行营业部</w:t>
      </w:r>
    </w:p>
    <w:p w14:paraId="0BBB9FA2">
      <w:pPr>
        <w:pStyle w:val="6"/>
        <w:widowControl/>
        <w:spacing w:line="288" w:lineRule="auto"/>
        <w:ind w:left="465" w:firstLine="0" w:firstLineChars="0"/>
        <w:jc w:val="left"/>
        <w:rPr>
          <w:rFonts w:cs="宋体" w:asciiTheme="minorEastAsia" w:hAnsiTheme="minorEastAsia" w:eastAsiaTheme="minorEastAsia"/>
          <w:kern w:val="0"/>
          <w:sz w:val="24"/>
          <w:szCs w:val="24"/>
        </w:rPr>
      </w:pPr>
      <w:r>
        <w:rPr>
          <w:rFonts w:hint="eastAsia" w:cs="Arial" w:asciiTheme="minorEastAsia" w:hAnsiTheme="minorEastAsia" w:eastAsiaTheme="minorEastAsia"/>
          <w:sz w:val="24"/>
          <w:szCs w:val="24"/>
        </w:rPr>
        <w:t>账    号：</w:t>
      </w:r>
      <w:r>
        <w:rPr>
          <w:rFonts w:ascii="宋体" w:hAnsi="宋体" w:cs="Arial"/>
          <w:sz w:val="24"/>
          <w:szCs w:val="24"/>
        </w:rPr>
        <w:t>4319</w:t>
      </w:r>
      <w:r>
        <w:rPr>
          <w:rFonts w:hint="eastAsia" w:ascii="宋体" w:hAnsi="宋体" w:cs="Arial"/>
          <w:sz w:val="24"/>
          <w:szCs w:val="24"/>
        </w:rPr>
        <w:t>01787410802</w:t>
      </w:r>
    </w:p>
    <w:p w14:paraId="556384E7">
      <w:pPr>
        <w:widowControl/>
        <w:spacing w:line="288" w:lineRule="auto"/>
        <w:ind w:firstLine="465"/>
        <w:jc w:val="left"/>
        <w:rPr>
          <w:rFonts w:cs="宋体" w:asciiTheme="minorEastAsia" w:hAnsiTheme="minorEastAsia"/>
          <w:b/>
          <w:kern w:val="0"/>
          <w:sz w:val="24"/>
          <w:szCs w:val="24"/>
        </w:rPr>
      </w:pPr>
      <w:r>
        <w:rPr>
          <w:rFonts w:hint="eastAsia" w:cs="宋体" w:asciiTheme="minorEastAsia" w:hAnsiTheme="minorEastAsia"/>
          <w:b/>
          <w:kern w:val="0"/>
          <w:sz w:val="24"/>
          <w:szCs w:val="24"/>
        </w:rPr>
        <w:t>第二条　供热质量</w:t>
      </w:r>
    </w:p>
    <w:p w14:paraId="0CF8F8A4">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1.甲方保证在本协议供热期限内向乙方提供充足、24小时持续不间断、达标、安全、稳定的热能。</w:t>
      </w:r>
    </w:p>
    <w:p w14:paraId="6E1951DF">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2.一次网进水温度： 采暖期内</w:t>
      </w:r>
      <w:bookmarkStart w:id="2" w:name="OLE_LINK2"/>
      <w:bookmarkStart w:id="3" w:name="OLE_LINK1"/>
      <w:r>
        <w:rPr>
          <w:rFonts w:hint="eastAsia" w:cs="宋体" w:asciiTheme="minorEastAsia" w:hAnsiTheme="minorEastAsia" w:eastAsiaTheme="minorEastAsia"/>
          <w:kern w:val="0"/>
          <w:sz w:val="24"/>
          <w:szCs w:val="24"/>
        </w:rPr>
        <w:t>一次网进水温度达到</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0度到70度之间</w:t>
      </w:r>
      <w:bookmarkEnd w:id="2"/>
      <w:bookmarkEnd w:id="3"/>
      <w:r>
        <w:rPr>
          <w:rFonts w:hint="eastAsia" w:cs="宋体" w:asciiTheme="minorEastAsia" w:hAnsiTheme="minorEastAsia" w:eastAsiaTheme="minorEastAsia"/>
          <w:kern w:val="0"/>
          <w:sz w:val="24"/>
          <w:szCs w:val="24"/>
        </w:rPr>
        <w:t xml:space="preserve">； </w:t>
      </w:r>
    </w:p>
    <w:p w14:paraId="0F54BBD1">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3.双方安排人员或指定代表每天每间隔4小时对库房和办公区温度进行监测,如果温度低于上述第2款的标准（非库区门常开或未做保温棉门帘等人为原因）,甲方应</w:t>
      </w:r>
      <w:r>
        <w:rPr>
          <w:rFonts w:hint="eastAsia" w:asciiTheme="minorEastAsia" w:hAnsiTheme="minorEastAsia" w:eastAsiaTheme="minorEastAsia"/>
          <w:sz w:val="24"/>
          <w:szCs w:val="24"/>
        </w:rPr>
        <w:t>立即采取措施使供热温度达到约定标准（公用事业单位原因或不可抗力原因除外,但甲方应向乙方说明事故原因,并且就解决所有供热相关问题与公用事业单位沟通协调）。</w:t>
      </w:r>
    </w:p>
    <w:p w14:paraId="54A765A1">
      <w:pPr>
        <w:pStyle w:val="6"/>
        <w:widowControl/>
        <w:spacing w:line="288" w:lineRule="auto"/>
        <w:ind w:firstLineChars="0"/>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4.如发生上述第3款中约定的供暖不符合标准的情形,甲、乙双方应当时形成书面记录且经双方相关负责人签字确认,此书面记录一式两份由双方分别保存。</w:t>
      </w:r>
    </w:p>
    <w:p w14:paraId="77B04951">
      <w:pPr>
        <w:pStyle w:val="6"/>
        <w:widowControl/>
        <w:spacing w:line="288" w:lineRule="auto"/>
        <w:ind w:firstLineChars="0"/>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5.甲方在采暖期内应指定24小时有人值守的联系电话,如有供热异常或乙方经自测发现温度低于约定标准,甲方需于接到投诉后2小时之内到达现场处理。</w:t>
      </w:r>
    </w:p>
    <w:p w14:paraId="77E3517E">
      <w:pPr>
        <w:pStyle w:val="6"/>
        <w:widowControl/>
        <w:spacing w:line="288" w:lineRule="auto"/>
        <w:ind w:left="465" w:firstLine="0" w:firstLineChars="0"/>
        <w:jc w:val="left"/>
        <w:rPr>
          <w:rFonts w:cs="宋体" w:asciiTheme="minorEastAsia" w:hAnsiTheme="minorEastAsia" w:eastAsiaTheme="minorEastAsia"/>
          <w:kern w:val="0"/>
          <w:sz w:val="24"/>
          <w:szCs w:val="24"/>
        </w:rPr>
      </w:pPr>
    </w:p>
    <w:p w14:paraId="560FDA5C">
      <w:pPr>
        <w:widowControl/>
        <w:spacing w:line="288" w:lineRule="auto"/>
        <w:ind w:firstLine="465"/>
        <w:jc w:val="left"/>
        <w:rPr>
          <w:rFonts w:cs="宋体" w:asciiTheme="minorEastAsia" w:hAnsiTheme="minorEastAsia"/>
          <w:b/>
          <w:kern w:val="0"/>
          <w:sz w:val="24"/>
          <w:szCs w:val="24"/>
        </w:rPr>
      </w:pPr>
      <w:bookmarkStart w:id="4" w:name="3"/>
      <w:bookmarkEnd w:id="4"/>
      <w:r>
        <w:rPr>
          <w:rFonts w:hint="eastAsia" w:cs="宋体" w:asciiTheme="minorEastAsia" w:hAnsiTheme="minorEastAsia"/>
          <w:b/>
          <w:kern w:val="0"/>
          <w:sz w:val="24"/>
          <w:szCs w:val="24"/>
        </w:rPr>
        <w:t>第三条　采暖期</w:t>
      </w:r>
    </w:p>
    <w:p w14:paraId="3D34B6C6">
      <w:pPr>
        <w:pStyle w:val="6"/>
        <w:widowControl/>
        <w:spacing w:line="288" w:lineRule="auto"/>
        <w:ind w:left="465"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w:t>
      </w:r>
      <w:r>
        <w:rPr>
          <w:rFonts w:cs="宋体" w:asciiTheme="minorEastAsia" w:hAnsiTheme="minorEastAsia" w:eastAsiaTheme="minorEastAsia"/>
          <w:kern w:val="0"/>
          <w:sz w:val="24"/>
          <w:szCs w:val="24"/>
        </w:rPr>
        <w:t>24</w:t>
      </w:r>
      <w:r>
        <w:rPr>
          <w:rFonts w:hint="eastAsia" w:cs="宋体" w:asciiTheme="minorEastAsia" w:hAnsiTheme="minorEastAsia" w:eastAsiaTheme="minorEastAsia"/>
          <w:kern w:val="0"/>
          <w:sz w:val="24"/>
          <w:szCs w:val="24"/>
        </w:rPr>
        <w:t>年-20</w:t>
      </w:r>
      <w:r>
        <w:rPr>
          <w:rFonts w:cs="宋体" w:asciiTheme="minorEastAsia" w:hAnsiTheme="minorEastAsia" w:eastAsiaTheme="minorEastAsia"/>
          <w:kern w:val="0"/>
          <w:sz w:val="24"/>
          <w:szCs w:val="24"/>
        </w:rPr>
        <w:t>25</w:t>
      </w:r>
      <w:r>
        <w:rPr>
          <w:rFonts w:hint="eastAsia" w:cs="宋体" w:asciiTheme="minorEastAsia" w:hAnsiTheme="minorEastAsia" w:eastAsiaTheme="minorEastAsia"/>
          <w:kern w:val="0"/>
          <w:sz w:val="24"/>
          <w:szCs w:val="24"/>
        </w:rPr>
        <w:t>年采暖期为20</w:t>
      </w:r>
      <w:r>
        <w:rPr>
          <w:rFonts w:cs="宋体" w:asciiTheme="minorEastAsia" w:hAnsiTheme="minorEastAsia" w:eastAsiaTheme="minorEastAsia"/>
          <w:kern w:val="0"/>
          <w:sz w:val="24"/>
          <w:szCs w:val="24"/>
        </w:rPr>
        <w:t>24</w:t>
      </w:r>
      <w:r>
        <w:rPr>
          <w:rFonts w:hint="eastAsia" w:cs="宋体" w:asciiTheme="minorEastAsia" w:hAnsiTheme="minorEastAsia" w:eastAsiaTheme="minorEastAsia"/>
          <w:kern w:val="0"/>
          <w:sz w:val="24"/>
          <w:szCs w:val="24"/>
        </w:rPr>
        <w:t>年1</w:t>
      </w: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07</w:t>
      </w:r>
      <w:r>
        <w:rPr>
          <w:rFonts w:hint="eastAsia" w:cs="宋体" w:asciiTheme="minorEastAsia" w:hAnsiTheme="minorEastAsia" w:eastAsiaTheme="minorEastAsia"/>
          <w:kern w:val="0"/>
          <w:sz w:val="24"/>
          <w:szCs w:val="24"/>
        </w:rPr>
        <w:t>日到20</w:t>
      </w:r>
      <w:r>
        <w:rPr>
          <w:rFonts w:cs="宋体" w:asciiTheme="minorEastAsia" w:hAnsiTheme="minorEastAsia" w:eastAsiaTheme="minorEastAsia"/>
          <w:kern w:val="0"/>
          <w:sz w:val="24"/>
          <w:szCs w:val="24"/>
        </w:rPr>
        <w:t>25</w:t>
      </w:r>
      <w:r>
        <w:rPr>
          <w:rFonts w:hint="eastAsia" w:cs="宋体" w:asciiTheme="minorEastAsia" w:hAnsiTheme="minorEastAsia" w:eastAsiaTheme="minorEastAsia"/>
          <w:kern w:val="0"/>
          <w:sz w:val="24"/>
          <w:szCs w:val="24"/>
        </w:rPr>
        <w:t>年4月6日</w:t>
      </w:r>
      <w:bookmarkStart w:id="5" w:name="6"/>
      <w:bookmarkEnd w:id="5"/>
      <w:r>
        <w:rPr>
          <w:rFonts w:hint="eastAsia" w:cs="宋体" w:asciiTheme="minorEastAsia" w:hAnsiTheme="minorEastAsia" w:eastAsiaTheme="minorEastAsia"/>
          <w:kern w:val="0"/>
          <w:sz w:val="24"/>
          <w:szCs w:val="24"/>
        </w:rPr>
        <w:t>。</w:t>
      </w:r>
    </w:p>
    <w:p w14:paraId="2C6D2004">
      <w:pPr>
        <w:pStyle w:val="6"/>
        <w:widowControl/>
        <w:spacing w:line="288" w:lineRule="auto"/>
        <w:ind w:left="465" w:firstLine="0" w:firstLineChars="0"/>
        <w:jc w:val="left"/>
        <w:rPr>
          <w:rFonts w:cs="宋体" w:asciiTheme="minorEastAsia" w:hAnsiTheme="minorEastAsia" w:eastAsiaTheme="minorEastAsia"/>
          <w:kern w:val="0"/>
          <w:sz w:val="24"/>
          <w:szCs w:val="24"/>
        </w:rPr>
      </w:pPr>
    </w:p>
    <w:p w14:paraId="4A748A6E">
      <w:pPr>
        <w:widowControl/>
        <w:spacing w:line="288" w:lineRule="auto"/>
        <w:ind w:firstLine="465"/>
        <w:jc w:val="left"/>
        <w:rPr>
          <w:rFonts w:cs="宋体" w:asciiTheme="minorEastAsia" w:hAnsiTheme="minorEastAsia"/>
          <w:b/>
          <w:kern w:val="0"/>
          <w:sz w:val="24"/>
          <w:szCs w:val="24"/>
        </w:rPr>
      </w:pPr>
      <w:r>
        <w:rPr>
          <w:rFonts w:hint="eastAsia" w:cs="宋体" w:asciiTheme="minorEastAsia" w:hAnsiTheme="minorEastAsia"/>
          <w:b/>
          <w:kern w:val="0"/>
          <w:sz w:val="24"/>
          <w:szCs w:val="24"/>
        </w:rPr>
        <w:t>第四条　甲方责任</w:t>
      </w:r>
    </w:p>
    <w:p w14:paraId="0B624329">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1.甲方有义务按照本协议约定的及后续采暖季乙方所确认的面积和温度向乙方供热。</w:t>
      </w:r>
    </w:p>
    <w:p w14:paraId="5D98E5E1">
      <w:pPr>
        <w:pStyle w:val="6"/>
        <w:widowControl/>
        <w:spacing w:line="288" w:lineRule="auto"/>
        <w:ind w:firstLineChars="0"/>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2.因公用事业单位对供热设备及管网进行抢修或出现其他因公用事业单位导致甲方不能正常供热或者停止供热的情况,甲方应当在知晓前述事实后及时</w:t>
      </w:r>
      <w:r>
        <w:rPr>
          <w:rFonts w:hint="eastAsia" w:asciiTheme="minorEastAsia" w:hAnsiTheme="minorEastAsia" w:eastAsiaTheme="minorEastAsia"/>
          <w:sz w:val="24"/>
          <w:szCs w:val="24"/>
        </w:rPr>
        <w:t>书面</w:t>
      </w:r>
      <w:r>
        <w:rPr>
          <w:rFonts w:hint="eastAsia" w:cs="宋体" w:asciiTheme="minorEastAsia" w:hAnsiTheme="minorEastAsia" w:eastAsiaTheme="minorEastAsia"/>
          <w:kern w:val="0"/>
          <w:sz w:val="24"/>
          <w:szCs w:val="24"/>
        </w:rPr>
        <w:t>通知乙方,并立即协助公用事业单位进行抢修。</w:t>
      </w:r>
      <w:bookmarkStart w:id="6" w:name="7"/>
      <w:bookmarkEnd w:id="6"/>
      <w:r>
        <w:rPr>
          <w:rFonts w:hint="eastAsia" w:asciiTheme="minorEastAsia" w:hAnsiTheme="minorEastAsia" w:eastAsiaTheme="minorEastAsia"/>
          <w:kern w:val="0"/>
          <w:sz w:val="24"/>
          <w:szCs w:val="24"/>
        </w:rPr>
        <w:t xml:space="preserve"> </w:t>
      </w:r>
    </w:p>
    <w:p w14:paraId="347905C3">
      <w:pPr>
        <w:pStyle w:val="6"/>
        <w:widowControl/>
        <w:spacing w:line="288" w:lineRule="auto"/>
        <w:ind w:firstLineChars="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如出现供热中止或未达到本协议约定温度的情况,甲方应向乙方说明原因。因公用事业单位原因导致供热中止或未达到本协议约定的温度,则甲方对此不承担违约责任,但甲方应负责与公用事业单位沟通,以避免供热中止或未达温度。</w:t>
      </w:r>
    </w:p>
    <w:p w14:paraId="27138C02">
      <w:pPr>
        <w:pStyle w:val="6"/>
        <w:widowControl/>
        <w:spacing w:line="288" w:lineRule="auto"/>
        <w:ind w:left="901" w:leftChars="229" w:hanging="420" w:hangingChars="175"/>
        <w:jc w:val="left"/>
        <w:rPr>
          <w:rFonts w:cs="宋体" w:asciiTheme="minorEastAsia" w:hAnsiTheme="minorEastAsia" w:eastAsiaTheme="minorEastAsia"/>
          <w:kern w:val="0"/>
          <w:sz w:val="24"/>
          <w:szCs w:val="24"/>
        </w:rPr>
      </w:pPr>
    </w:p>
    <w:p w14:paraId="60DC5659">
      <w:pPr>
        <w:pStyle w:val="6"/>
        <w:widowControl/>
        <w:spacing w:line="288" w:lineRule="auto"/>
        <w:ind w:firstLineChars="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第五条　乙方责任</w:t>
      </w:r>
    </w:p>
    <w:p w14:paraId="4378B2E2">
      <w:pPr>
        <w:pStyle w:val="6"/>
        <w:widowControl/>
        <w:spacing w:line="288" w:lineRule="auto"/>
        <w:ind w:firstLine="480"/>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1.按照</w:t>
      </w:r>
      <w:r>
        <w:rPr>
          <w:rFonts w:hint="eastAsia" w:cs="宋体" w:asciiTheme="minorEastAsia" w:hAnsiTheme="minorEastAsia" w:eastAsiaTheme="minorEastAsia"/>
          <w:kern w:val="0"/>
          <w:sz w:val="24"/>
          <w:szCs w:val="24"/>
        </w:rPr>
        <w:t>本协议</w:t>
      </w:r>
      <w:r>
        <w:rPr>
          <w:rFonts w:hint="eastAsia" w:asciiTheme="minorEastAsia" w:hAnsiTheme="minorEastAsia" w:eastAsiaTheme="minorEastAsia"/>
          <w:kern w:val="0"/>
          <w:sz w:val="24"/>
          <w:szCs w:val="24"/>
        </w:rPr>
        <w:t>约定向甲方缴纳供热费用。</w:t>
      </w:r>
    </w:p>
    <w:p w14:paraId="46DBCE59">
      <w:pPr>
        <w:pStyle w:val="6"/>
        <w:widowControl/>
        <w:spacing w:line="288"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2.未经甲方允许,乙方不得擅自操作供热设备或</w:t>
      </w:r>
      <w:r>
        <w:rPr>
          <w:rFonts w:hint="eastAsia" w:cs="宋体" w:asciiTheme="minorEastAsia" w:hAnsiTheme="minorEastAsia" w:eastAsiaTheme="minorEastAsia"/>
          <w:kern w:val="0"/>
          <w:sz w:val="24"/>
          <w:szCs w:val="24"/>
        </w:rPr>
        <w:t>人为误操作损坏供暖设施</w:t>
      </w:r>
      <w:r>
        <w:rPr>
          <w:rFonts w:hint="eastAsia" w:asciiTheme="minorEastAsia" w:hAnsiTheme="minorEastAsia" w:eastAsiaTheme="minorEastAsia"/>
          <w:kern w:val="0"/>
          <w:sz w:val="24"/>
          <w:szCs w:val="24"/>
        </w:rPr>
        <w:t>,包括不得擅自将供热管线开拴,不得私接或安装用热管道及管道泵,不得私自泄水等。</w:t>
      </w:r>
    </w:p>
    <w:p w14:paraId="1A620048">
      <w:pPr>
        <w:pStyle w:val="6"/>
        <w:widowControl/>
        <w:spacing w:line="288" w:lineRule="auto"/>
        <w:ind w:firstLineChars="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3.如因乙方的责任,导致甲方财产或人员遭受损失或收到任何索赔要求,乙方应依法承担赔偿责任。</w:t>
      </w:r>
    </w:p>
    <w:p w14:paraId="7C939DBF">
      <w:pPr>
        <w:pStyle w:val="6"/>
        <w:widowControl/>
        <w:spacing w:line="288" w:lineRule="auto"/>
        <w:ind w:firstLineChars="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4.如乙方未能按本协议的约定支付供暖费用,甲方有权中止供热或在发出书面通知后终止本协议并终止供热,且乙方应向甲方赔偿甲方因此遭受的损失（包括但不限于公用事业单位向乙方收取的用热费）。 </w:t>
      </w:r>
      <w:bookmarkStart w:id="7" w:name="9"/>
      <w:bookmarkEnd w:id="7"/>
      <w:bookmarkStart w:id="8" w:name="13"/>
      <w:bookmarkEnd w:id="8"/>
      <w:bookmarkStart w:id="9" w:name="8"/>
      <w:bookmarkEnd w:id="9"/>
    </w:p>
    <w:p w14:paraId="3A19BB93">
      <w:pPr>
        <w:widowControl/>
        <w:spacing w:line="288" w:lineRule="auto"/>
        <w:ind w:left="477"/>
        <w:jc w:val="left"/>
        <w:rPr>
          <w:rFonts w:cs="宋体" w:asciiTheme="minorEastAsia" w:hAnsiTheme="minorEastAsia"/>
          <w:kern w:val="0"/>
          <w:sz w:val="24"/>
          <w:szCs w:val="24"/>
        </w:rPr>
      </w:pPr>
    </w:p>
    <w:p w14:paraId="354EE4EC">
      <w:pPr>
        <w:widowControl/>
        <w:numPr>
          <w:ilvl w:val="0"/>
          <w:numId w:val="2"/>
        </w:numPr>
        <w:spacing w:line="288"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不可抗力</w:t>
      </w:r>
    </w:p>
    <w:p w14:paraId="459A1A0B">
      <w:pPr>
        <w:pStyle w:val="6"/>
        <w:widowControl/>
        <w:spacing w:line="288"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如果任何一方迟延履行或不履行其在本协议下的义务是由自然灾害（例如洪水、风暴、闪电、台风）、市民暴动等不可归咎于该方、或该方所不能控制、不可避免或不能克服的客观情况原因（以下简称“不可抗力”）造成的,则该受影响方不对此迟延或不履行承担责任,但其应积极采取措施将不可抗力的影响降至最低。</w:t>
      </w:r>
    </w:p>
    <w:p w14:paraId="6DAA5907">
      <w:pPr>
        <w:pStyle w:val="6"/>
        <w:widowControl/>
        <w:spacing w:line="288" w:lineRule="auto"/>
        <w:ind w:left="465" w:firstLine="0" w:firstLineChars="0"/>
        <w:jc w:val="left"/>
        <w:rPr>
          <w:rFonts w:asciiTheme="minorEastAsia" w:hAnsiTheme="minorEastAsia" w:eastAsiaTheme="minorEastAsia"/>
          <w:kern w:val="0"/>
          <w:sz w:val="24"/>
          <w:szCs w:val="24"/>
        </w:rPr>
      </w:pPr>
    </w:p>
    <w:p w14:paraId="701354B7">
      <w:pPr>
        <w:widowControl/>
        <w:numPr>
          <w:ilvl w:val="0"/>
          <w:numId w:val="2"/>
        </w:numPr>
        <w:spacing w:line="288"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通知</w:t>
      </w:r>
    </w:p>
    <w:p w14:paraId="210CC7C8">
      <w:pPr>
        <w:pStyle w:val="6"/>
        <w:widowControl/>
        <w:spacing w:line="288"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1.除双方之间关于供热质量等需即时联系的事宜外,本协议各方之间的一切通知和通信均应以书面形式作出并以中文写成,以专人递送、快递方式送往以下地址：</w:t>
      </w:r>
    </w:p>
    <w:p w14:paraId="3851395B">
      <w:pPr>
        <w:widowControl/>
        <w:spacing w:line="288" w:lineRule="auto"/>
        <w:ind w:left="9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长春光华荣昌汽车部件有限公司地址：</w:t>
      </w:r>
    </w:p>
    <w:p w14:paraId="300F33CA">
      <w:pPr>
        <w:widowControl/>
        <w:spacing w:line="288" w:lineRule="auto"/>
        <w:ind w:left="900"/>
        <w:jc w:val="left"/>
        <w:rPr>
          <w:rFonts w:asciiTheme="minorEastAsia" w:hAnsiTheme="minorEastAsia"/>
          <w:sz w:val="24"/>
          <w:szCs w:val="24"/>
          <w:highlight w:val="none"/>
        </w:rPr>
      </w:pPr>
      <w:r>
        <w:rPr>
          <w:rFonts w:hint="eastAsia" w:cs="宋体" w:asciiTheme="minorEastAsia" w:hAnsiTheme="minorEastAsia"/>
          <w:kern w:val="0"/>
          <w:sz w:val="24"/>
          <w:szCs w:val="24"/>
          <w:highlight w:val="none"/>
        </w:rPr>
        <w:t>长春市汽开区富奥大路1</w:t>
      </w:r>
      <w:r>
        <w:rPr>
          <w:rFonts w:cs="宋体" w:asciiTheme="minorEastAsia" w:hAnsiTheme="minorEastAsia"/>
          <w:kern w:val="0"/>
          <w:sz w:val="24"/>
          <w:szCs w:val="24"/>
          <w:highlight w:val="none"/>
        </w:rPr>
        <w:t>952</w:t>
      </w:r>
      <w:r>
        <w:rPr>
          <w:rFonts w:hint="eastAsia" w:asciiTheme="minorEastAsia" w:hAnsiTheme="minorEastAsia"/>
          <w:sz w:val="24"/>
          <w:szCs w:val="24"/>
          <w:highlight w:val="none"/>
        </w:rPr>
        <w:t>号</w:t>
      </w:r>
      <w:r>
        <w:rPr>
          <w:rFonts w:asciiTheme="minorEastAsia" w:hAnsiTheme="minorEastAsia"/>
          <w:sz w:val="24"/>
          <w:szCs w:val="24"/>
          <w:highlight w:val="none"/>
        </w:rPr>
        <w:t xml:space="preserve"> </w:t>
      </w:r>
    </w:p>
    <w:p w14:paraId="4CCC6CA7">
      <w:pPr>
        <w:widowControl/>
        <w:spacing w:line="288" w:lineRule="auto"/>
        <w:ind w:left="900"/>
        <w:jc w:val="left"/>
        <w:rPr>
          <w:rFonts w:asciiTheme="minorEastAsia" w:hAnsiTheme="minorEastAsia"/>
          <w:sz w:val="24"/>
          <w:szCs w:val="24"/>
          <w:highlight w:val="none"/>
        </w:rPr>
      </w:pPr>
      <w:r>
        <w:rPr>
          <w:rFonts w:hint="eastAsia" w:cs="宋体" w:asciiTheme="minorEastAsia" w:hAnsiTheme="minorEastAsia"/>
          <w:kern w:val="0"/>
          <w:sz w:val="24"/>
          <w:szCs w:val="24"/>
          <w:highlight w:val="none"/>
        </w:rPr>
        <w:t xml:space="preserve">联系电话：18943621903 </w:t>
      </w:r>
    </w:p>
    <w:p w14:paraId="6A9B42E8">
      <w:pPr>
        <w:widowControl/>
        <w:spacing w:line="288" w:lineRule="auto"/>
        <w:ind w:left="900"/>
        <w:jc w:val="left"/>
        <w:rPr>
          <w:rFonts w:cs="宋体" w:asciiTheme="minorEastAsia" w:hAnsiTheme="minorEastAsia"/>
          <w:kern w:val="0"/>
          <w:sz w:val="24"/>
          <w:szCs w:val="24"/>
        </w:rPr>
      </w:pPr>
    </w:p>
    <w:p w14:paraId="7C10F120">
      <w:pPr>
        <w:widowControl/>
        <w:spacing w:line="288" w:lineRule="auto"/>
        <w:ind w:left="900"/>
        <w:jc w:val="left"/>
        <w:rPr>
          <w:rFonts w:cs="宋体" w:asciiTheme="minorEastAsia" w:hAnsiTheme="minorEastAsia"/>
          <w:kern w:val="0"/>
          <w:sz w:val="24"/>
          <w:szCs w:val="24"/>
        </w:rPr>
      </w:pPr>
      <w:r>
        <w:rPr>
          <w:rFonts w:hint="eastAsia" w:cs="宋体" w:asciiTheme="minorEastAsia" w:hAnsiTheme="minorEastAsia"/>
          <w:kern w:val="0"/>
          <w:sz w:val="24"/>
          <w:szCs w:val="24"/>
        </w:rPr>
        <w:t>长春普开仓储有限公司</w:t>
      </w:r>
    </w:p>
    <w:p w14:paraId="382239B8">
      <w:pPr>
        <w:widowControl/>
        <w:spacing w:line="288" w:lineRule="auto"/>
        <w:ind w:left="900"/>
        <w:jc w:val="left"/>
        <w:rPr>
          <w:rFonts w:cs="宋体" w:asciiTheme="minorEastAsia" w:hAnsiTheme="minorEastAsia"/>
          <w:kern w:val="0"/>
          <w:sz w:val="24"/>
          <w:szCs w:val="24"/>
        </w:rPr>
      </w:pPr>
      <w:r>
        <w:rPr>
          <w:rFonts w:hint="eastAsia" w:asciiTheme="minorEastAsia" w:hAnsiTheme="minorEastAsia"/>
          <w:sz w:val="24"/>
          <w:szCs w:val="24"/>
        </w:rPr>
        <w:t>地址：</w:t>
      </w:r>
      <w:r>
        <w:rPr>
          <w:rFonts w:hint="eastAsia" w:cs="宋体" w:asciiTheme="minorEastAsia" w:hAnsiTheme="minorEastAsia"/>
          <w:kern w:val="0"/>
          <w:sz w:val="24"/>
          <w:szCs w:val="24"/>
        </w:rPr>
        <w:t>长春市汽开区自主大路1</w:t>
      </w:r>
      <w:r>
        <w:rPr>
          <w:rFonts w:cs="宋体" w:asciiTheme="minorEastAsia" w:hAnsiTheme="minorEastAsia"/>
          <w:kern w:val="0"/>
          <w:sz w:val="24"/>
          <w:szCs w:val="24"/>
        </w:rPr>
        <w:t>951</w:t>
      </w:r>
      <w:r>
        <w:rPr>
          <w:rFonts w:hint="eastAsia" w:cs="宋体" w:asciiTheme="minorEastAsia" w:hAnsiTheme="minorEastAsia"/>
          <w:kern w:val="0"/>
          <w:sz w:val="24"/>
          <w:szCs w:val="24"/>
        </w:rPr>
        <w:t>号</w:t>
      </w:r>
    </w:p>
    <w:p w14:paraId="496347C4">
      <w:pPr>
        <w:widowControl/>
        <w:spacing w:line="288" w:lineRule="auto"/>
        <w:ind w:left="900"/>
        <w:jc w:val="left"/>
        <w:rPr>
          <w:rFonts w:ascii="宋体" w:hAnsi="宋体" w:eastAsia="宋体" w:cs="宋体"/>
          <w:kern w:val="0"/>
          <w:sz w:val="24"/>
          <w:szCs w:val="24"/>
        </w:rPr>
      </w:pPr>
      <w:r>
        <w:rPr>
          <w:rFonts w:hint="eastAsia" w:asciiTheme="minorEastAsia" w:hAnsiTheme="minorEastAsia"/>
          <w:sz w:val="24"/>
          <w:szCs w:val="24"/>
        </w:rPr>
        <w:t>联系电话：</w:t>
      </w:r>
      <w:r>
        <w:rPr>
          <w:rFonts w:hint="eastAsia" w:ascii="宋体" w:hAnsi="宋体" w:eastAsia="宋体" w:cs="宋体"/>
          <w:kern w:val="0"/>
          <w:sz w:val="24"/>
          <w:szCs w:val="24"/>
        </w:rPr>
        <w:t>13844809760</w:t>
      </w:r>
    </w:p>
    <w:p w14:paraId="4B3087B5">
      <w:pPr>
        <w:widowControl/>
        <w:spacing w:line="288" w:lineRule="auto"/>
        <w:ind w:left="900"/>
        <w:jc w:val="left"/>
        <w:rPr>
          <w:rFonts w:ascii="宋体" w:hAnsi="宋体" w:eastAsia="宋体" w:cs="宋体"/>
          <w:kern w:val="0"/>
          <w:sz w:val="24"/>
          <w:szCs w:val="24"/>
        </w:rPr>
      </w:pPr>
    </w:p>
    <w:p w14:paraId="320C39BA">
      <w:pPr>
        <w:pStyle w:val="6"/>
        <w:widowControl/>
        <w:spacing w:line="288" w:lineRule="auto"/>
        <w:ind w:firstLineChars="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2.通知应被视为在下列时间送达：</w:t>
      </w:r>
    </w:p>
    <w:p w14:paraId="274232C9">
      <w:pPr>
        <w:pStyle w:val="6"/>
        <w:widowControl/>
        <w:numPr>
          <w:ilvl w:val="0"/>
          <w:numId w:val="3"/>
        </w:numPr>
        <w:spacing w:line="288"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由专人送达,到达指定地址时,须有交付证明；</w:t>
      </w:r>
    </w:p>
    <w:p w14:paraId="234024D2">
      <w:pPr>
        <w:pStyle w:val="6"/>
        <w:widowControl/>
        <w:numPr>
          <w:ilvl w:val="0"/>
          <w:numId w:val="3"/>
        </w:numPr>
        <w:spacing w:line="288" w:lineRule="auto"/>
        <w:ind w:firstLineChars="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由快递送达,以收件回执上注明的签收日为实际送达日；</w:t>
      </w:r>
    </w:p>
    <w:p w14:paraId="1A752463">
      <w:pPr>
        <w:pStyle w:val="6"/>
        <w:widowControl/>
        <w:spacing w:line="288" w:lineRule="auto"/>
        <w:ind w:left="465" w:firstLine="0" w:firstLineChars="0"/>
        <w:rPr>
          <w:rFonts w:cs="宋体" w:asciiTheme="minorEastAsia" w:hAnsiTheme="minorEastAsia" w:eastAsiaTheme="minorEastAsia"/>
          <w:kern w:val="0"/>
          <w:sz w:val="24"/>
          <w:szCs w:val="24"/>
        </w:rPr>
      </w:pPr>
    </w:p>
    <w:p w14:paraId="6CB3B825">
      <w:pPr>
        <w:pStyle w:val="6"/>
        <w:widowControl/>
        <w:spacing w:line="288"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3.本协议任何一方均可在任何时候根据本条规定通知另一方,变更其接收通知的联络详情。</w:t>
      </w:r>
    </w:p>
    <w:p w14:paraId="067F62D6">
      <w:pPr>
        <w:widowControl/>
        <w:spacing w:line="288" w:lineRule="auto"/>
        <w:jc w:val="left"/>
        <w:rPr>
          <w:rFonts w:cs="宋体" w:asciiTheme="minorEastAsia" w:hAnsiTheme="minorEastAsia"/>
          <w:b/>
          <w:kern w:val="0"/>
          <w:sz w:val="24"/>
          <w:szCs w:val="24"/>
        </w:rPr>
      </w:pPr>
    </w:p>
    <w:p w14:paraId="48FE070E">
      <w:pPr>
        <w:widowControl/>
        <w:numPr>
          <w:ilvl w:val="0"/>
          <w:numId w:val="2"/>
        </w:numPr>
        <w:spacing w:line="288"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其他</w:t>
      </w:r>
    </w:p>
    <w:p w14:paraId="2D032A2D">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1.甲、乙双方确认本协议为主合同的从合同,适用于2024年－2025年的供暖事宜,不影响主合同的各项条款。 </w:t>
      </w:r>
    </w:p>
    <w:p w14:paraId="0E0F2C24">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2.本协议经双方法定代表人或授权代表签字及加盖公章后生效。本协议正本一式四份,双方各执两份,具有同等法律效力。</w:t>
      </w:r>
    </w:p>
    <w:p w14:paraId="695FE03E">
      <w:pPr>
        <w:pStyle w:val="6"/>
        <w:widowControl/>
        <w:spacing w:line="288" w:lineRule="auto"/>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（以下无正文）</w:t>
      </w:r>
    </w:p>
    <w:p w14:paraId="0C3D8EFE">
      <w:pPr>
        <w:pStyle w:val="6"/>
        <w:widowControl/>
        <w:spacing w:line="288" w:lineRule="auto"/>
        <w:ind w:firstLine="0" w:firstLineChars="0"/>
        <w:jc w:val="center"/>
        <w:rPr>
          <w:rFonts w:cs="宋体" w:asciiTheme="minorEastAsia" w:hAnsiTheme="minorEastAsia" w:eastAsiaTheme="minorEastAsia"/>
          <w:kern w:val="0"/>
          <w:sz w:val="24"/>
          <w:szCs w:val="24"/>
        </w:rPr>
      </w:pPr>
    </w:p>
    <w:p w14:paraId="2BA2D984">
      <w:pPr>
        <w:rPr>
          <w:rFonts w:asciiTheme="minorEastAsia" w:hAnsiTheme="minorEastAsia"/>
          <w:b/>
          <w:sz w:val="24"/>
          <w:szCs w:val="24"/>
        </w:rPr>
      </w:pPr>
    </w:p>
    <w:p w14:paraId="4DB17274">
      <w:pPr>
        <w:widowControl/>
        <w:spacing w:line="288" w:lineRule="auto"/>
        <w:jc w:val="left"/>
        <w:rPr>
          <w:rFonts w:cs="宋体" w:asciiTheme="minorEastAsia" w:hAnsiTheme="minorEastAsia"/>
          <w:kern w:val="0"/>
          <w:sz w:val="24"/>
          <w:szCs w:val="24"/>
        </w:rPr>
      </w:pPr>
      <w:r>
        <w:rPr>
          <w:rFonts w:hint="eastAsia" w:asciiTheme="minorEastAsia" w:hAnsiTheme="minorEastAsia"/>
          <w:b/>
          <w:sz w:val="24"/>
          <w:szCs w:val="24"/>
        </w:rPr>
        <w:t>甲方：</w:t>
      </w:r>
      <w:r>
        <w:rPr>
          <w:rFonts w:hint="eastAsia" w:cs="宋体" w:asciiTheme="minorEastAsia" w:hAnsiTheme="minorEastAsia"/>
          <w:kern w:val="0"/>
          <w:sz w:val="24"/>
          <w:szCs w:val="24"/>
        </w:rPr>
        <w:t>长春普开仓储有限公司</w:t>
      </w:r>
      <w:r>
        <w:rPr>
          <w:rFonts w:hint="eastAsia" w:asciiTheme="minorEastAsia" w:hAnsiTheme="minorEastAsia"/>
          <w:sz w:val="24"/>
          <w:szCs w:val="24"/>
        </w:rPr>
        <w:t xml:space="preserve">（盖章）                          </w:t>
      </w:r>
      <w:bookmarkStart w:id="10" w:name="_GoBack"/>
      <w:bookmarkEnd w:id="10"/>
    </w:p>
    <w:p w14:paraId="34EABCFF">
      <w:pPr>
        <w:rPr>
          <w:rFonts w:asciiTheme="minorEastAsia" w:hAnsiTheme="minorEastAsia"/>
          <w:sz w:val="24"/>
          <w:szCs w:val="24"/>
        </w:rPr>
      </w:pPr>
      <w:r>
        <w:rPr>
          <w:rFonts w:hint="eastAsia" w:cs="宋体" w:asciiTheme="minorEastAsia" w:hAnsiTheme="minorEastAsia"/>
          <w:kern w:val="0"/>
          <w:sz w:val="24"/>
          <w:szCs w:val="24"/>
        </w:rPr>
        <w:t xml:space="preserve">              </w:t>
      </w:r>
    </w:p>
    <w:p w14:paraId="4458939E">
      <w:pPr>
        <w:rPr>
          <w:rFonts w:asciiTheme="minorEastAsia" w:hAnsiTheme="minorEastAsia"/>
          <w:sz w:val="24"/>
          <w:szCs w:val="24"/>
        </w:rPr>
      </w:pPr>
      <w:r>
        <w:rPr>
          <w:rFonts w:hint="eastAsia" w:asciiTheme="minorEastAsia" w:hAnsiTheme="minorEastAsia"/>
          <w:sz w:val="24"/>
          <w:szCs w:val="24"/>
        </w:rPr>
        <w:t>法定代表人/授权代表：</w:t>
      </w:r>
    </w:p>
    <w:p w14:paraId="7DEBA58E">
      <w:pPr>
        <w:rPr>
          <w:rFonts w:asciiTheme="minorEastAsia" w:hAnsiTheme="minorEastAsia"/>
          <w:sz w:val="24"/>
          <w:szCs w:val="24"/>
        </w:rPr>
      </w:pPr>
    </w:p>
    <w:p w14:paraId="1A2C6881">
      <w:pPr>
        <w:rPr>
          <w:rFonts w:asciiTheme="minorEastAsia" w:hAnsiTheme="minorEastAsia"/>
          <w:sz w:val="24"/>
          <w:szCs w:val="24"/>
        </w:rPr>
      </w:pPr>
    </w:p>
    <w:p w14:paraId="0F51C938">
      <w:pPr>
        <w:rPr>
          <w:rFonts w:asciiTheme="minorEastAsia" w:hAnsiTheme="minorEastAsia"/>
          <w:sz w:val="24"/>
          <w:szCs w:val="24"/>
        </w:rPr>
      </w:pPr>
    </w:p>
    <w:p w14:paraId="1CD8CB31">
      <w:pPr>
        <w:rPr>
          <w:rFonts w:asciiTheme="minorEastAsia" w:hAnsiTheme="minorEastAsia"/>
          <w:sz w:val="24"/>
          <w:szCs w:val="24"/>
        </w:rPr>
      </w:pPr>
    </w:p>
    <w:p w14:paraId="7994AA51">
      <w:pPr>
        <w:rPr>
          <w:rFonts w:asciiTheme="minorEastAsia" w:hAnsiTheme="minorEastAsia"/>
          <w:sz w:val="24"/>
          <w:szCs w:val="24"/>
        </w:rPr>
      </w:pPr>
      <w:r>
        <w:rPr>
          <w:rFonts w:hint="eastAsia" w:asciiTheme="minorEastAsia" w:hAnsiTheme="minorEastAsia"/>
          <w:b/>
          <w:sz w:val="24"/>
          <w:szCs w:val="24"/>
        </w:rPr>
        <w:t>乙方：</w:t>
      </w:r>
      <w:r>
        <w:rPr>
          <w:rFonts w:hint="eastAsia" w:asciiTheme="minorEastAsia" w:hAnsiTheme="minorEastAsia"/>
          <w:sz w:val="24"/>
          <w:szCs w:val="24"/>
        </w:rPr>
        <w:t xml:space="preserve"> </w:t>
      </w:r>
      <w:r>
        <w:rPr>
          <w:rFonts w:hint="eastAsia" w:cs="宋体" w:asciiTheme="minorEastAsia" w:hAnsiTheme="minorEastAsia"/>
          <w:kern w:val="0"/>
          <w:sz w:val="24"/>
          <w:szCs w:val="24"/>
        </w:rPr>
        <w:t>长春光华荣昌汽车部件有限公司</w:t>
      </w:r>
    </w:p>
    <w:p w14:paraId="5879D3B7">
      <w:pPr>
        <w:rPr>
          <w:rFonts w:asciiTheme="minorEastAsia" w:hAnsiTheme="minorEastAsia"/>
          <w:sz w:val="24"/>
          <w:szCs w:val="24"/>
        </w:rPr>
      </w:pPr>
    </w:p>
    <w:p w14:paraId="4954F870">
      <w:pPr>
        <w:rPr>
          <w:rFonts w:asciiTheme="minorEastAsia" w:hAnsiTheme="minorEastAsia"/>
          <w:sz w:val="24"/>
          <w:szCs w:val="24"/>
        </w:rPr>
      </w:pPr>
      <w:r>
        <w:rPr>
          <w:rFonts w:hint="eastAsia" w:asciiTheme="minorEastAsia" w:hAnsiTheme="minorEastAsia"/>
          <w:sz w:val="24"/>
          <w:szCs w:val="24"/>
        </w:rPr>
        <w:t xml:space="preserve">法定代表人/授权代表： </w:t>
      </w:r>
    </w:p>
    <w:p w14:paraId="3B923E85">
      <w:pPr>
        <w:rPr>
          <w:rFonts w:asciiTheme="minorEastAsia" w:hAnsiTheme="minorEastAsia"/>
          <w:sz w:val="24"/>
          <w:szCs w:val="24"/>
        </w:rPr>
      </w:pPr>
    </w:p>
    <w:p w14:paraId="69CD949E">
      <w:pPr>
        <w:rPr>
          <w:rFonts w:asciiTheme="minorEastAsia" w:hAnsiTheme="minorEastAsia"/>
          <w:sz w:val="24"/>
          <w:szCs w:val="24"/>
        </w:rPr>
      </w:pPr>
    </w:p>
    <w:p w14:paraId="23F9E024"/>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A0E38"/>
    <w:multiLevelType w:val="multilevel"/>
    <w:tmpl w:val="1E6A0E38"/>
    <w:lvl w:ilvl="0" w:tentative="0">
      <w:start w:val="7"/>
      <w:numFmt w:val="japaneseCounting"/>
      <w:lvlText w:val="第%1条"/>
      <w:lvlJc w:val="left"/>
      <w:pPr>
        <w:tabs>
          <w:tab w:val="left" w:pos="1452"/>
        </w:tabs>
        <w:ind w:left="1452" w:hanging="975"/>
      </w:pPr>
      <w:rPr>
        <w:rFonts w:cs="Times New Roman"/>
        <w:b/>
      </w:rPr>
    </w:lvl>
    <w:lvl w:ilvl="1" w:tentative="0">
      <w:start w:val="1"/>
      <w:numFmt w:val="decimal"/>
      <w:lvlText w:val="%2．"/>
      <w:lvlJc w:val="left"/>
      <w:pPr>
        <w:ind w:left="1257" w:hanging="360"/>
      </w:pPr>
      <w:rPr>
        <w:rFonts w:hint="eastAsia" w:ascii="宋体" w:hAnsi="Times New Roman" w:eastAsia="宋体" w:cs="Times New Roman"/>
        <w:sz w:val="24"/>
      </w:rPr>
    </w:lvl>
    <w:lvl w:ilvl="2" w:tentative="0">
      <w:start w:val="1"/>
      <w:numFmt w:val="lowerRoman"/>
      <w:lvlText w:val="%3."/>
      <w:lvlJc w:val="right"/>
      <w:pPr>
        <w:tabs>
          <w:tab w:val="left" w:pos="1737"/>
        </w:tabs>
        <w:ind w:left="1737" w:hanging="420"/>
      </w:pPr>
      <w:rPr>
        <w:rFonts w:cs="Times New Roman"/>
      </w:rPr>
    </w:lvl>
    <w:lvl w:ilvl="3" w:tentative="0">
      <w:start w:val="1"/>
      <w:numFmt w:val="decimal"/>
      <w:lvlText w:val="%4."/>
      <w:lvlJc w:val="left"/>
      <w:pPr>
        <w:tabs>
          <w:tab w:val="left" w:pos="2157"/>
        </w:tabs>
        <w:ind w:left="2157" w:hanging="420"/>
      </w:pPr>
      <w:rPr>
        <w:rFonts w:cs="Times New Roman"/>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EBABDD"/>
    <w:multiLevelType w:val="singleLevel"/>
    <w:tmpl w:val="57EBABDD"/>
    <w:lvl w:ilvl="0" w:tentative="0">
      <w:start w:val="1"/>
      <w:numFmt w:val="decimal"/>
      <w:suff w:val="nothing"/>
      <w:lvlText w:val="(%1)"/>
      <w:lvlJc w:val="left"/>
    </w:lvl>
  </w:abstractNum>
  <w:abstractNum w:abstractNumId="2">
    <w:nsid w:val="5EF646DE"/>
    <w:multiLevelType w:val="multilevel"/>
    <w:tmpl w:val="5EF646DE"/>
    <w:lvl w:ilvl="0" w:tentative="0">
      <w:start w:val="1"/>
      <w:numFmt w:val="decimal"/>
      <w:lvlText w:val="(%1)"/>
      <w:lvlJc w:val="left"/>
      <w:pPr>
        <w:ind w:left="84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ExMTI5YTI3NjkwMDFjYTRjYmY3MDFhZGM2ZWQifQ=="/>
  </w:docVars>
  <w:rsids>
    <w:rsidRoot w:val="42D54FF1"/>
    <w:rsid w:val="000333B2"/>
    <w:rsid w:val="00052E23"/>
    <w:rsid w:val="00131B65"/>
    <w:rsid w:val="00174F6D"/>
    <w:rsid w:val="00211F4E"/>
    <w:rsid w:val="00315D92"/>
    <w:rsid w:val="003436AE"/>
    <w:rsid w:val="0036312E"/>
    <w:rsid w:val="00383400"/>
    <w:rsid w:val="00386290"/>
    <w:rsid w:val="003C5463"/>
    <w:rsid w:val="003F51E0"/>
    <w:rsid w:val="00433A8D"/>
    <w:rsid w:val="00466E6F"/>
    <w:rsid w:val="0047549B"/>
    <w:rsid w:val="004A765B"/>
    <w:rsid w:val="004B282D"/>
    <w:rsid w:val="004E4B5D"/>
    <w:rsid w:val="004E5B90"/>
    <w:rsid w:val="0052048D"/>
    <w:rsid w:val="00570C43"/>
    <w:rsid w:val="005750EC"/>
    <w:rsid w:val="00575130"/>
    <w:rsid w:val="005820FE"/>
    <w:rsid w:val="00585947"/>
    <w:rsid w:val="005B60BF"/>
    <w:rsid w:val="005D7A85"/>
    <w:rsid w:val="005E728C"/>
    <w:rsid w:val="00640715"/>
    <w:rsid w:val="00644E7D"/>
    <w:rsid w:val="006A6D2D"/>
    <w:rsid w:val="006D60E0"/>
    <w:rsid w:val="006E03BC"/>
    <w:rsid w:val="007178B5"/>
    <w:rsid w:val="00721DF1"/>
    <w:rsid w:val="007908C2"/>
    <w:rsid w:val="007947EC"/>
    <w:rsid w:val="007E722A"/>
    <w:rsid w:val="007F5A8E"/>
    <w:rsid w:val="00832E58"/>
    <w:rsid w:val="0084760E"/>
    <w:rsid w:val="00893C5F"/>
    <w:rsid w:val="008D269C"/>
    <w:rsid w:val="008E1990"/>
    <w:rsid w:val="00900578"/>
    <w:rsid w:val="009027BE"/>
    <w:rsid w:val="00902AAA"/>
    <w:rsid w:val="00940F94"/>
    <w:rsid w:val="00965C2D"/>
    <w:rsid w:val="009851C8"/>
    <w:rsid w:val="009969B7"/>
    <w:rsid w:val="00A01A3C"/>
    <w:rsid w:val="00A208BB"/>
    <w:rsid w:val="00A22C26"/>
    <w:rsid w:val="00A44389"/>
    <w:rsid w:val="00B02610"/>
    <w:rsid w:val="00B202F9"/>
    <w:rsid w:val="00C45FAD"/>
    <w:rsid w:val="00C542B0"/>
    <w:rsid w:val="00C5657A"/>
    <w:rsid w:val="00C570AA"/>
    <w:rsid w:val="00C97888"/>
    <w:rsid w:val="00CA4363"/>
    <w:rsid w:val="00CB48BA"/>
    <w:rsid w:val="00CB4FD8"/>
    <w:rsid w:val="00CC4F57"/>
    <w:rsid w:val="00CF1B4F"/>
    <w:rsid w:val="00D32175"/>
    <w:rsid w:val="00D41C88"/>
    <w:rsid w:val="00D46DEB"/>
    <w:rsid w:val="00D53389"/>
    <w:rsid w:val="00D5341B"/>
    <w:rsid w:val="00D908E9"/>
    <w:rsid w:val="00DB600B"/>
    <w:rsid w:val="00DB6048"/>
    <w:rsid w:val="00DE29FD"/>
    <w:rsid w:val="00E626B6"/>
    <w:rsid w:val="00E7700D"/>
    <w:rsid w:val="00E97159"/>
    <w:rsid w:val="00EF1692"/>
    <w:rsid w:val="00EF455D"/>
    <w:rsid w:val="00F02674"/>
    <w:rsid w:val="00F25BF7"/>
    <w:rsid w:val="00F308A3"/>
    <w:rsid w:val="00F74B75"/>
    <w:rsid w:val="00F751AA"/>
    <w:rsid w:val="00FC388A"/>
    <w:rsid w:val="00FE04F7"/>
    <w:rsid w:val="0D582C83"/>
    <w:rsid w:val="1216064B"/>
    <w:rsid w:val="121E662B"/>
    <w:rsid w:val="193959B7"/>
    <w:rsid w:val="19DB328E"/>
    <w:rsid w:val="1D1975DD"/>
    <w:rsid w:val="2A210FA4"/>
    <w:rsid w:val="32AF137E"/>
    <w:rsid w:val="3F047A3E"/>
    <w:rsid w:val="42D54FF1"/>
    <w:rsid w:val="48F75EDA"/>
    <w:rsid w:val="55024A84"/>
    <w:rsid w:val="61B12671"/>
    <w:rsid w:val="77536BB7"/>
    <w:rsid w:val="7FE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eastAsia="宋体" w:cs="Times New Roman"/>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GLPROP</Company>
  <Pages>4</Pages>
  <Words>2130</Words>
  <Characters>2346</Characters>
  <Lines>19</Lines>
  <Paragraphs>5</Paragraphs>
  <TotalTime>126</TotalTime>
  <ScaleCrop>false</ScaleCrop>
  <LinksUpToDate>false</LinksUpToDate>
  <CharactersWithSpaces>2448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2016-09-29T07:36:00Z</dcterms:created>
  <dc:creator>Administrator</dc:creator>
  <cp:lastModifiedBy>慕缇</cp:lastModifiedBy>
  <cp:lastPrinted>2024-12-05T06:40:36Z</cp:lastPrinted>
  <dcterms:modified xsi:type="dcterms:W3CDTF">2024-12-05T06:55:22Z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373BBDC582D443F4B3FA5D9AD54835F4</vt:lpwstr>
  </property>
</Properties>
</file>