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831C3">
      <w:pPr>
        <w:pStyle w:val="2"/>
        <w:spacing w:line="245" w:lineRule="auto"/>
      </w:pPr>
    </w:p>
    <w:p w14:paraId="579C14B5">
      <w:pPr>
        <w:pStyle w:val="2"/>
        <w:spacing w:line="246" w:lineRule="auto"/>
      </w:pPr>
    </w:p>
    <w:p w14:paraId="20A0C9D5">
      <w:pPr>
        <w:pStyle w:val="2"/>
        <w:spacing w:line="246" w:lineRule="auto"/>
      </w:pPr>
    </w:p>
    <w:p w14:paraId="4E20DC40">
      <w:pPr>
        <w:pStyle w:val="2"/>
        <w:spacing w:line="246" w:lineRule="auto"/>
      </w:pPr>
      <w:r>
        <w:pict>
          <v:shape id="_x0000_s1026" o:spid="_x0000_s1026" style="position:absolute;left:0pt;margin-left:0pt;margin-top:14.9pt;height:27.25pt;width:0pt;z-index:251660288;mso-width-relative:page;mso-height-relative:page;" filled="f" stroked="t" coordsize="0,545" path="m0,0l0,544e">
            <v:fill on="f" focussize="0,0"/>
            <v:stroke weight="0pt" color="#000000" miterlimit="0" joinstyle="bevel" endcap="square"/>
            <v:imagedata o:title=""/>
            <o:lock v:ext="edit"/>
          </v:shape>
        </w:pict>
      </w:r>
    </w:p>
    <w:p w14:paraId="70480E6B">
      <w:pPr>
        <w:spacing w:before="91" w:line="220" w:lineRule="auto"/>
        <w:ind w:firstLine="4410" w:firstLineChars="2100"/>
        <w:outlineLvl w:val="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pict>
          <v:shape id="_x0000_s1027" o:spid="_x0000_s1027" style="position:absolute;left:0pt;margin-left:299.8pt;margin-top:18.1pt;height:0.65pt;width:168.65pt;z-index:251659264;mso-width-relative:page;mso-height-relative:page;" filled="f" stroked="t" coordsize="3372,12" path="m0,5l3372,5e">
            <v:fill on="f" focussize="0,0"/>
            <v:stroke weight="0.6pt" color="#FF0101" miterlimit="2" joinstyle="bevel"/>
            <v:imagedata o:title=""/>
            <o:lock v:ext="edit"/>
          </v:shape>
        </w:pict>
      </w:r>
      <w:r>
        <w:rPr>
          <w:rFonts w:ascii="宋体" w:hAnsi="宋体" w:eastAsia="宋体" w:cs="宋体"/>
          <w:b/>
          <w:bCs/>
          <w:spacing w:val="-7"/>
          <w:sz w:val="28"/>
          <w:szCs w:val="28"/>
        </w:rPr>
        <w:t>编号：</w:t>
      </w:r>
      <w:r>
        <w:rPr>
          <w:rFonts w:hint="eastAsia" w:ascii="宋体" w:hAnsi="宋体" w:eastAsia="宋体" w:cs="宋体"/>
          <w:b/>
          <w:bCs/>
          <w:spacing w:val="-7"/>
          <w:sz w:val="28"/>
          <w:szCs w:val="28"/>
          <w:u w:val="single" w:color="FF0000"/>
          <w:lang w:val="en-US" w:eastAsia="zh-CN"/>
        </w:rPr>
        <w:t>鲁中邮物流法审字[2024]第788号</w:t>
      </w:r>
    </w:p>
    <w:p w14:paraId="236093B5">
      <w:pPr>
        <w:pStyle w:val="2"/>
      </w:pPr>
    </w:p>
    <w:p w14:paraId="1B43C9FA">
      <w:pPr>
        <w:pStyle w:val="2"/>
      </w:pPr>
    </w:p>
    <w:p w14:paraId="7F9B7BCC">
      <w:pPr>
        <w:pStyle w:val="2"/>
      </w:pPr>
    </w:p>
    <w:p w14:paraId="5DF3DB3D">
      <w:pPr>
        <w:pStyle w:val="2"/>
      </w:pPr>
    </w:p>
    <w:p w14:paraId="242C3267">
      <w:pPr>
        <w:pStyle w:val="2"/>
      </w:pPr>
    </w:p>
    <w:p w14:paraId="5AA44C8C">
      <w:pPr>
        <w:pStyle w:val="2"/>
        <w:spacing w:line="241" w:lineRule="auto"/>
      </w:pPr>
    </w:p>
    <w:p w14:paraId="2286EBA0">
      <w:pPr>
        <w:pStyle w:val="2"/>
        <w:spacing w:line="241" w:lineRule="auto"/>
      </w:pPr>
    </w:p>
    <w:p w14:paraId="5D2BE188">
      <w:pPr>
        <w:pStyle w:val="2"/>
        <w:spacing w:line="241" w:lineRule="auto"/>
      </w:pPr>
    </w:p>
    <w:p w14:paraId="6FC9AC0C">
      <w:pPr>
        <w:pStyle w:val="2"/>
        <w:spacing w:line="241" w:lineRule="auto"/>
      </w:pPr>
    </w:p>
    <w:p w14:paraId="74843E5E">
      <w:pPr>
        <w:spacing w:before="169" w:line="219" w:lineRule="auto"/>
        <w:ind w:left="2442"/>
        <w:outlineLvl w:val="0"/>
        <w:rPr>
          <w:rFonts w:ascii="宋体" w:hAnsi="宋体" w:eastAsia="宋体" w:cs="宋体"/>
          <w:sz w:val="52"/>
          <w:szCs w:val="52"/>
        </w:rPr>
      </w:pPr>
      <w:r>
        <w:rPr>
          <w:rFonts w:ascii="宋体" w:hAnsi="宋体" w:eastAsia="宋体" w:cs="宋体"/>
          <w:b/>
          <w:bCs/>
          <w:spacing w:val="-6"/>
          <w:sz w:val="52"/>
          <w:szCs w:val="52"/>
        </w:rPr>
        <w:t>供应商物流服务协议</w:t>
      </w:r>
    </w:p>
    <w:p w14:paraId="0721A125">
      <w:pPr>
        <w:pStyle w:val="2"/>
        <w:spacing w:line="241" w:lineRule="auto"/>
      </w:pPr>
    </w:p>
    <w:p w14:paraId="0BDE568D">
      <w:pPr>
        <w:pStyle w:val="2"/>
        <w:spacing w:line="241" w:lineRule="auto"/>
      </w:pPr>
    </w:p>
    <w:p w14:paraId="40DD5E42">
      <w:pPr>
        <w:pStyle w:val="2"/>
        <w:spacing w:line="241" w:lineRule="auto"/>
      </w:pPr>
    </w:p>
    <w:p w14:paraId="71CEF694">
      <w:pPr>
        <w:pStyle w:val="2"/>
        <w:spacing w:line="242" w:lineRule="auto"/>
      </w:pPr>
    </w:p>
    <w:p w14:paraId="4CADBF19">
      <w:pPr>
        <w:pStyle w:val="2"/>
        <w:spacing w:line="242" w:lineRule="auto"/>
      </w:pPr>
    </w:p>
    <w:p w14:paraId="1923B547">
      <w:pPr>
        <w:pStyle w:val="2"/>
        <w:spacing w:line="242" w:lineRule="auto"/>
      </w:pPr>
    </w:p>
    <w:p w14:paraId="6CDA2D65">
      <w:pPr>
        <w:pStyle w:val="2"/>
        <w:spacing w:line="242" w:lineRule="auto"/>
      </w:pPr>
    </w:p>
    <w:p w14:paraId="2E840FD5">
      <w:pPr>
        <w:pStyle w:val="2"/>
        <w:spacing w:line="242" w:lineRule="auto"/>
      </w:pPr>
    </w:p>
    <w:p w14:paraId="50B44D71">
      <w:pPr>
        <w:pStyle w:val="2"/>
        <w:spacing w:line="242" w:lineRule="auto"/>
      </w:pPr>
    </w:p>
    <w:p w14:paraId="20E3A498">
      <w:pPr>
        <w:pStyle w:val="2"/>
        <w:spacing w:line="242" w:lineRule="auto"/>
      </w:pPr>
    </w:p>
    <w:p w14:paraId="046E312C">
      <w:pPr>
        <w:pStyle w:val="2"/>
        <w:spacing w:line="242" w:lineRule="auto"/>
      </w:pPr>
    </w:p>
    <w:p w14:paraId="6A8A9B64">
      <w:pPr>
        <w:pStyle w:val="2"/>
        <w:spacing w:line="242" w:lineRule="auto"/>
      </w:pPr>
    </w:p>
    <w:p w14:paraId="2E1238DD">
      <w:pPr>
        <w:pStyle w:val="2"/>
        <w:spacing w:line="242" w:lineRule="auto"/>
      </w:pPr>
    </w:p>
    <w:p w14:paraId="0F64A180">
      <w:pPr>
        <w:pStyle w:val="2"/>
        <w:spacing w:line="242" w:lineRule="auto"/>
      </w:pPr>
    </w:p>
    <w:p w14:paraId="631B6DE2">
      <w:pPr>
        <w:pStyle w:val="2"/>
        <w:spacing w:line="242" w:lineRule="auto"/>
      </w:pPr>
    </w:p>
    <w:p w14:paraId="4F482610">
      <w:pPr>
        <w:pStyle w:val="2"/>
        <w:spacing w:line="242" w:lineRule="auto"/>
      </w:pPr>
    </w:p>
    <w:p w14:paraId="7BF75C9E">
      <w:pPr>
        <w:pStyle w:val="2"/>
        <w:spacing w:line="242" w:lineRule="auto"/>
      </w:pPr>
    </w:p>
    <w:p w14:paraId="7AD6C6A8">
      <w:pPr>
        <w:pStyle w:val="2"/>
        <w:spacing w:line="242" w:lineRule="auto"/>
      </w:pPr>
    </w:p>
    <w:p w14:paraId="4627E253">
      <w:pPr>
        <w:pStyle w:val="2"/>
        <w:spacing w:line="242" w:lineRule="auto"/>
      </w:pPr>
    </w:p>
    <w:p w14:paraId="1DAFC592">
      <w:pPr>
        <w:pStyle w:val="2"/>
        <w:spacing w:line="242" w:lineRule="auto"/>
      </w:pPr>
    </w:p>
    <w:p w14:paraId="3C4EB38F">
      <w:pPr>
        <w:pStyle w:val="2"/>
        <w:spacing w:line="242" w:lineRule="auto"/>
      </w:pPr>
    </w:p>
    <w:p w14:paraId="7BF32ABC">
      <w:pPr>
        <w:pStyle w:val="2"/>
        <w:spacing w:line="242" w:lineRule="auto"/>
      </w:pPr>
    </w:p>
    <w:p w14:paraId="4914BD54">
      <w:pPr>
        <w:pStyle w:val="2"/>
        <w:spacing w:line="242" w:lineRule="auto"/>
      </w:pPr>
    </w:p>
    <w:p w14:paraId="0E73E5E9">
      <w:pPr>
        <w:pStyle w:val="2"/>
        <w:spacing w:line="242" w:lineRule="auto"/>
      </w:pPr>
    </w:p>
    <w:p w14:paraId="5F226464">
      <w:pPr>
        <w:pStyle w:val="2"/>
        <w:spacing w:line="242" w:lineRule="auto"/>
      </w:pPr>
    </w:p>
    <w:p w14:paraId="23513BA2">
      <w:pPr>
        <w:pStyle w:val="2"/>
        <w:spacing w:line="242" w:lineRule="auto"/>
      </w:pPr>
    </w:p>
    <w:p w14:paraId="6660DC22">
      <w:pPr>
        <w:pStyle w:val="2"/>
        <w:spacing w:line="242" w:lineRule="auto"/>
      </w:pPr>
    </w:p>
    <w:p w14:paraId="49E9678F">
      <w:pPr>
        <w:spacing w:before="91" w:line="221" w:lineRule="auto"/>
        <w:ind w:left="227"/>
        <w:outlineLvl w:val="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34"/>
          <w:sz w:val="28"/>
          <w:szCs w:val="28"/>
        </w:rPr>
        <w:t>甲</w:t>
      </w:r>
      <w:r>
        <w:rPr>
          <w:rFonts w:ascii="宋体" w:hAnsi="宋体" w:eastAsia="宋体" w:cs="宋体"/>
          <w:spacing w:val="6"/>
          <w:sz w:val="28"/>
          <w:szCs w:val="28"/>
        </w:rPr>
        <w:t xml:space="preserve">  </w:t>
      </w:r>
      <w:r>
        <w:rPr>
          <w:rFonts w:ascii="宋体" w:hAnsi="宋体" w:eastAsia="宋体" w:cs="宋体"/>
          <w:b/>
          <w:bCs/>
          <w:spacing w:val="-34"/>
          <w:sz w:val="28"/>
          <w:szCs w:val="28"/>
        </w:rPr>
        <w:t>方</w:t>
      </w:r>
      <w:r>
        <w:rPr>
          <w:rFonts w:ascii="宋体" w:hAnsi="宋体" w:eastAsia="宋体" w:cs="宋体"/>
          <w:spacing w:val="-105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-34"/>
          <w:sz w:val="28"/>
          <w:szCs w:val="28"/>
        </w:rPr>
        <w:t>：</w:t>
      </w:r>
      <w:r>
        <w:rPr>
          <w:rFonts w:ascii="宋体" w:hAnsi="宋体" w:eastAsia="宋体" w:cs="宋体"/>
          <w:sz w:val="28"/>
          <w:szCs w:val="28"/>
          <w:u w:val="single" w:color="auto"/>
        </w:rPr>
        <w:t xml:space="preserve">  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 w:color="auto"/>
          <w:lang w:eastAsia="zh-CN"/>
        </w:rPr>
        <w:t>河北光华荣昌汽车部件有限公司</w:t>
      </w:r>
      <w:r>
        <w:rPr>
          <w:rFonts w:ascii="宋体" w:hAnsi="宋体" w:eastAsia="宋体" w:cs="宋体"/>
          <w:b/>
          <w:bCs/>
          <w:sz w:val="28"/>
          <w:szCs w:val="28"/>
          <w:u w:val="single" w:color="auto"/>
        </w:rPr>
        <w:t xml:space="preserve"> </w:t>
      </w:r>
      <w:r>
        <w:rPr>
          <w:rFonts w:ascii="宋体" w:hAnsi="宋体" w:eastAsia="宋体" w:cs="宋体"/>
          <w:sz w:val="28"/>
          <w:szCs w:val="28"/>
          <w:u w:val="single" w:color="auto"/>
        </w:rPr>
        <w:t xml:space="preserve">                                       </w:t>
      </w:r>
    </w:p>
    <w:p w14:paraId="72CBF93D">
      <w:pPr>
        <w:pStyle w:val="2"/>
        <w:spacing w:line="329" w:lineRule="auto"/>
      </w:pPr>
    </w:p>
    <w:p w14:paraId="26CB4863">
      <w:pPr>
        <w:pStyle w:val="2"/>
        <w:spacing w:line="329" w:lineRule="auto"/>
      </w:pPr>
    </w:p>
    <w:p w14:paraId="5B2CB649">
      <w:pPr>
        <w:spacing w:before="91" w:line="220" w:lineRule="auto"/>
        <w:ind w:left="218"/>
        <w:outlineLvl w:val="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乙</w:t>
      </w:r>
      <w:r>
        <w:rPr>
          <w:rFonts w:ascii="宋体" w:hAnsi="宋体" w:eastAsia="宋体" w:cs="宋体"/>
          <w:spacing w:val="-5"/>
          <w:sz w:val="28"/>
          <w:szCs w:val="28"/>
        </w:rPr>
        <w:t xml:space="preserve">  </w:t>
      </w: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方：</w:t>
      </w:r>
      <w:r>
        <w:rPr>
          <w:rFonts w:ascii="宋体" w:hAnsi="宋体" w:eastAsia="宋体" w:cs="宋体"/>
          <w:spacing w:val="49"/>
          <w:sz w:val="28"/>
          <w:szCs w:val="28"/>
          <w:u w:val="single" w:color="auto"/>
        </w:rPr>
        <w:t xml:space="preserve"> </w:t>
      </w:r>
      <w:r>
        <w:rPr>
          <w:rFonts w:ascii="宋体" w:hAnsi="宋体" w:eastAsia="宋体" w:cs="宋体"/>
          <w:b/>
          <w:bCs/>
          <w:spacing w:val="-5"/>
          <w:sz w:val="28"/>
          <w:szCs w:val="28"/>
          <w:u w:val="single" w:color="auto"/>
        </w:rPr>
        <w:t>中国邮政速递物流股份有限公司济南市第二分公司</w:t>
      </w:r>
      <w:r>
        <w:rPr>
          <w:rFonts w:ascii="宋体" w:hAnsi="宋体" w:eastAsia="宋体" w:cs="宋体"/>
          <w:sz w:val="28"/>
          <w:szCs w:val="28"/>
          <w:u w:val="single" w:color="auto"/>
        </w:rPr>
        <w:t xml:space="preserve">  </w:t>
      </w:r>
    </w:p>
    <w:p w14:paraId="1857A460">
      <w:pPr>
        <w:spacing w:line="220" w:lineRule="auto"/>
        <w:rPr>
          <w:rFonts w:ascii="宋体" w:hAnsi="宋体" w:eastAsia="宋体" w:cs="宋体"/>
          <w:sz w:val="28"/>
          <w:szCs w:val="28"/>
        </w:rPr>
        <w:sectPr>
          <w:headerReference r:id="rId5" w:type="default"/>
          <w:footerReference r:id="rId6" w:type="default"/>
          <w:pgSz w:w="11906" w:h="16839"/>
          <w:pgMar w:top="400" w:right="1305" w:bottom="1166" w:left="1238" w:header="0" w:footer="952" w:gutter="0"/>
          <w:cols w:space="720" w:num="1"/>
        </w:sectPr>
      </w:pPr>
    </w:p>
    <w:p w14:paraId="7D9CC5D4">
      <w:pPr>
        <w:pStyle w:val="2"/>
        <w:spacing w:line="255" w:lineRule="auto"/>
        <w:rPr>
          <w:rFonts w:hint="eastAsia" w:eastAsia="宋体"/>
          <w:lang w:eastAsia="zh-CN"/>
        </w:rPr>
      </w:pPr>
    </w:p>
    <w:p w14:paraId="577389A2">
      <w:pPr>
        <w:pStyle w:val="2"/>
        <w:spacing w:line="255" w:lineRule="auto"/>
      </w:pPr>
    </w:p>
    <w:p w14:paraId="38F3045E">
      <w:pPr>
        <w:pStyle w:val="2"/>
        <w:spacing w:line="255" w:lineRule="auto"/>
      </w:pPr>
    </w:p>
    <w:p w14:paraId="0356AAF0">
      <w:pPr>
        <w:pStyle w:val="2"/>
        <w:spacing w:line="255" w:lineRule="auto"/>
      </w:pPr>
    </w:p>
    <w:p w14:paraId="37B6980A">
      <w:pPr>
        <w:pStyle w:val="2"/>
        <w:spacing w:line="255" w:lineRule="auto"/>
      </w:pPr>
    </w:p>
    <w:p w14:paraId="27A3FB7F">
      <w:pPr>
        <w:spacing w:before="78" w:line="219" w:lineRule="auto"/>
        <w:ind w:left="3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甲方</w:t>
      </w:r>
      <w:r>
        <w:rPr>
          <w:rFonts w:ascii="宋体" w:hAnsi="宋体" w:eastAsia="宋体" w:cs="宋体"/>
          <w:spacing w:val="-15"/>
          <w:sz w:val="24"/>
          <w:szCs w:val="24"/>
        </w:rPr>
        <w:t>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u w:val="single" w:color="auto"/>
          <w:lang w:eastAsia="zh-CN"/>
        </w:rPr>
        <w:t>河北光华荣昌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           </w:t>
      </w:r>
      <w:r>
        <w:rPr>
          <w:rFonts w:ascii="宋体" w:hAnsi="宋体" w:eastAsia="宋体" w:cs="宋体"/>
          <w:spacing w:val="-15"/>
          <w:sz w:val="24"/>
          <w:szCs w:val="24"/>
        </w:rPr>
        <w:t>（</w:t>
      </w:r>
      <w:r>
        <w:rPr>
          <w:rFonts w:ascii="宋体" w:hAnsi="宋体" w:eastAsia="宋体" w:cs="宋体"/>
          <w:spacing w:val="-1"/>
          <w:sz w:val="24"/>
          <w:szCs w:val="24"/>
        </w:rPr>
        <w:t>以下简称甲方或供应商）</w:t>
      </w:r>
    </w:p>
    <w:p w14:paraId="7BC4194B">
      <w:pPr>
        <w:spacing w:before="180" w:line="219" w:lineRule="auto"/>
        <w:ind w:left="2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乙方：中国邮政速递物流股份有限公司济南市第二分公司（以下简称乙方或物流公司）</w:t>
      </w:r>
    </w:p>
    <w:p w14:paraId="01BC84D0">
      <w:pPr>
        <w:pStyle w:val="2"/>
        <w:spacing w:line="282" w:lineRule="auto"/>
      </w:pPr>
    </w:p>
    <w:p w14:paraId="72EB4A87">
      <w:pPr>
        <w:pStyle w:val="2"/>
        <w:spacing w:line="283" w:lineRule="auto"/>
      </w:pPr>
    </w:p>
    <w:p w14:paraId="7674A0C7">
      <w:pPr>
        <w:spacing w:before="78" w:line="352" w:lineRule="auto"/>
        <w:ind w:firstLine="511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sz w:val="24"/>
          <w:szCs w:val="24"/>
        </w:rPr>
        <w:t>甲方是中国重汽集团成都王牌商用车有限公司（</w:t>
      </w:r>
      <w:r>
        <w:rPr>
          <w:rFonts w:ascii="宋体" w:hAnsi="宋体" w:eastAsia="宋体" w:cs="宋体"/>
          <w:sz w:val="24"/>
          <w:szCs w:val="24"/>
        </w:rPr>
        <w:t xml:space="preserve">以下简称：成都王牌）配套件的供 </w:t>
      </w:r>
      <w:r>
        <w:rPr>
          <w:rFonts w:ascii="宋体" w:hAnsi="宋体" w:eastAsia="宋体" w:cs="宋体"/>
          <w:spacing w:val="1"/>
          <w:sz w:val="24"/>
          <w:szCs w:val="24"/>
        </w:rPr>
        <w:t>应商，乙方是成都王牌签约的第三方物流公司。为满足成都王牌的生产经营需要，甲方</w:t>
      </w:r>
      <w:r>
        <w:rPr>
          <w:rFonts w:ascii="宋体" w:hAnsi="宋体" w:eastAsia="宋体" w:cs="宋体"/>
          <w:spacing w:val="1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>根据乙方现有仓储条件和物流配送能力，并参照成都王牌相关管理制度要求，确定委托</w:t>
      </w:r>
      <w:r>
        <w:rPr>
          <w:rFonts w:ascii="宋体" w:hAnsi="宋体" w:eastAsia="宋体" w:cs="宋体"/>
          <w:spacing w:val="17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乙方为“第三方物流</w:t>
      </w:r>
      <w:r>
        <w:rPr>
          <w:rFonts w:ascii="宋体" w:hAnsi="宋体" w:eastAsia="宋体" w:cs="宋体"/>
          <w:spacing w:val="-68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”服务单位，负责甲方委托产品的仓储保管、配送发交、器具管理 业务，为明确甲、乙双方的权利及义务，经过平等</w:t>
      </w:r>
      <w:r>
        <w:rPr>
          <w:rFonts w:ascii="宋体" w:hAnsi="宋体" w:eastAsia="宋体" w:cs="宋体"/>
          <w:spacing w:val="-1"/>
          <w:sz w:val="24"/>
          <w:szCs w:val="24"/>
        </w:rPr>
        <w:t>协商，签订协议如下：</w:t>
      </w:r>
    </w:p>
    <w:p w14:paraId="6871E339">
      <w:pPr>
        <w:spacing w:before="35" w:line="219" w:lineRule="auto"/>
        <w:ind w:left="484"/>
        <w:outlineLvl w:val="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6"/>
          <w:sz w:val="24"/>
          <w:szCs w:val="24"/>
        </w:rPr>
        <w:t>一、“第三方物流</w:t>
      </w:r>
      <w:r>
        <w:rPr>
          <w:rFonts w:ascii="宋体" w:hAnsi="宋体" w:eastAsia="宋体" w:cs="宋体"/>
          <w:spacing w:val="-76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6"/>
          <w:sz w:val="24"/>
          <w:szCs w:val="24"/>
        </w:rPr>
        <w:t>”服务内容：</w:t>
      </w:r>
    </w:p>
    <w:p w14:paraId="3793427A">
      <w:pPr>
        <w:spacing w:before="183" w:line="352" w:lineRule="auto"/>
        <w:ind w:firstLine="504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sz w:val="24"/>
          <w:szCs w:val="24"/>
        </w:rPr>
        <w:t>乙方依据成都王牌相关管理制度要求，对成都王牌所需并由甲方</w:t>
      </w:r>
      <w:r>
        <w:rPr>
          <w:rFonts w:ascii="宋体" w:hAnsi="宋体" w:eastAsia="宋体" w:cs="宋体"/>
          <w:sz w:val="24"/>
          <w:szCs w:val="24"/>
        </w:rPr>
        <w:t xml:space="preserve">委托的配套产品提 </w:t>
      </w:r>
      <w:r>
        <w:rPr>
          <w:rFonts w:ascii="宋体" w:hAnsi="宋体" w:eastAsia="宋体" w:cs="宋体"/>
          <w:spacing w:val="1"/>
          <w:sz w:val="24"/>
          <w:szCs w:val="24"/>
        </w:rPr>
        <w:t>供托管服务，托管指甲方委托乙方代为保管货物，货物交乙方后，货物所有权仍属于甲</w:t>
      </w:r>
      <w:r>
        <w:rPr>
          <w:rFonts w:ascii="宋体" w:hAnsi="宋体" w:eastAsia="宋体" w:cs="宋体"/>
          <w:spacing w:val="1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>方，货物从乙方出库到成都王牌装配线后货物所有权转移至成都王牌，主要包括仓储管</w:t>
      </w:r>
      <w:r>
        <w:rPr>
          <w:rFonts w:ascii="宋体" w:hAnsi="宋体" w:eastAsia="宋体" w:cs="宋体"/>
          <w:spacing w:val="1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>理、配送发交、信息传递等工作，乙方接受成都王牌的业务指导、监督及管理、服务过</w:t>
      </w:r>
      <w:r>
        <w:rPr>
          <w:rFonts w:ascii="宋体" w:hAnsi="宋体" w:eastAsia="宋体" w:cs="宋体"/>
          <w:spacing w:val="1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程考核。</w:t>
      </w:r>
    </w:p>
    <w:p w14:paraId="1D9CED7B">
      <w:pPr>
        <w:spacing w:before="35" w:line="218" w:lineRule="auto"/>
        <w:ind w:left="484"/>
        <w:outlineLvl w:val="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二、委托产品明细及物流费价格：</w:t>
      </w:r>
    </w:p>
    <w:p w14:paraId="7FE08081">
      <w:pPr>
        <w:spacing w:before="180" w:line="219" w:lineRule="auto"/>
        <w:ind w:left="511"/>
        <w:outlineLvl w:val="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甲、乙双方经友好协商签订（详情见第六页）。</w:t>
      </w:r>
    </w:p>
    <w:p w14:paraId="2C2FF881">
      <w:pPr>
        <w:spacing w:before="181" w:line="219" w:lineRule="auto"/>
        <w:ind w:left="480"/>
        <w:outlineLvl w:val="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三、权利与义务：</w:t>
      </w:r>
    </w:p>
    <w:p w14:paraId="4AAD9737">
      <w:pPr>
        <w:spacing w:before="181" w:line="219" w:lineRule="auto"/>
        <w:ind w:left="511"/>
        <w:outlineLvl w:val="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7"/>
          <w:sz w:val="24"/>
          <w:szCs w:val="24"/>
        </w:rPr>
        <w:t>甲方的权利与义务：</w:t>
      </w:r>
    </w:p>
    <w:p w14:paraId="64BCD538">
      <w:pPr>
        <w:spacing w:before="181" w:line="311" w:lineRule="auto"/>
        <w:ind w:left="20" w:right="2" w:firstLine="47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1、甲方根据成都王牌要货通知单据的相关要求送达产品</w:t>
      </w:r>
      <w:r>
        <w:rPr>
          <w:rFonts w:ascii="宋体" w:hAnsi="宋体" w:eastAsia="宋体" w:cs="宋体"/>
          <w:spacing w:val="-3"/>
          <w:sz w:val="24"/>
          <w:szCs w:val="24"/>
        </w:rPr>
        <w:t>到乙方公司，对于超出计划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>的产品，甲方应及时与成都王牌沟通，如需办理入库，由成都王牌增加系</w:t>
      </w:r>
      <w:r>
        <w:rPr>
          <w:rFonts w:ascii="宋体" w:hAnsi="宋体" w:eastAsia="宋体" w:cs="宋体"/>
          <w:sz w:val="24"/>
          <w:szCs w:val="24"/>
        </w:rPr>
        <w:t xml:space="preserve">统要货计划， </w:t>
      </w:r>
      <w:r>
        <w:rPr>
          <w:rFonts w:ascii="宋体" w:hAnsi="宋体" w:eastAsia="宋体" w:cs="宋体"/>
          <w:spacing w:val="-3"/>
          <w:sz w:val="24"/>
          <w:szCs w:val="24"/>
        </w:rPr>
        <w:t>乙方按计划办理入库。</w:t>
      </w:r>
    </w:p>
    <w:p w14:paraId="7E842889">
      <w:pPr>
        <w:spacing w:before="179" w:line="338" w:lineRule="auto"/>
        <w:ind w:firstLine="48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2、货物到达乙方仓储地同时，甲方应向乙方提交完整的货物清单和要货通知单据，</w:t>
      </w:r>
      <w:r>
        <w:rPr>
          <w:rFonts w:ascii="宋体" w:hAnsi="宋体" w:eastAsia="宋体" w:cs="宋体"/>
          <w:spacing w:val="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>清单应明确送达货物的厂家、产品名称、产品编号、数量、运输车辆牌号；乙方与甲方</w:t>
      </w:r>
      <w:r>
        <w:rPr>
          <w:rFonts w:ascii="宋体" w:hAnsi="宋体" w:eastAsia="宋体" w:cs="宋体"/>
          <w:spacing w:val="17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在交接过程中发现送达产品与送货清单不符（品种、数量、质量存在差异</w:t>
      </w:r>
      <w:r>
        <w:rPr>
          <w:rFonts w:ascii="宋体" w:hAnsi="宋体" w:eastAsia="宋体" w:cs="宋体"/>
          <w:spacing w:val="27"/>
          <w:sz w:val="24"/>
          <w:szCs w:val="24"/>
        </w:rPr>
        <w:t>），</w:t>
      </w:r>
      <w:r>
        <w:rPr>
          <w:rFonts w:ascii="宋体" w:hAnsi="宋体" w:eastAsia="宋体" w:cs="宋体"/>
          <w:sz w:val="24"/>
          <w:szCs w:val="24"/>
        </w:rPr>
        <w:t>乙方与甲</w:t>
      </w:r>
      <w:r>
        <w:rPr>
          <w:rFonts w:ascii="宋体" w:hAnsi="宋体" w:eastAsia="宋体" w:cs="宋体"/>
          <w:spacing w:val="1"/>
          <w:sz w:val="24"/>
          <w:szCs w:val="24"/>
        </w:rPr>
        <w:t xml:space="preserve"> 方业务人员签字确认，并按实物接收，乙方有权将相关信息当时反馈成都王牌，成都王</w:t>
      </w:r>
      <w:r>
        <w:rPr>
          <w:rFonts w:ascii="宋体" w:hAnsi="宋体" w:eastAsia="宋体" w:cs="宋体"/>
          <w:spacing w:val="1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>牌相关部门现场核实后对甲方进行处理。因甲方责任而甲方不配合的，乙方有权拒收甲</w:t>
      </w:r>
      <w:r>
        <w:rPr>
          <w:rFonts w:ascii="宋体" w:hAnsi="宋体" w:eastAsia="宋体" w:cs="宋体"/>
          <w:spacing w:val="1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>方的产品，并同时向成都王牌反馈相应信息，经成都王牌现场核实，责任确属甲方的，</w:t>
      </w:r>
      <w:r>
        <w:rPr>
          <w:rFonts w:ascii="宋体" w:hAnsi="宋体" w:eastAsia="宋体" w:cs="宋体"/>
          <w:spacing w:val="1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所造成的损失由甲方负责。</w:t>
      </w:r>
    </w:p>
    <w:p w14:paraId="77D93902">
      <w:pPr>
        <w:spacing w:before="181" w:line="219" w:lineRule="auto"/>
        <w:ind w:right="2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3、甲方应确保产品质量及包装符合成都王牌规定的要求，并执行成都王牌质量部门</w:t>
      </w:r>
    </w:p>
    <w:p w14:paraId="1DD58F75">
      <w:pPr>
        <w:spacing w:line="219" w:lineRule="auto"/>
        <w:rPr>
          <w:rFonts w:ascii="宋体" w:hAnsi="宋体" w:eastAsia="宋体" w:cs="宋体"/>
          <w:sz w:val="24"/>
          <w:szCs w:val="24"/>
        </w:rPr>
        <w:sectPr>
          <w:headerReference r:id="rId7" w:type="default"/>
          <w:footerReference r:id="rId8" w:type="default"/>
          <w:pgSz w:w="11906" w:h="16839"/>
          <w:pgMar w:top="400" w:right="1302" w:bottom="1166" w:left="1426" w:header="0" w:footer="952" w:gutter="0"/>
          <w:cols w:space="720" w:num="1"/>
        </w:sectPr>
      </w:pPr>
    </w:p>
    <w:p w14:paraId="0D208AE4">
      <w:pPr>
        <w:pStyle w:val="2"/>
        <w:spacing w:line="266" w:lineRule="auto"/>
      </w:pPr>
    </w:p>
    <w:p w14:paraId="38D87BDB">
      <w:pPr>
        <w:pStyle w:val="2"/>
        <w:spacing w:line="267" w:lineRule="auto"/>
      </w:pPr>
    </w:p>
    <w:p w14:paraId="2D2B61DB">
      <w:pPr>
        <w:pStyle w:val="2"/>
        <w:spacing w:line="267" w:lineRule="auto"/>
      </w:pPr>
    </w:p>
    <w:p w14:paraId="5602F083">
      <w:pPr>
        <w:pStyle w:val="2"/>
        <w:spacing w:line="267" w:lineRule="auto"/>
      </w:pPr>
    </w:p>
    <w:p w14:paraId="6A4878DE">
      <w:pPr>
        <w:spacing w:before="78" w:line="219" w:lineRule="auto"/>
        <w:ind w:left="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开具的产品质量反馈单据，据此委托乙方予以退回不合格产品。</w:t>
      </w:r>
    </w:p>
    <w:p w14:paraId="68EF5748">
      <w:pPr>
        <w:spacing w:before="179" w:line="289" w:lineRule="auto"/>
        <w:ind w:right="2" w:firstLine="48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4、甲方每季度至少完成一次与乙方的产品对账工作（包括：入库、出库、返厂、库</w:t>
      </w:r>
      <w:r>
        <w:rPr>
          <w:rFonts w:ascii="宋体" w:hAnsi="宋体" w:eastAsia="宋体" w:cs="宋体"/>
          <w:spacing w:val="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存账物等</w:t>
      </w:r>
      <w:r>
        <w:rPr>
          <w:rFonts w:ascii="宋体" w:hAnsi="宋体" w:eastAsia="宋体" w:cs="宋体"/>
          <w:spacing w:val="11"/>
          <w:sz w:val="24"/>
          <w:szCs w:val="24"/>
        </w:rPr>
        <w:t>），</w:t>
      </w:r>
      <w:r>
        <w:rPr>
          <w:rFonts w:ascii="宋体" w:hAnsi="宋体" w:eastAsia="宋体" w:cs="宋体"/>
          <w:spacing w:val="-1"/>
          <w:sz w:val="24"/>
          <w:szCs w:val="24"/>
        </w:rPr>
        <w:t>并与乙方完成差异处理签订对账证明，转成都王牌相关部门留存。</w:t>
      </w:r>
    </w:p>
    <w:p w14:paraId="7C1ECEEB">
      <w:pPr>
        <w:spacing w:before="181" w:line="311" w:lineRule="auto"/>
        <w:ind w:left="7" w:right="2" w:firstLine="47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5、甲方超过一季度未与乙方进行产品对账工作，视为对实物信息账无异议。如甲方</w:t>
      </w:r>
      <w:r>
        <w:rPr>
          <w:rFonts w:ascii="宋体" w:hAnsi="宋体" w:eastAsia="宋体" w:cs="宋体"/>
          <w:spacing w:val="1"/>
          <w:sz w:val="24"/>
          <w:szCs w:val="24"/>
        </w:rPr>
        <w:t xml:space="preserve"> 到乙方单位进行产品对账，乙方不予配合，甲方可到成都王牌相关部门进行举报，双方</w:t>
      </w:r>
      <w:r>
        <w:rPr>
          <w:rFonts w:ascii="宋体" w:hAnsi="宋体" w:eastAsia="宋体" w:cs="宋体"/>
          <w:spacing w:val="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同意由成都王牌相关部门进行调查、处理。</w:t>
      </w:r>
    </w:p>
    <w:p w14:paraId="52EF60F2">
      <w:pPr>
        <w:spacing w:before="180" w:line="323" w:lineRule="auto"/>
        <w:ind w:firstLine="48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6、按甲、乙双方签订的协议约定及与成都王牌的约定，甲方有权对乙方提交的物流</w:t>
      </w:r>
      <w:r>
        <w:rPr>
          <w:rFonts w:ascii="宋体" w:hAnsi="宋体" w:eastAsia="宋体" w:cs="宋体"/>
          <w:spacing w:val="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>服务费结算账目进行审核，甲方同意由成都王牌负责以甲方在成都王牌的货款抵扣并转</w:t>
      </w:r>
      <w:r>
        <w:rPr>
          <w:rFonts w:ascii="宋体" w:hAnsi="宋体" w:eastAsia="宋体" w:cs="宋体"/>
          <w:spacing w:val="1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>账给乙方。非因乙方原因导致物流服务费结算账目未及时确认，由成都王牌商用车审核</w:t>
      </w:r>
      <w:r>
        <w:rPr>
          <w:rFonts w:ascii="宋体" w:hAnsi="宋体" w:eastAsia="宋体" w:cs="宋体"/>
          <w:spacing w:val="1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后强制执行代扣转付。</w:t>
      </w:r>
    </w:p>
    <w:p w14:paraId="4F76E043">
      <w:pPr>
        <w:spacing w:before="180" w:line="219" w:lineRule="auto"/>
        <w:ind w:left="48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7、甲方须按成都王牌要求提供必要的周转工具或产品防护器具。</w:t>
      </w:r>
    </w:p>
    <w:p w14:paraId="14110B55">
      <w:pPr>
        <w:spacing w:before="182" w:line="287" w:lineRule="auto"/>
        <w:ind w:left="4" w:right="2" w:firstLine="47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8、甲方必须及时清退入库质检的不合格产品，超过</w:t>
      </w:r>
      <w:r>
        <w:rPr>
          <w:rFonts w:ascii="宋体" w:hAnsi="宋体" w:eastAsia="宋体" w:cs="宋体"/>
          <w:spacing w:val="-3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7</w:t>
      </w:r>
      <w:r>
        <w:rPr>
          <w:rFonts w:ascii="宋体" w:hAnsi="宋体" w:eastAsia="宋体" w:cs="宋体"/>
          <w:spacing w:val="-4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天未完成退库，经成都王牌相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关部门同意后乙方有权拒收新到货。</w:t>
      </w:r>
    </w:p>
    <w:p w14:paraId="5FF95258">
      <w:pPr>
        <w:spacing w:before="180" w:line="312" w:lineRule="auto"/>
        <w:ind w:left="2" w:right="2" w:firstLine="47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9、甲方必须及时清退经成都王牌确认后的超期三个月的积压物资，甲方在接到成都</w:t>
      </w:r>
      <w:r>
        <w:rPr>
          <w:rFonts w:ascii="宋体" w:hAnsi="宋体" w:eastAsia="宋体" w:cs="宋体"/>
          <w:spacing w:val="5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王牌通知后</w:t>
      </w:r>
      <w:r>
        <w:rPr>
          <w:rFonts w:ascii="宋体" w:hAnsi="宋体" w:eastAsia="宋体" w:cs="宋体"/>
          <w:spacing w:val="-27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5</w:t>
      </w:r>
      <w:r>
        <w:rPr>
          <w:rFonts w:ascii="宋体" w:hAnsi="宋体" w:eastAsia="宋体" w:cs="宋体"/>
          <w:spacing w:val="-43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 xml:space="preserve">天内办理退库手续并将产品清退，逾期未退，经成都王牌相关部门同意后 </w:t>
      </w:r>
      <w:r>
        <w:rPr>
          <w:rFonts w:ascii="宋体" w:hAnsi="宋体" w:eastAsia="宋体" w:cs="宋体"/>
          <w:spacing w:val="-2"/>
          <w:sz w:val="24"/>
          <w:szCs w:val="24"/>
        </w:rPr>
        <w:t>乙方有权拒收新到货。</w:t>
      </w:r>
    </w:p>
    <w:p w14:paraId="2EB381AD">
      <w:pPr>
        <w:spacing w:before="179" w:line="312" w:lineRule="auto"/>
        <w:ind w:left="1" w:firstLine="49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sz w:val="24"/>
          <w:szCs w:val="24"/>
        </w:rPr>
        <w:t>10、甲方须保证存储于乙方的产品包装能适应乙方的仓储要求，对包装不满</w:t>
      </w:r>
      <w:r>
        <w:rPr>
          <w:rFonts w:ascii="宋体" w:hAnsi="宋体" w:eastAsia="宋体" w:cs="宋体"/>
          <w:sz w:val="24"/>
          <w:szCs w:val="24"/>
        </w:rPr>
        <w:t xml:space="preserve">足仓储 </w:t>
      </w:r>
      <w:r>
        <w:rPr>
          <w:rFonts w:ascii="宋体" w:hAnsi="宋体" w:eastAsia="宋体" w:cs="宋体"/>
          <w:spacing w:val="1"/>
          <w:sz w:val="24"/>
          <w:szCs w:val="24"/>
        </w:rPr>
        <w:t>要求的产品，经成都王牌相关部门同意，乙方有权拒绝接收。因甲方产品包装问题造成</w:t>
      </w:r>
      <w:r>
        <w:rPr>
          <w:rFonts w:ascii="宋体" w:hAnsi="宋体" w:eastAsia="宋体" w:cs="宋体"/>
          <w:spacing w:val="1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的甲方产品质量问题，由甲方承担责任。</w:t>
      </w:r>
    </w:p>
    <w:p w14:paraId="3D5B9DBB">
      <w:pPr>
        <w:spacing w:before="180" w:line="288" w:lineRule="auto"/>
        <w:ind w:left="9" w:right="2" w:firstLine="48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sz w:val="24"/>
          <w:szCs w:val="24"/>
        </w:rPr>
        <w:t>11、因乙方仓储、配送造成甲方产品出现丢失、损坏或其他质量问题，由乙</w:t>
      </w:r>
      <w:r>
        <w:rPr>
          <w:rFonts w:ascii="宋体" w:hAnsi="宋体" w:eastAsia="宋体" w:cs="宋体"/>
          <w:sz w:val="24"/>
          <w:szCs w:val="24"/>
        </w:rPr>
        <w:t xml:space="preserve">方承担 </w:t>
      </w:r>
      <w:r>
        <w:rPr>
          <w:rFonts w:ascii="宋体" w:hAnsi="宋体" w:eastAsia="宋体" w:cs="宋体"/>
          <w:spacing w:val="-2"/>
          <w:sz w:val="24"/>
          <w:szCs w:val="24"/>
        </w:rPr>
        <w:t>责任，甲方有权提出索赔。</w:t>
      </w:r>
    </w:p>
    <w:p w14:paraId="34D1F2E9">
      <w:pPr>
        <w:spacing w:before="180" w:line="312" w:lineRule="auto"/>
        <w:ind w:left="4" w:right="2" w:firstLine="49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12、当出现以下情形时，甲方有权向成都王牌提出转物流申请</w:t>
      </w:r>
      <w:r>
        <w:rPr>
          <w:rFonts w:ascii="宋体" w:hAnsi="宋体" w:eastAsia="宋体" w:cs="宋体"/>
          <w:spacing w:val="-3"/>
          <w:sz w:val="24"/>
          <w:szCs w:val="24"/>
        </w:rPr>
        <w:t>：A、乙方当月因配送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问题影响成都王牌生产超过</w:t>
      </w:r>
      <w:r>
        <w:rPr>
          <w:rFonts w:ascii="宋体" w:hAnsi="宋体" w:eastAsia="宋体" w:cs="宋体"/>
          <w:spacing w:val="-4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3</w:t>
      </w:r>
      <w:r>
        <w:rPr>
          <w:rFonts w:ascii="宋体" w:hAnsi="宋体" w:eastAsia="宋体" w:cs="宋体"/>
          <w:spacing w:val="-4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次；B、乙方服务质量不</w:t>
      </w:r>
      <w:r>
        <w:rPr>
          <w:rFonts w:ascii="宋体" w:hAnsi="宋体" w:eastAsia="宋体" w:cs="宋体"/>
          <w:spacing w:val="-4"/>
          <w:sz w:val="24"/>
          <w:szCs w:val="24"/>
        </w:rPr>
        <w:t>能满足甲方要求，经</w:t>
      </w:r>
      <w:r>
        <w:rPr>
          <w:rFonts w:ascii="宋体" w:hAnsi="宋体" w:eastAsia="宋体" w:cs="宋体"/>
          <w:spacing w:val="-4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3</w:t>
      </w:r>
      <w:r>
        <w:rPr>
          <w:rFonts w:ascii="宋体" w:hAnsi="宋体" w:eastAsia="宋体" w:cs="宋体"/>
          <w:spacing w:val="-4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次提醒后仍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未整改；C、乙方对亏损甲方的产品不积极赔偿、处理。</w:t>
      </w:r>
    </w:p>
    <w:p w14:paraId="547755BD">
      <w:pPr>
        <w:spacing w:before="179" w:line="288" w:lineRule="auto"/>
        <w:ind w:left="6" w:right="2" w:firstLine="49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sz w:val="24"/>
          <w:szCs w:val="24"/>
        </w:rPr>
        <w:t>13、乙方需购买与仓储产品等值的保险，甲方存储于乙方的产品，在甲方与</w:t>
      </w:r>
      <w:r>
        <w:rPr>
          <w:rFonts w:ascii="宋体" w:hAnsi="宋体" w:eastAsia="宋体" w:cs="宋体"/>
          <w:sz w:val="24"/>
          <w:szCs w:val="24"/>
        </w:rPr>
        <w:t xml:space="preserve">乙方到 </w:t>
      </w:r>
      <w:r>
        <w:rPr>
          <w:rFonts w:ascii="宋体" w:hAnsi="宋体" w:eastAsia="宋体" w:cs="宋体"/>
          <w:spacing w:val="-1"/>
          <w:sz w:val="24"/>
          <w:szCs w:val="24"/>
        </w:rPr>
        <w:t>货交接后，成都王牌生产入库前，乙方承担产品保护的独立责任。</w:t>
      </w:r>
    </w:p>
    <w:p w14:paraId="55E22249">
      <w:pPr>
        <w:spacing w:before="182" w:line="219" w:lineRule="auto"/>
        <w:ind w:left="504"/>
        <w:outlineLvl w:val="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6"/>
          <w:sz w:val="24"/>
          <w:szCs w:val="24"/>
        </w:rPr>
        <w:t>乙方的权利与义务：</w:t>
      </w:r>
    </w:p>
    <w:p w14:paraId="24AEB1C9">
      <w:pPr>
        <w:spacing w:before="181" w:line="348" w:lineRule="auto"/>
        <w:ind w:left="12" w:right="2" w:firstLine="486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1、乙方应依据成都王牌要货通知单据，如数接收甲方送</w:t>
      </w:r>
      <w:r>
        <w:rPr>
          <w:rFonts w:ascii="宋体" w:hAnsi="宋体" w:eastAsia="宋体" w:cs="宋体"/>
          <w:spacing w:val="-3"/>
          <w:sz w:val="24"/>
          <w:szCs w:val="24"/>
        </w:rPr>
        <w:t>达的产品，并负责货物的及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>时装卸（非人工装卸</w:t>
      </w:r>
      <w:r>
        <w:rPr>
          <w:rFonts w:ascii="宋体" w:hAnsi="宋体" w:eastAsia="宋体" w:cs="宋体"/>
          <w:spacing w:val="10"/>
          <w:sz w:val="24"/>
          <w:szCs w:val="24"/>
        </w:rPr>
        <w:t>），</w:t>
      </w:r>
      <w:r>
        <w:rPr>
          <w:rFonts w:ascii="宋体" w:hAnsi="宋体" w:eastAsia="宋体" w:cs="宋体"/>
          <w:spacing w:val="1"/>
          <w:sz w:val="24"/>
          <w:szCs w:val="24"/>
        </w:rPr>
        <w:t>不得借故刁难甲方送货人</w:t>
      </w:r>
      <w:r>
        <w:rPr>
          <w:rFonts w:ascii="宋体" w:hAnsi="宋体" w:eastAsia="宋体" w:cs="宋体"/>
          <w:sz w:val="24"/>
          <w:szCs w:val="24"/>
        </w:rPr>
        <w:t xml:space="preserve">员，不得向甲方送货人员索要装卸费 </w:t>
      </w:r>
      <w:r>
        <w:rPr>
          <w:rFonts w:ascii="宋体" w:hAnsi="宋体" w:eastAsia="宋体" w:cs="宋体"/>
          <w:spacing w:val="1"/>
          <w:sz w:val="24"/>
          <w:szCs w:val="24"/>
        </w:rPr>
        <w:t>以及其他物品，如有发生，一经举报，经核实后，乙方同意由成都王牌参照其相关制度</w:t>
      </w:r>
    </w:p>
    <w:p w14:paraId="59EA9EE9">
      <w:pPr>
        <w:spacing w:line="348" w:lineRule="auto"/>
        <w:rPr>
          <w:rFonts w:ascii="宋体" w:hAnsi="宋体" w:eastAsia="宋体" w:cs="宋体"/>
          <w:sz w:val="24"/>
          <w:szCs w:val="24"/>
        </w:rPr>
        <w:sectPr>
          <w:headerReference r:id="rId9" w:type="default"/>
          <w:footerReference r:id="rId10" w:type="default"/>
          <w:pgSz w:w="11906" w:h="16839"/>
          <w:pgMar w:top="400" w:right="1302" w:bottom="1166" w:left="1426" w:header="0" w:footer="952" w:gutter="0"/>
          <w:cols w:space="720" w:num="1"/>
        </w:sectPr>
      </w:pPr>
    </w:p>
    <w:p w14:paraId="7EB0324A">
      <w:pPr>
        <w:pStyle w:val="2"/>
        <w:spacing w:line="266" w:lineRule="auto"/>
      </w:pPr>
    </w:p>
    <w:p w14:paraId="244089D6">
      <w:pPr>
        <w:pStyle w:val="2"/>
        <w:spacing w:line="267" w:lineRule="auto"/>
      </w:pPr>
    </w:p>
    <w:p w14:paraId="459A567B">
      <w:pPr>
        <w:pStyle w:val="2"/>
        <w:spacing w:line="267" w:lineRule="auto"/>
      </w:pPr>
    </w:p>
    <w:p w14:paraId="0C31E0F5">
      <w:pPr>
        <w:pStyle w:val="2"/>
        <w:spacing w:line="267" w:lineRule="auto"/>
      </w:pPr>
    </w:p>
    <w:p w14:paraId="6F236A2F">
      <w:pPr>
        <w:spacing w:before="78" w:line="219" w:lineRule="auto"/>
        <w:ind w:left="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文件对乙方进行业绩及经济考核。</w:t>
      </w:r>
    </w:p>
    <w:p w14:paraId="5AEBF8AA">
      <w:pPr>
        <w:spacing w:before="180" w:line="330" w:lineRule="auto"/>
        <w:ind w:right="78" w:firstLine="48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2、货物到达乙方仓储地同时，甲方应向乙方提交完整的货物清单和要货通知单据，</w:t>
      </w:r>
      <w:r>
        <w:rPr>
          <w:rFonts w:ascii="宋体" w:hAnsi="宋体" w:eastAsia="宋体" w:cs="宋体"/>
          <w:spacing w:val="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>清单应明确送达货物的厂家、产品名称、产品编号、数量、运输车辆牌号；乙方与甲方</w:t>
      </w:r>
      <w:r>
        <w:rPr>
          <w:rFonts w:ascii="宋体" w:hAnsi="宋体" w:eastAsia="宋体" w:cs="宋体"/>
          <w:spacing w:val="17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在交接过程中发现送达产品与送货清单不符（品种、数量、质量存在差异</w:t>
      </w:r>
      <w:r>
        <w:rPr>
          <w:rFonts w:ascii="宋体" w:hAnsi="宋体" w:eastAsia="宋体" w:cs="宋体"/>
          <w:spacing w:val="27"/>
          <w:sz w:val="24"/>
          <w:szCs w:val="24"/>
        </w:rPr>
        <w:t>），</w:t>
      </w:r>
      <w:r>
        <w:rPr>
          <w:rFonts w:ascii="宋体" w:hAnsi="宋体" w:eastAsia="宋体" w:cs="宋体"/>
          <w:sz w:val="24"/>
          <w:szCs w:val="24"/>
        </w:rPr>
        <w:t>乙方与甲</w:t>
      </w:r>
      <w:r>
        <w:rPr>
          <w:rFonts w:ascii="宋体" w:hAnsi="宋体" w:eastAsia="宋体" w:cs="宋体"/>
          <w:spacing w:val="1"/>
          <w:sz w:val="24"/>
          <w:szCs w:val="24"/>
        </w:rPr>
        <w:t xml:space="preserve"> 方业务人员签字确认，并按实物接收，乙方有权将相关信息当时反馈成都王牌，甲方同</w:t>
      </w:r>
      <w:r>
        <w:rPr>
          <w:rFonts w:ascii="宋体" w:hAnsi="宋体" w:eastAsia="宋体" w:cs="宋体"/>
          <w:spacing w:val="1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意成都王牌相关部门核实后对甲方进行处理。</w:t>
      </w:r>
    </w:p>
    <w:p w14:paraId="2D44EE92">
      <w:pPr>
        <w:spacing w:before="179" w:line="289" w:lineRule="auto"/>
        <w:ind w:right="80" w:firstLine="48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3、乙方每季度至少完成一次与甲方的产品对账工作（包括：入库、出库、返厂、库</w:t>
      </w:r>
      <w:r>
        <w:rPr>
          <w:rFonts w:ascii="宋体" w:hAnsi="宋体" w:eastAsia="宋体" w:cs="宋体"/>
          <w:spacing w:val="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存账物等</w:t>
      </w:r>
      <w:r>
        <w:rPr>
          <w:rFonts w:ascii="宋体" w:hAnsi="宋体" w:eastAsia="宋体" w:cs="宋体"/>
          <w:spacing w:val="11"/>
          <w:sz w:val="24"/>
          <w:szCs w:val="24"/>
        </w:rPr>
        <w:t>），</w:t>
      </w:r>
      <w:r>
        <w:rPr>
          <w:rFonts w:ascii="宋体" w:hAnsi="宋体" w:eastAsia="宋体" w:cs="宋体"/>
          <w:spacing w:val="-1"/>
          <w:sz w:val="24"/>
          <w:szCs w:val="24"/>
        </w:rPr>
        <w:t>并与甲方完成差异处理签订对账证明，转成都王牌相关部门留存。</w:t>
      </w:r>
    </w:p>
    <w:p w14:paraId="4B5CFD3D">
      <w:pPr>
        <w:spacing w:before="177" w:line="312" w:lineRule="auto"/>
        <w:ind w:left="7" w:right="80" w:firstLine="47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4、甲方超过一季度未与乙方进行产品对账工作，视为对实物信息账无异议。如甲方</w:t>
      </w:r>
      <w:r>
        <w:rPr>
          <w:rFonts w:ascii="宋体" w:hAnsi="宋体" w:eastAsia="宋体" w:cs="宋体"/>
          <w:spacing w:val="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>到乙方单位进行产品对账，乙方不予配合，甲方可到成都王牌相关部门进行举报，双方</w:t>
      </w:r>
      <w:r>
        <w:rPr>
          <w:rFonts w:ascii="宋体" w:hAnsi="宋体" w:eastAsia="宋体" w:cs="宋体"/>
          <w:spacing w:val="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同意由成都王牌相关部门进行处理。</w:t>
      </w:r>
    </w:p>
    <w:p w14:paraId="2D884B4B">
      <w:pPr>
        <w:spacing w:before="181" w:line="219" w:lineRule="auto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5、乙方应定期向甲方提报委托产品库存数据，接受甲方的入、出库产品的</w:t>
      </w:r>
      <w:r>
        <w:rPr>
          <w:rFonts w:ascii="宋体" w:hAnsi="宋体" w:eastAsia="宋体" w:cs="宋体"/>
          <w:spacing w:val="-7"/>
          <w:sz w:val="24"/>
          <w:szCs w:val="24"/>
        </w:rPr>
        <w:t>盘点稽核。</w:t>
      </w:r>
    </w:p>
    <w:p w14:paraId="5B00EC56">
      <w:pPr>
        <w:spacing w:before="177" w:line="312" w:lineRule="auto"/>
        <w:ind w:left="4" w:right="78" w:firstLine="47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6、乙方有义务每个月通知甲方退库，且留有通知证据（甲乙双方须在本合同内留有</w:t>
      </w:r>
      <w:r>
        <w:rPr>
          <w:rFonts w:ascii="宋体" w:hAnsi="宋体" w:eastAsia="宋体" w:cs="宋体"/>
          <w:spacing w:val="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>该项工作联系人员的姓名、联系电话、邮箱，若中间更换联系人，需及时通知对方，如</w:t>
      </w:r>
      <w:r>
        <w:rPr>
          <w:rFonts w:ascii="宋体" w:hAnsi="宋体" w:eastAsia="宋体" w:cs="宋体"/>
          <w:spacing w:val="1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因任何一方未及时通知导致的损失，由其自行承担）。</w:t>
      </w:r>
    </w:p>
    <w:p w14:paraId="63187FFA">
      <w:pPr>
        <w:spacing w:before="182" w:line="311" w:lineRule="auto"/>
        <w:ind w:right="77" w:firstLine="48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7、乙方承诺，在为成都王牌提供“ 第三方物流</w:t>
      </w:r>
      <w:r>
        <w:rPr>
          <w:rFonts w:ascii="宋体" w:hAnsi="宋体" w:eastAsia="宋体" w:cs="宋体"/>
          <w:spacing w:val="-72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 xml:space="preserve">”服务过程中，获得的一切资料、 </w:t>
      </w:r>
      <w:r>
        <w:rPr>
          <w:rFonts w:ascii="宋体" w:hAnsi="宋体" w:eastAsia="宋体" w:cs="宋体"/>
          <w:spacing w:val="1"/>
          <w:sz w:val="24"/>
          <w:szCs w:val="24"/>
        </w:rPr>
        <w:t>信息均视为成都王牌的商业秘密，保证不向第三方泄露，否则按照乙方与成都王牌签署</w:t>
      </w:r>
      <w:r>
        <w:rPr>
          <w:rFonts w:ascii="宋体" w:hAnsi="宋体" w:eastAsia="宋体" w:cs="宋体"/>
          <w:spacing w:val="1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的《物流服务协议》，将产生的一切后果由乙方承担全部责任。</w:t>
      </w:r>
    </w:p>
    <w:p w14:paraId="39D33DB9">
      <w:pPr>
        <w:spacing w:before="180" w:line="219" w:lineRule="auto"/>
        <w:ind w:left="48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8、甲方须按成都王牌要求提供必要的周转工具或产品防护器具。</w:t>
      </w:r>
    </w:p>
    <w:p w14:paraId="06A586E9">
      <w:pPr>
        <w:spacing w:before="182" w:line="311" w:lineRule="auto"/>
        <w:ind w:left="2" w:right="80" w:firstLine="47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9、甲方须保证存储于乙方的产品包装能适应乙方的仓储要求，对包装不满足仓储要</w:t>
      </w:r>
      <w:r>
        <w:rPr>
          <w:rFonts w:ascii="宋体" w:hAnsi="宋体" w:eastAsia="宋体" w:cs="宋体"/>
          <w:spacing w:val="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>求的产品，经成都王牌相关部门同意，乙方有权拒绝接收。因甲方产品包装问题造成的</w:t>
      </w:r>
      <w:r>
        <w:rPr>
          <w:rFonts w:ascii="宋体" w:hAnsi="宋体" w:eastAsia="宋体" w:cs="宋体"/>
          <w:spacing w:val="1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甲方产品质量问题，由甲方承担责任。</w:t>
      </w:r>
    </w:p>
    <w:p w14:paraId="3F1748EA">
      <w:pPr>
        <w:spacing w:before="180" w:line="289" w:lineRule="auto"/>
        <w:ind w:left="21" w:right="80" w:firstLine="47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sz w:val="24"/>
          <w:szCs w:val="24"/>
        </w:rPr>
        <w:t>10、因乙方仓储、配送造成甲方产品出现质量问题，由乙方承担责任，甲方</w:t>
      </w:r>
      <w:r>
        <w:rPr>
          <w:rFonts w:ascii="宋体" w:hAnsi="宋体" w:eastAsia="宋体" w:cs="宋体"/>
          <w:sz w:val="24"/>
          <w:szCs w:val="24"/>
        </w:rPr>
        <w:t xml:space="preserve">有权提 </w:t>
      </w:r>
      <w:r>
        <w:rPr>
          <w:rFonts w:ascii="宋体" w:hAnsi="宋体" w:eastAsia="宋体" w:cs="宋体"/>
          <w:spacing w:val="-8"/>
          <w:sz w:val="24"/>
          <w:szCs w:val="24"/>
        </w:rPr>
        <w:t>出索赔。</w:t>
      </w:r>
    </w:p>
    <w:p w14:paraId="421CF478">
      <w:pPr>
        <w:spacing w:before="178" w:line="312" w:lineRule="auto"/>
        <w:ind w:left="8" w:right="80" w:firstLine="49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11、当出现以下情形时，甲方有权向成都王牌提出转物流申请</w:t>
      </w:r>
      <w:r>
        <w:rPr>
          <w:rFonts w:ascii="宋体" w:hAnsi="宋体" w:eastAsia="宋体" w:cs="宋体"/>
          <w:spacing w:val="-3"/>
          <w:sz w:val="24"/>
          <w:szCs w:val="24"/>
        </w:rPr>
        <w:t>：A、乙方当月因配送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问题影响成都王牌生产超过</w:t>
      </w:r>
      <w:r>
        <w:rPr>
          <w:rFonts w:ascii="宋体" w:hAnsi="宋体" w:eastAsia="宋体" w:cs="宋体"/>
          <w:spacing w:val="-4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3</w:t>
      </w:r>
      <w:r>
        <w:rPr>
          <w:rFonts w:ascii="宋体" w:hAnsi="宋体" w:eastAsia="宋体" w:cs="宋体"/>
          <w:spacing w:val="-4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次；B、乙方服</w:t>
      </w:r>
      <w:r>
        <w:rPr>
          <w:rFonts w:ascii="宋体" w:hAnsi="宋体" w:eastAsia="宋体" w:cs="宋体"/>
          <w:spacing w:val="-4"/>
          <w:sz w:val="24"/>
          <w:szCs w:val="24"/>
        </w:rPr>
        <w:t>务质量不能满足甲方要求，经</w:t>
      </w:r>
      <w:r>
        <w:rPr>
          <w:rFonts w:ascii="宋体" w:hAnsi="宋体" w:eastAsia="宋体" w:cs="宋体"/>
          <w:spacing w:val="-4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3</w:t>
      </w:r>
      <w:r>
        <w:rPr>
          <w:rFonts w:ascii="宋体" w:hAnsi="宋体" w:eastAsia="宋体" w:cs="宋体"/>
          <w:spacing w:val="-4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次提醒，未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予整改；C、乙方对亏损甲方的产品不积极赔偿、处理。</w:t>
      </w:r>
    </w:p>
    <w:p w14:paraId="36524711">
      <w:pPr>
        <w:spacing w:before="181" w:line="287" w:lineRule="auto"/>
        <w:ind w:left="6" w:right="80" w:firstLine="49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sz w:val="24"/>
          <w:szCs w:val="24"/>
        </w:rPr>
        <w:t>12、乙方须购买与仓储产品等值的保险，甲方存储于乙方的产品，在甲方与</w:t>
      </w:r>
      <w:r>
        <w:rPr>
          <w:rFonts w:ascii="宋体" w:hAnsi="宋体" w:eastAsia="宋体" w:cs="宋体"/>
          <w:sz w:val="24"/>
          <w:szCs w:val="24"/>
        </w:rPr>
        <w:t xml:space="preserve">乙方到 </w:t>
      </w:r>
      <w:r>
        <w:rPr>
          <w:rFonts w:ascii="宋体" w:hAnsi="宋体" w:eastAsia="宋体" w:cs="宋体"/>
          <w:spacing w:val="-1"/>
          <w:sz w:val="24"/>
          <w:szCs w:val="24"/>
        </w:rPr>
        <w:t>货交接后，成都王牌生产入库前，乙方承担产品保护的独立责任。</w:t>
      </w:r>
    </w:p>
    <w:p w14:paraId="63BAACFF">
      <w:pPr>
        <w:spacing w:before="181" w:line="219" w:lineRule="auto"/>
        <w:ind w:left="49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sz w:val="24"/>
          <w:szCs w:val="24"/>
        </w:rPr>
        <w:t>13、根据日清月结原则，乙方须按成都王牌规定的时间传递相关单据，如有</w:t>
      </w:r>
      <w:r>
        <w:rPr>
          <w:rFonts w:ascii="宋体" w:hAnsi="宋体" w:eastAsia="宋体" w:cs="宋体"/>
          <w:sz w:val="24"/>
          <w:szCs w:val="24"/>
        </w:rPr>
        <w:t>违反致</w:t>
      </w:r>
    </w:p>
    <w:p w14:paraId="6912CBC2">
      <w:pPr>
        <w:spacing w:line="219" w:lineRule="auto"/>
        <w:rPr>
          <w:rFonts w:ascii="宋体" w:hAnsi="宋体" w:eastAsia="宋体" w:cs="宋体"/>
          <w:sz w:val="24"/>
          <w:szCs w:val="24"/>
        </w:rPr>
        <w:sectPr>
          <w:headerReference r:id="rId11" w:type="default"/>
          <w:footerReference r:id="rId12" w:type="default"/>
          <w:pgSz w:w="11906" w:h="16839"/>
          <w:pgMar w:top="400" w:right="1225" w:bottom="1166" w:left="1426" w:header="0" w:footer="952" w:gutter="0"/>
          <w:cols w:space="720" w:num="1"/>
        </w:sectPr>
      </w:pPr>
    </w:p>
    <w:p w14:paraId="37B2E0C2">
      <w:pPr>
        <w:pStyle w:val="2"/>
        <w:spacing w:line="266" w:lineRule="auto"/>
      </w:pPr>
    </w:p>
    <w:p w14:paraId="35BADA39">
      <w:pPr>
        <w:pStyle w:val="2"/>
        <w:spacing w:line="266" w:lineRule="auto"/>
      </w:pPr>
    </w:p>
    <w:p w14:paraId="1F10F66E">
      <w:pPr>
        <w:pStyle w:val="2"/>
        <w:spacing w:line="267" w:lineRule="auto"/>
      </w:pPr>
    </w:p>
    <w:p w14:paraId="5F397664">
      <w:pPr>
        <w:pStyle w:val="2"/>
        <w:spacing w:line="267" w:lineRule="auto"/>
      </w:pPr>
    </w:p>
    <w:p w14:paraId="4D1D5600">
      <w:pPr>
        <w:spacing w:before="78" w:line="345" w:lineRule="auto"/>
        <w:ind w:left="17" w:right="8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sz w:val="24"/>
          <w:szCs w:val="24"/>
        </w:rPr>
        <w:t>使影响财务结算的，成都王牌有权将所涉单据转月挂帐，造成甲方损失由乙方承担，甲</w:t>
      </w:r>
      <w:r>
        <w:rPr>
          <w:rFonts w:ascii="宋体" w:hAnsi="宋体" w:eastAsia="宋体" w:cs="宋体"/>
          <w:spacing w:val="1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方有权向乙方进行追偿。</w:t>
      </w:r>
    </w:p>
    <w:p w14:paraId="7914434E">
      <w:pPr>
        <w:spacing w:before="34" w:line="219" w:lineRule="auto"/>
        <w:ind w:left="519"/>
        <w:outlineLvl w:val="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四、产品的仓储、退库及配送</w:t>
      </w:r>
    </w:p>
    <w:p w14:paraId="01B10C83">
      <w:pPr>
        <w:spacing w:before="180" w:line="323" w:lineRule="auto"/>
        <w:ind w:left="15" w:right="77" w:firstLine="49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1、乙方按照成都王牌的计划和要求对甲方产品进行装卸</w:t>
      </w:r>
      <w:r>
        <w:rPr>
          <w:rFonts w:ascii="宋体" w:hAnsi="宋体" w:eastAsia="宋体" w:cs="宋体"/>
          <w:spacing w:val="-3"/>
          <w:sz w:val="24"/>
          <w:szCs w:val="24"/>
        </w:rPr>
        <w:t>（非人工装卸）、仓储、录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>入系统、记帐、出库、分拣、运输、配送等工作，并与产品接收部门办理交接手续，保</w:t>
      </w:r>
      <w:r>
        <w:rPr>
          <w:rFonts w:ascii="宋体" w:hAnsi="宋体" w:eastAsia="宋体" w:cs="宋体"/>
          <w:spacing w:val="1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>证甲方产品在整个物流环节不受损失。甲方产品包装不安全的或人工装卸的，乙方有权</w:t>
      </w:r>
      <w:r>
        <w:rPr>
          <w:rFonts w:ascii="宋体" w:hAnsi="宋体" w:eastAsia="宋体" w:cs="宋体"/>
          <w:spacing w:val="1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拒绝卸车。</w:t>
      </w:r>
    </w:p>
    <w:p w14:paraId="5312FDC9">
      <w:pPr>
        <w:spacing w:before="181" w:line="287" w:lineRule="auto"/>
        <w:ind w:left="21" w:right="80" w:firstLine="47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2、甲方对在乙方仓库的不合格品、呆滞品或成都王牌指定的返厂产品进行办理退库</w:t>
      </w:r>
      <w:r>
        <w:rPr>
          <w:rFonts w:ascii="宋体" w:hAnsi="宋体" w:eastAsia="宋体" w:cs="宋体"/>
          <w:spacing w:val="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处理，甲方自行来到乙方提货，乙方负责出库、装车及办理交接退库手续。</w:t>
      </w:r>
    </w:p>
    <w:p w14:paraId="5EB43F11">
      <w:pPr>
        <w:spacing w:before="181" w:line="219" w:lineRule="auto"/>
        <w:ind w:left="500"/>
        <w:outlineLvl w:val="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6"/>
          <w:sz w:val="24"/>
          <w:szCs w:val="24"/>
        </w:rPr>
        <w:t>五、附则</w:t>
      </w:r>
    </w:p>
    <w:p w14:paraId="7BCF3CD9">
      <w:pPr>
        <w:spacing w:before="181" w:line="289" w:lineRule="auto"/>
        <w:ind w:left="16" w:right="80" w:firstLine="49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1、甲、乙双方在合作过程中如产生纠纷，先行协商解决</w:t>
      </w:r>
      <w:r>
        <w:rPr>
          <w:rFonts w:ascii="宋体" w:hAnsi="宋体" w:eastAsia="宋体" w:cs="宋体"/>
          <w:spacing w:val="-3"/>
          <w:sz w:val="24"/>
          <w:szCs w:val="24"/>
        </w:rPr>
        <w:t>，如无法协商解决，由乙方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所在地人民法院裁决。</w:t>
      </w:r>
    </w:p>
    <w:p w14:paraId="2DBC4D46">
      <w:pPr>
        <w:spacing w:before="178" w:line="220" w:lineRule="auto"/>
        <w:ind w:left="49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2、其他未尽事宜，甲、乙双方协商处理。</w:t>
      </w:r>
    </w:p>
    <w:p w14:paraId="0859125E">
      <w:pPr>
        <w:spacing w:before="180" w:line="312" w:lineRule="auto"/>
        <w:ind w:left="17" w:right="77" w:firstLine="48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3、本协议有效期自  2024 年</w:t>
      </w:r>
      <w:r>
        <w:rPr>
          <w:rFonts w:ascii="宋体" w:hAnsi="宋体" w:eastAsia="宋体" w:cs="宋体"/>
          <w:spacing w:val="3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7</w:t>
      </w:r>
      <w:r>
        <w:rPr>
          <w:rFonts w:ascii="宋体" w:hAnsi="宋体" w:eastAsia="宋体" w:cs="宋体"/>
          <w:spacing w:val="10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6"/>
          <w:sz w:val="24"/>
          <w:szCs w:val="24"/>
        </w:rPr>
        <w:t>月</w:t>
      </w:r>
      <w:r>
        <w:rPr>
          <w:rFonts w:ascii="宋体" w:hAnsi="宋体" w:eastAsia="宋体" w:cs="宋体"/>
          <w:spacing w:val="2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1</w:t>
      </w:r>
      <w:r>
        <w:rPr>
          <w:rFonts w:ascii="宋体" w:hAnsi="宋体" w:eastAsia="宋体" w:cs="宋体"/>
          <w:spacing w:val="5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日起至</w:t>
      </w:r>
      <w:r>
        <w:rPr>
          <w:rFonts w:ascii="宋体" w:hAnsi="宋体" w:eastAsia="宋体" w:cs="宋体"/>
          <w:spacing w:val="8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6"/>
          <w:sz w:val="24"/>
          <w:szCs w:val="24"/>
        </w:rPr>
        <w:t>202</w:t>
      </w:r>
      <w:r>
        <w:rPr>
          <w:rFonts w:hint="eastAsia" w:ascii="宋体" w:hAnsi="宋体" w:eastAsia="宋体" w:cs="宋体"/>
          <w:spacing w:val="-6"/>
          <w:sz w:val="24"/>
          <w:szCs w:val="24"/>
          <w:lang w:val="en-US" w:eastAsia="zh-CN"/>
        </w:rPr>
        <w:t>7</w:t>
      </w:r>
      <w:r>
        <w:rPr>
          <w:rFonts w:ascii="宋体" w:hAnsi="宋体" w:eastAsia="宋体" w:cs="宋体"/>
          <w:spacing w:val="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年</w:t>
      </w:r>
      <w:r>
        <w:rPr>
          <w:rFonts w:ascii="宋体" w:hAnsi="宋体" w:eastAsia="宋体" w:cs="宋体"/>
          <w:spacing w:val="8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6"/>
          <w:sz w:val="24"/>
          <w:szCs w:val="24"/>
        </w:rPr>
        <w:t>6</w:t>
      </w:r>
      <w:r>
        <w:rPr>
          <w:rFonts w:ascii="宋体" w:hAnsi="宋体" w:eastAsia="宋体" w:cs="宋体"/>
          <w:spacing w:val="1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月</w:t>
      </w:r>
      <w:r>
        <w:rPr>
          <w:rFonts w:ascii="宋体" w:hAnsi="宋体" w:eastAsia="宋体" w:cs="宋体"/>
          <w:spacing w:val="1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30</w:t>
      </w:r>
      <w:r>
        <w:rPr>
          <w:rFonts w:ascii="宋体" w:hAnsi="宋体" w:eastAsia="宋体" w:cs="宋体"/>
          <w:spacing w:val="27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6"/>
          <w:sz w:val="24"/>
          <w:szCs w:val="24"/>
        </w:rPr>
        <w:t>日止。合同</w:t>
      </w:r>
      <w:r>
        <w:rPr>
          <w:rFonts w:ascii="宋体" w:hAnsi="宋体" w:eastAsia="宋体" w:cs="宋体"/>
          <w:spacing w:val="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到期后60</w:t>
      </w:r>
      <w:r>
        <w:rPr>
          <w:rFonts w:ascii="宋体" w:hAnsi="宋体" w:eastAsia="宋体" w:cs="宋体"/>
          <w:spacing w:val="-3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天内，一方没有以书面的形式向对方提出变更或终止合同的要求，则本合同自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动顺延。</w:t>
      </w:r>
    </w:p>
    <w:p w14:paraId="249E8EA2">
      <w:pPr>
        <w:spacing w:before="177" w:line="219" w:lineRule="auto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4、本协议一式三份，甲方一份，乙方一份，成都王牌备案一份，具有同等法律效力。</w:t>
      </w:r>
    </w:p>
    <w:p w14:paraId="0027EFF6">
      <w:pPr>
        <w:spacing w:before="180" w:line="289" w:lineRule="auto"/>
        <w:ind w:left="18" w:right="80" w:firstLine="48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5、本协议作为成都王牌与乙方签署的物流服务协议附件，具有同等法律效力。</w:t>
      </w:r>
      <w:r>
        <w:rPr>
          <w:rFonts w:ascii="宋体" w:hAnsi="宋体" w:eastAsia="宋体" w:cs="宋体"/>
          <w:color w:val="FF0000"/>
          <w:spacing w:val="-2"/>
          <w:sz w:val="24"/>
          <w:szCs w:val="24"/>
        </w:rPr>
        <w:t>并随</w:t>
      </w:r>
      <w:r>
        <w:rPr>
          <w:rFonts w:ascii="宋体" w:hAnsi="宋体" w:eastAsia="宋体" w:cs="宋体"/>
          <w:color w:val="FF0000"/>
          <w:spacing w:val="1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spacing w:val="-1"/>
          <w:sz w:val="24"/>
          <w:szCs w:val="24"/>
        </w:rPr>
        <w:t>成都王牌物流服务协议终止而自动终止。</w:t>
      </w:r>
    </w:p>
    <w:p w14:paraId="1F713854">
      <w:pPr>
        <w:spacing w:before="180" w:line="288" w:lineRule="auto"/>
        <w:ind w:left="15" w:right="80" w:firstLine="48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6、甲乙双方有效联系人、联系方式如下，如未另行通知，下述留样持续有效，如因</w:t>
      </w:r>
      <w:r>
        <w:rPr>
          <w:rFonts w:ascii="宋体" w:hAnsi="宋体" w:eastAsia="宋体" w:cs="宋体"/>
          <w:spacing w:val="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任何一方未及时通知导致的损失，由其自行承担。</w:t>
      </w:r>
    </w:p>
    <w:p w14:paraId="54ED2128">
      <w:pPr>
        <w:spacing w:before="26"/>
      </w:pPr>
    </w:p>
    <w:p w14:paraId="663DFB65">
      <w:pPr>
        <w:spacing w:before="25"/>
      </w:pPr>
    </w:p>
    <w:tbl>
      <w:tblPr>
        <w:tblStyle w:val="6"/>
        <w:tblW w:w="881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68"/>
        <w:gridCol w:w="2487"/>
        <w:gridCol w:w="1841"/>
        <w:gridCol w:w="2723"/>
      </w:tblGrid>
      <w:tr w14:paraId="5EF06A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4255" w:type="dxa"/>
            <w:gridSpan w:val="2"/>
            <w:vAlign w:val="top"/>
          </w:tcPr>
          <w:p w14:paraId="6D449308">
            <w:pPr>
              <w:pStyle w:val="7"/>
              <w:spacing w:before="116" w:line="221" w:lineRule="auto"/>
              <w:ind w:left="1225"/>
            </w:pPr>
            <w:r>
              <w:rPr>
                <w:spacing w:val="-21"/>
              </w:rPr>
              <w:t>甲</w:t>
            </w:r>
            <w:r>
              <w:t xml:space="preserve">               </w:t>
            </w:r>
            <w:r>
              <w:rPr>
                <w:spacing w:val="-21"/>
              </w:rPr>
              <w:t>方</w:t>
            </w:r>
          </w:p>
        </w:tc>
        <w:tc>
          <w:tcPr>
            <w:tcW w:w="4564" w:type="dxa"/>
            <w:gridSpan w:val="2"/>
            <w:vAlign w:val="top"/>
          </w:tcPr>
          <w:p w14:paraId="1C56EBF9">
            <w:pPr>
              <w:pStyle w:val="7"/>
              <w:spacing w:before="116" w:line="221" w:lineRule="auto"/>
              <w:ind w:left="856"/>
            </w:pPr>
            <w:r>
              <w:rPr>
                <w:spacing w:val="-17"/>
              </w:rPr>
              <w:t>乙</w:t>
            </w:r>
            <w:r>
              <w:t xml:space="preserve">                     </w:t>
            </w:r>
            <w:r>
              <w:rPr>
                <w:spacing w:val="-17"/>
              </w:rPr>
              <w:t>方</w:t>
            </w:r>
          </w:p>
        </w:tc>
      </w:tr>
      <w:tr w14:paraId="799809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768" w:type="dxa"/>
            <w:vAlign w:val="top"/>
          </w:tcPr>
          <w:p w14:paraId="7E6A6383">
            <w:pPr>
              <w:pStyle w:val="7"/>
              <w:spacing w:before="112" w:line="221" w:lineRule="auto"/>
              <w:ind w:left="538"/>
            </w:pPr>
            <w:r>
              <w:rPr>
                <w:spacing w:val="-4"/>
              </w:rPr>
              <w:t>联系人</w:t>
            </w:r>
          </w:p>
        </w:tc>
        <w:tc>
          <w:tcPr>
            <w:tcW w:w="2487" w:type="dxa"/>
            <w:vAlign w:val="top"/>
          </w:tcPr>
          <w:p w14:paraId="2ABD4DC2"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 xml:space="preserve">            刘建</w:t>
            </w:r>
          </w:p>
        </w:tc>
        <w:tc>
          <w:tcPr>
            <w:tcW w:w="1841" w:type="dxa"/>
            <w:vAlign w:val="top"/>
          </w:tcPr>
          <w:p w14:paraId="13C24AAF">
            <w:pPr>
              <w:pStyle w:val="7"/>
              <w:spacing w:before="112" w:line="221" w:lineRule="auto"/>
              <w:ind w:left="536"/>
            </w:pPr>
            <w:r>
              <w:rPr>
                <w:spacing w:val="-4"/>
              </w:rPr>
              <w:t>联系人</w:t>
            </w:r>
          </w:p>
        </w:tc>
        <w:tc>
          <w:tcPr>
            <w:tcW w:w="2723" w:type="dxa"/>
            <w:vAlign w:val="top"/>
          </w:tcPr>
          <w:p w14:paraId="77DEE561">
            <w:pPr>
              <w:rPr>
                <w:rFonts w:ascii="Arial"/>
                <w:sz w:val="21"/>
              </w:rPr>
            </w:pPr>
          </w:p>
        </w:tc>
      </w:tr>
      <w:tr w14:paraId="6CC304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768" w:type="dxa"/>
            <w:vAlign w:val="top"/>
          </w:tcPr>
          <w:p w14:paraId="4D9C28D0">
            <w:pPr>
              <w:pStyle w:val="7"/>
              <w:spacing w:before="114" w:line="221" w:lineRule="auto"/>
              <w:ind w:left="595"/>
            </w:pPr>
            <w:r>
              <w:rPr>
                <w:spacing w:val="-3"/>
              </w:rPr>
              <w:t>联系方式</w:t>
            </w:r>
          </w:p>
        </w:tc>
        <w:tc>
          <w:tcPr>
            <w:tcW w:w="2487" w:type="dxa"/>
            <w:vAlign w:val="top"/>
          </w:tcPr>
          <w:p w14:paraId="4BBCAF77"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 xml:space="preserve">    19929031527</w:t>
            </w:r>
          </w:p>
        </w:tc>
        <w:tc>
          <w:tcPr>
            <w:tcW w:w="1841" w:type="dxa"/>
            <w:vAlign w:val="top"/>
          </w:tcPr>
          <w:p w14:paraId="446BDE0A">
            <w:pPr>
              <w:pStyle w:val="7"/>
              <w:spacing w:before="114" w:line="221" w:lineRule="auto"/>
              <w:ind w:left="593"/>
            </w:pPr>
            <w:r>
              <w:rPr>
                <w:spacing w:val="-3"/>
              </w:rPr>
              <w:t>联系方式</w:t>
            </w:r>
          </w:p>
        </w:tc>
        <w:tc>
          <w:tcPr>
            <w:tcW w:w="2723" w:type="dxa"/>
            <w:vAlign w:val="top"/>
          </w:tcPr>
          <w:p w14:paraId="44F4AD3B">
            <w:pPr>
              <w:rPr>
                <w:rFonts w:ascii="Arial"/>
                <w:sz w:val="21"/>
              </w:rPr>
            </w:pPr>
          </w:p>
        </w:tc>
      </w:tr>
      <w:tr w14:paraId="639538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768" w:type="dxa"/>
            <w:vAlign w:val="top"/>
          </w:tcPr>
          <w:p w14:paraId="6A4A8CEF">
            <w:pPr>
              <w:pStyle w:val="7"/>
              <w:spacing w:before="118" w:line="220" w:lineRule="auto"/>
              <w:ind w:left="612"/>
            </w:pPr>
            <w:r>
              <w:rPr>
                <w:spacing w:val="-14"/>
              </w:rPr>
              <w:t>邮箱</w:t>
            </w:r>
          </w:p>
        </w:tc>
        <w:tc>
          <w:tcPr>
            <w:tcW w:w="2487" w:type="dxa"/>
            <w:vAlign w:val="top"/>
          </w:tcPr>
          <w:p w14:paraId="6339A70A"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liujian@bjghrc.com</w:t>
            </w:r>
          </w:p>
        </w:tc>
        <w:tc>
          <w:tcPr>
            <w:tcW w:w="1841" w:type="dxa"/>
            <w:vAlign w:val="top"/>
          </w:tcPr>
          <w:p w14:paraId="16632FBF">
            <w:pPr>
              <w:pStyle w:val="7"/>
              <w:spacing w:before="118" w:line="220" w:lineRule="auto"/>
              <w:ind w:left="610"/>
            </w:pPr>
            <w:r>
              <w:rPr>
                <w:spacing w:val="-14"/>
              </w:rPr>
              <w:t>邮箱</w:t>
            </w:r>
          </w:p>
        </w:tc>
        <w:tc>
          <w:tcPr>
            <w:tcW w:w="2723" w:type="dxa"/>
            <w:vAlign w:val="top"/>
          </w:tcPr>
          <w:p w14:paraId="53459347">
            <w:pPr>
              <w:pStyle w:val="7"/>
              <w:spacing w:before="97" w:line="215" w:lineRule="auto"/>
              <w:ind w:left="124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zqwp</w:t>
            </w:r>
            <w:r>
              <w:rPr>
                <w:spacing w:val="-107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>zzbwl@163.com</w:t>
            </w:r>
          </w:p>
        </w:tc>
      </w:tr>
    </w:tbl>
    <w:p w14:paraId="15AA3130">
      <w:pPr>
        <w:pStyle w:val="2"/>
      </w:pPr>
    </w:p>
    <w:p w14:paraId="07914018">
      <w:pPr>
        <w:sectPr>
          <w:headerReference r:id="rId13" w:type="default"/>
          <w:footerReference r:id="rId14" w:type="default"/>
          <w:pgSz w:w="11906" w:h="16839"/>
          <w:pgMar w:top="400" w:right="1225" w:bottom="1166" w:left="1410" w:header="0" w:footer="952" w:gutter="0"/>
          <w:cols w:space="720" w:num="1"/>
        </w:sectPr>
      </w:pPr>
    </w:p>
    <w:p w14:paraId="3D54A269">
      <w:pPr>
        <w:pStyle w:val="2"/>
      </w:pPr>
    </w:p>
    <w:p w14:paraId="477CDC28">
      <w:pPr>
        <w:pStyle w:val="2"/>
      </w:pPr>
    </w:p>
    <w:p w14:paraId="7D70F70E">
      <w:pPr>
        <w:pStyle w:val="2"/>
        <w:spacing w:line="241" w:lineRule="auto"/>
      </w:pPr>
    </w:p>
    <w:p w14:paraId="04339829">
      <w:pPr>
        <w:pStyle w:val="2"/>
        <w:spacing w:line="241" w:lineRule="auto"/>
      </w:pPr>
    </w:p>
    <w:p w14:paraId="4F9A1C5C">
      <w:pPr>
        <w:pStyle w:val="2"/>
        <w:spacing w:line="241" w:lineRule="auto"/>
      </w:pPr>
    </w:p>
    <w:p w14:paraId="003FD571">
      <w:pPr>
        <w:spacing w:before="114" w:line="226" w:lineRule="auto"/>
        <w:ind w:left="2380"/>
        <w:outlineLvl w:val="0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b/>
          <w:bCs/>
          <w:spacing w:val="5"/>
          <w:sz w:val="35"/>
          <w:szCs w:val="35"/>
        </w:rPr>
        <w:t>物流服务费用及支付方式协定</w:t>
      </w:r>
    </w:p>
    <w:p w14:paraId="2282FC94">
      <w:pPr>
        <w:pStyle w:val="2"/>
        <w:spacing w:line="247" w:lineRule="auto"/>
      </w:pPr>
    </w:p>
    <w:p w14:paraId="21A0ADEB">
      <w:pPr>
        <w:spacing w:before="78" w:line="312" w:lineRule="auto"/>
        <w:ind w:left="127" w:right="61" w:firstLine="49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1、根据乙方与成都王牌签订的《物流服务协议》和中国</w:t>
      </w:r>
      <w:r>
        <w:rPr>
          <w:rFonts w:ascii="宋体" w:hAnsi="宋体" w:eastAsia="宋体" w:cs="宋体"/>
          <w:spacing w:val="-3"/>
          <w:sz w:val="24"/>
          <w:szCs w:val="24"/>
        </w:rPr>
        <w:t>重汽成都王牌商用车有限公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>司提出的物流费模式参考意见，由甲乙双方共同协商，签订此物流服务费计算及支付方</w:t>
      </w:r>
      <w:r>
        <w:rPr>
          <w:rFonts w:ascii="宋体" w:hAnsi="宋体" w:eastAsia="宋体" w:cs="宋体"/>
          <w:spacing w:val="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式协定。</w:t>
      </w:r>
    </w:p>
    <w:p w14:paraId="1BBE461D">
      <w:pPr>
        <w:spacing w:before="179" w:line="219" w:lineRule="auto"/>
        <w:ind w:left="60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2、物流费收费标准：</w:t>
      </w:r>
    </w:p>
    <w:p w14:paraId="73D7C90B">
      <w:pPr>
        <w:spacing w:line="68" w:lineRule="exact"/>
      </w:pPr>
    </w:p>
    <w:tbl>
      <w:tblPr>
        <w:tblStyle w:val="6"/>
        <w:tblW w:w="916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15"/>
        <w:gridCol w:w="2892"/>
        <w:gridCol w:w="3056"/>
      </w:tblGrid>
      <w:tr w14:paraId="5D30E4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3215" w:type="dxa"/>
            <w:vAlign w:val="top"/>
          </w:tcPr>
          <w:p w14:paraId="18F44D1E">
            <w:pPr>
              <w:pStyle w:val="7"/>
              <w:spacing w:before="117" w:line="220" w:lineRule="auto"/>
              <w:ind w:left="1379"/>
            </w:pPr>
            <w:r>
              <w:rPr>
                <w:b/>
                <w:bCs/>
                <w:spacing w:val="-10"/>
              </w:rPr>
              <w:t>项目</w:t>
            </w:r>
          </w:p>
        </w:tc>
        <w:tc>
          <w:tcPr>
            <w:tcW w:w="2892" w:type="dxa"/>
            <w:vAlign w:val="top"/>
          </w:tcPr>
          <w:p w14:paraId="34678863">
            <w:pPr>
              <w:pStyle w:val="7"/>
              <w:spacing w:before="117" w:line="218" w:lineRule="auto"/>
              <w:ind w:left="970"/>
            </w:pPr>
            <w:r>
              <w:rPr>
                <w:b/>
                <w:bCs/>
                <w:spacing w:val="-5"/>
              </w:rPr>
              <w:t>计价方式</w:t>
            </w:r>
          </w:p>
        </w:tc>
        <w:tc>
          <w:tcPr>
            <w:tcW w:w="3056" w:type="dxa"/>
            <w:vAlign w:val="top"/>
          </w:tcPr>
          <w:p w14:paraId="6D21E66E">
            <w:pPr>
              <w:pStyle w:val="7"/>
              <w:spacing w:before="117" w:line="218" w:lineRule="auto"/>
              <w:ind w:left="1057"/>
            </w:pPr>
            <w:r>
              <w:rPr>
                <w:b/>
                <w:bCs/>
                <w:spacing w:val="-6"/>
              </w:rPr>
              <w:t>结算单价</w:t>
            </w:r>
          </w:p>
        </w:tc>
      </w:tr>
      <w:tr w14:paraId="073E84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3215" w:type="dxa"/>
            <w:vAlign w:val="top"/>
          </w:tcPr>
          <w:p w14:paraId="30C772CC">
            <w:pPr>
              <w:pStyle w:val="7"/>
              <w:spacing w:before="114" w:line="218" w:lineRule="auto"/>
              <w:ind w:left="623"/>
            </w:pPr>
            <w:r>
              <w:rPr>
                <w:spacing w:val="5"/>
              </w:rPr>
              <w:t>物料单价≤3000元</w:t>
            </w:r>
          </w:p>
        </w:tc>
        <w:tc>
          <w:tcPr>
            <w:tcW w:w="2892" w:type="dxa"/>
            <w:vAlign w:val="top"/>
          </w:tcPr>
          <w:p w14:paraId="48A53BA6">
            <w:pPr>
              <w:pStyle w:val="7"/>
              <w:spacing w:before="114" w:line="219" w:lineRule="auto"/>
              <w:ind w:left="494"/>
            </w:pPr>
            <w:r>
              <w:rPr>
                <w:spacing w:val="-2"/>
              </w:rPr>
              <w:t>按货值比例（‰）</w:t>
            </w:r>
          </w:p>
        </w:tc>
        <w:tc>
          <w:tcPr>
            <w:tcW w:w="3056" w:type="dxa"/>
            <w:vAlign w:val="top"/>
          </w:tcPr>
          <w:p w14:paraId="02D2465B">
            <w:pPr>
              <w:pStyle w:val="7"/>
              <w:spacing w:before="151" w:line="184" w:lineRule="auto"/>
              <w:ind w:left="1432"/>
            </w:pPr>
            <w:r>
              <w:rPr>
                <w:spacing w:val="-14"/>
              </w:rPr>
              <w:t>14</w:t>
            </w:r>
          </w:p>
        </w:tc>
      </w:tr>
      <w:tr w14:paraId="700126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3215" w:type="dxa"/>
            <w:vAlign w:val="top"/>
          </w:tcPr>
          <w:p w14:paraId="0FD49A59">
            <w:pPr>
              <w:pStyle w:val="7"/>
              <w:spacing w:before="116" w:line="218" w:lineRule="auto"/>
              <w:ind w:left="623"/>
            </w:pPr>
            <w:r>
              <w:rPr>
                <w:spacing w:val="-1"/>
              </w:rPr>
              <w:t>物料单价＞3000</w:t>
            </w:r>
            <w:r>
              <w:rPr>
                <w:spacing w:val="-49"/>
              </w:rPr>
              <w:t xml:space="preserve"> </w:t>
            </w:r>
            <w:r>
              <w:rPr>
                <w:spacing w:val="-1"/>
              </w:rPr>
              <w:t>元</w:t>
            </w:r>
          </w:p>
        </w:tc>
        <w:tc>
          <w:tcPr>
            <w:tcW w:w="2892" w:type="dxa"/>
            <w:vAlign w:val="top"/>
          </w:tcPr>
          <w:p w14:paraId="07B31141">
            <w:pPr>
              <w:pStyle w:val="7"/>
              <w:spacing w:before="117" w:line="219" w:lineRule="auto"/>
              <w:ind w:left="1154"/>
            </w:pPr>
            <w:r>
              <w:rPr>
                <w:spacing w:val="-4"/>
              </w:rPr>
              <w:t>元/件</w:t>
            </w:r>
          </w:p>
        </w:tc>
        <w:tc>
          <w:tcPr>
            <w:tcW w:w="3056" w:type="dxa"/>
            <w:vAlign w:val="top"/>
          </w:tcPr>
          <w:p w14:paraId="168E586E">
            <w:pPr>
              <w:pStyle w:val="7"/>
              <w:spacing w:before="154" w:line="183" w:lineRule="auto"/>
              <w:ind w:left="1419"/>
            </w:pPr>
            <w:r>
              <w:rPr>
                <w:spacing w:val="-8"/>
              </w:rPr>
              <w:t>36</w:t>
            </w:r>
          </w:p>
        </w:tc>
      </w:tr>
    </w:tbl>
    <w:p w14:paraId="543378D3">
      <w:pPr>
        <w:spacing w:before="113" w:line="344" w:lineRule="auto"/>
        <w:ind w:left="121" w:right="61" w:firstLine="48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备注：1、单台计价针对发动机（含后处理）、变速箱、车桥总成、气瓶、电池、电</w:t>
      </w:r>
      <w:r>
        <w:rPr>
          <w:rFonts w:ascii="宋体" w:hAnsi="宋体" w:eastAsia="宋体" w:cs="宋体"/>
          <w:spacing w:val="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机、电控、单件物料单价＞3000</w:t>
      </w:r>
      <w:r>
        <w:rPr>
          <w:rFonts w:ascii="宋体" w:hAnsi="宋体" w:eastAsia="宋体" w:cs="宋体"/>
          <w:spacing w:val="-3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元。</w:t>
      </w:r>
    </w:p>
    <w:p w14:paraId="427213DC">
      <w:pPr>
        <w:spacing w:before="34" w:line="218" w:lineRule="auto"/>
        <w:ind w:left="60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2"/>
          <w:sz w:val="24"/>
          <w:szCs w:val="24"/>
        </w:rPr>
        <w:t>2、以上单台计价为标准的，均为不含税价格</w:t>
      </w:r>
      <w:r>
        <w:rPr>
          <w:rFonts w:ascii="宋体" w:hAnsi="宋体" w:eastAsia="宋体" w:cs="宋体"/>
          <w:spacing w:val="1"/>
          <w:sz w:val="24"/>
          <w:szCs w:val="24"/>
        </w:rPr>
        <w:t>，税率6%。</w:t>
      </w:r>
    </w:p>
    <w:p w14:paraId="35BBA649">
      <w:pPr>
        <w:spacing w:before="183" w:line="288" w:lineRule="auto"/>
        <w:ind w:left="121" w:right="61" w:firstLine="48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3、以费率计价的以当期合同价的含税价为计算标准，无合同价产品以当期或前期计</w:t>
      </w:r>
      <w:r>
        <w:rPr>
          <w:rFonts w:ascii="宋体" w:hAnsi="宋体" w:eastAsia="宋体" w:cs="宋体"/>
          <w:spacing w:val="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划价的含税价为计算标准，不得再次计算税率。</w:t>
      </w:r>
    </w:p>
    <w:p w14:paraId="41C413B0">
      <w:pPr>
        <w:spacing w:before="182" w:line="323" w:lineRule="auto"/>
        <w:ind w:left="122" w:right="61" w:firstLine="47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4、物流服务费用每季度或月度支付一次，甲方应及时确认对账单，在收到物流费对</w:t>
      </w:r>
      <w:r>
        <w:rPr>
          <w:rFonts w:ascii="宋体" w:hAnsi="宋体" w:eastAsia="宋体" w:cs="宋体"/>
          <w:spacing w:val="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>账单</w:t>
      </w:r>
      <w:r>
        <w:rPr>
          <w:rFonts w:ascii="宋体" w:hAnsi="宋体" w:eastAsia="宋体" w:cs="宋体"/>
          <w:spacing w:val="-4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>5</w:t>
      </w:r>
      <w:r>
        <w:rPr>
          <w:rFonts w:ascii="宋体" w:hAnsi="宋体" w:eastAsia="宋体" w:cs="宋体"/>
          <w:spacing w:val="-4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>个工作日内未确认的视为无问题，乙方按照账单进行</w:t>
      </w:r>
      <w:r>
        <w:rPr>
          <w:rFonts w:ascii="宋体" w:hAnsi="宋体" w:eastAsia="宋体" w:cs="宋体"/>
          <w:sz w:val="24"/>
          <w:szCs w:val="24"/>
        </w:rPr>
        <w:t xml:space="preserve">开票。双方确认后由成都王 </w:t>
      </w:r>
      <w:r>
        <w:rPr>
          <w:rFonts w:ascii="宋体" w:hAnsi="宋体" w:eastAsia="宋体" w:cs="宋体"/>
          <w:spacing w:val="1"/>
          <w:sz w:val="24"/>
          <w:szCs w:val="24"/>
        </w:rPr>
        <w:t>牌从应付甲方应付货款中将甲方应付乙方物流费扣除，支付给乙方，由乙方向甲方开具</w:t>
      </w:r>
      <w:r>
        <w:rPr>
          <w:rFonts w:ascii="宋体" w:hAnsi="宋体" w:eastAsia="宋体" w:cs="宋体"/>
          <w:spacing w:val="1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相应金额的发票。</w:t>
      </w:r>
    </w:p>
    <w:p w14:paraId="5FCACB58">
      <w:pPr>
        <w:pStyle w:val="2"/>
        <w:spacing w:line="281" w:lineRule="auto"/>
      </w:pPr>
    </w:p>
    <w:p w14:paraId="2DB78F1E">
      <w:pPr>
        <w:pStyle w:val="2"/>
        <w:spacing w:line="281" w:lineRule="auto"/>
      </w:pPr>
    </w:p>
    <w:p w14:paraId="1A1C66F7">
      <w:pPr>
        <w:spacing w:before="79" w:line="354" w:lineRule="auto"/>
        <w:ind w:left="121" w:firstLine="481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1"/>
          <w:sz w:val="24"/>
          <w:szCs w:val="24"/>
        </w:rPr>
        <w:t>本合同的各签约方选择使用电子签约的，已由法定代表人本人或授权其代</w:t>
      </w:r>
      <w:r>
        <w:rPr>
          <w:rFonts w:ascii="宋体" w:hAnsi="宋体" w:eastAsia="宋体" w:cs="宋体"/>
          <w:b/>
          <w:bCs/>
          <w:spacing w:val="-2"/>
          <w:sz w:val="24"/>
          <w:szCs w:val="24"/>
        </w:rPr>
        <w:t>理人在电</w:t>
      </w:r>
      <w:r>
        <w:rPr>
          <w:rFonts w:ascii="宋体" w:hAnsi="宋体" w:eastAsia="宋体" w:cs="宋体"/>
          <w:sz w:val="24"/>
          <w:szCs w:val="24"/>
        </w:rPr>
        <w:t xml:space="preserve">  </w:t>
      </w: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子签约平台进行了实名注册，并通过</w:t>
      </w:r>
      <w:r>
        <w:rPr>
          <w:rFonts w:ascii="宋体" w:hAnsi="宋体" w:eastAsia="宋体" w:cs="宋体"/>
          <w:spacing w:val="-40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CA</w:t>
      </w:r>
      <w:r>
        <w:rPr>
          <w:rFonts w:ascii="宋体" w:hAnsi="宋体" w:eastAsia="宋体" w:cs="宋体"/>
          <w:spacing w:val="-51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证书进行签约。电子签约的任一方均已知晓且同</w:t>
      </w:r>
      <w:r>
        <w:rPr>
          <w:rFonts w:ascii="宋体" w:hAnsi="宋体" w:eastAsia="宋体" w:cs="宋体"/>
          <w:sz w:val="24"/>
          <w:szCs w:val="24"/>
        </w:rPr>
        <w:t xml:space="preserve">  </w:t>
      </w:r>
      <w:r>
        <w:rPr>
          <w:rFonts w:ascii="宋体" w:hAnsi="宋体" w:eastAsia="宋体" w:cs="宋体"/>
          <w:b/>
          <w:bCs/>
          <w:spacing w:val="-1"/>
          <w:sz w:val="24"/>
          <w:szCs w:val="24"/>
        </w:rPr>
        <w:t>意通过代理人密码登录账户后的所有操作视为该方的行为，并自愿承担由此</w:t>
      </w:r>
      <w:r>
        <w:rPr>
          <w:rFonts w:ascii="宋体" w:hAnsi="宋体" w:eastAsia="宋体" w:cs="宋体"/>
          <w:b/>
          <w:bCs/>
          <w:spacing w:val="-2"/>
          <w:sz w:val="24"/>
          <w:szCs w:val="24"/>
        </w:rPr>
        <w:t>产生的一切</w:t>
      </w:r>
      <w:r>
        <w:rPr>
          <w:rFonts w:ascii="宋体" w:hAnsi="宋体" w:eastAsia="宋体" w:cs="宋体"/>
          <w:sz w:val="24"/>
          <w:szCs w:val="24"/>
        </w:rPr>
        <w:t xml:space="preserve">  </w:t>
      </w:r>
      <w:r>
        <w:rPr>
          <w:rFonts w:ascii="宋体" w:hAnsi="宋体" w:eastAsia="宋体" w:cs="宋体"/>
          <w:b/>
          <w:bCs/>
          <w:spacing w:val="-1"/>
          <w:sz w:val="24"/>
          <w:szCs w:val="24"/>
        </w:rPr>
        <w:t>法律后果。电子签约方的代理人包括在电子签约平台完成认证并具有相应盖</w:t>
      </w:r>
      <w:r>
        <w:rPr>
          <w:rFonts w:ascii="宋体" w:hAnsi="宋体" w:eastAsia="宋体" w:cs="宋体"/>
          <w:b/>
          <w:bCs/>
          <w:spacing w:val="-2"/>
          <w:sz w:val="24"/>
          <w:szCs w:val="24"/>
        </w:rPr>
        <w:t>章、签字权</w:t>
      </w:r>
      <w:r>
        <w:rPr>
          <w:rFonts w:ascii="宋体" w:hAnsi="宋体" w:eastAsia="宋体" w:cs="宋体"/>
          <w:sz w:val="24"/>
          <w:szCs w:val="24"/>
        </w:rPr>
        <w:t xml:space="preserve">  </w:t>
      </w:r>
      <w:r>
        <w:rPr>
          <w:rFonts w:ascii="宋体" w:hAnsi="宋体" w:eastAsia="宋体" w:cs="宋体"/>
          <w:b/>
          <w:bCs/>
          <w:spacing w:val="-9"/>
          <w:sz w:val="24"/>
          <w:szCs w:val="24"/>
        </w:rPr>
        <w:t>限的管理员、盖章人或签名人。电子签约方在相关电子合同通过</w:t>
      </w:r>
      <w:r>
        <w:rPr>
          <w:rFonts w:ascii="宋体" w:hAnsi="宋体" w:eastAsia="宋体" w:cs="宋体"/>
          <w:spacing w:val="-50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9"/>
          <w:sz w:val="24"/>
          <w:szCs w:val="24"/>
        </w:rPr>
        <w:t>CA</w:t>
      </w:r>
      <w:r>
        <w:rPr>
          <w:rFonts w:ascii="宋体" w:hAnsi="宋体" w:eastAsia="宋体" w:cs="宋体"/>
          <w:spacing w:val="-51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9"/>
          <w:sz w:val="24"/>
          <w:szCs w:val="24"/>
        </w:rPr>
        <w:t>证书进行</w:t>
      </w:r>
      <w:r>
        <w:rPr>
          <w:rFonts w:ascii="宋体" w:hAnsi="宋体" w:eastAsia="宋体" w:cs="宋体"/>
          <w:b/>
          <w:bCs/>
          <w:spacing w:val="-10"/>
          <w:sz w:val="24"/>
          <w:szCs w:val="24"/>
        </w:rPr>
        <w:t>电子签章的，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1"/>
          <w:sz w:val="24"/>
          <w:szCs w:val="24"/>
        </w:rPr>
        <w:t>视为该方有效签署合同。如各方签章时间不一致的，以最后签章的时间为准</w:t>
      </w:r>
      <w:r>
        <w:rPr>
          <w:rFonts w:ascii="宋体" w:hAnsi="宋体" w:eastAsia="宋体" w:cs="宋体"/>
          <w:b/>
          <w:bCs/>
          <w:spacing w:val="-2"/>
          <w:sz w:val="24"/>
          <w:szCs w:val="24"/>
        </w:rPr>
        <w:t>。本合同所</w:t>
      </w:r>
      <w:r>
        <w:rPr>
          <w:rFonts w:ascii="宋体" w:hAnsi="宋体" w:eastAsia="宋体" w:cs="宋体"/>
          <w:sz w:val="24"/>
          <w:szCs w:val="24"/>
        </w:rPr>
        <w:t xml:space="preserve">  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有的手写涂改部分无效（个人手写签名除外）。</w:t>
      </w:r>
    </w:p>
    <w:p w14:paraId="7EA04A38">
      <w:pPr>
        <w:spacing w:before="34" w:line="351" w:lineRule="auto"/>
        <w:ind w:left="124" w:right="61" w:firstLine="479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1"/>
          <w:sz w:val="24"/>
          <w:szCs w:val="24"/>
        </w:rPr>
        <w:t>若一方不使用电子签约，此情形下各方认可并同意电子签章与在纸</w:t>
      </w:r>
      <w:r>
        <w:rPr>
          <w:rFonts w:ascii="宋体" w:hAnsi="宋体" w:eastAsia="宋体" w:cs="宋体"/>
          <w:b/>
          <w:bCs/>
          <w:spacing w:val="-2"/>
          <w:sz w:val="24"/>
          <w:szCs w:val="24"/>
        </w:rPr>
        <w:t>质合同上手写签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1"/>
          <w:sz w:val="24"/>
          <w:szCs w:val="24"/>
        </w:rPr>
        <w:t>名或者盖章具有同等的法律效力，一方在合同上使用电子签章，另一</w:t>
      </w:r>
      <w:r>
        <w:rPr>
          <w:rFonts w:ascii="宋体" w:hAnsi="宋体" w:eastAsia="宋体" w:cs="宋体"/>
          <w:b/>
          <w:bCs/>
          <w:spacing w:val="-2"/>
          <w:sz w:val="24"/>
          <w:szCs w:val="24"/>
        </w:rPr>
        <w:t>方将已完成电子签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1"/>
          <w:sz w:val="24"/>
          <w:szCs w:val="24"/>
        </w:rPr>
        <w:t>章的合同打印为纸质合同后，再于合同签署处加盖实物印章、手写签</w:t>
      </w:r>
      <w:r>
        <w:rPr>
          <w:rFonts w:ascii="宋体" w:hAnsi="宋体" w:eastAsia="宋体" w:cs="宋体"/>
          <w:b/>
          <w:bCs/>
          <w:spacing w:val="-2"/>
          <w:sz w:val="24"/>
          <w:szCs w:val="24"/>
        </w:rPr>
        <w:t>名视为双方已签署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7"/>
          <w:sz w:val="24"/>
          <w:szCs w:val="24"/>
        </w:rPr>
        <w:t>完毕。</w:t>
      </w:r>
    </w:p>
    <w:p w14:paraId="57E50B40">
      <w:pPr>
        <w:spacing w:line="351" w:lineRule="auto"/>
        <w:rPr>
          <w:rFonts w:ascii="宋体" w:hAnsi="宋体" w:eastAsia="宋体" w:cs="宋体"/>
          <w:sz w:val="24"/>
          <w:szCs w:val="24"/>
        </w:rPr>
        <w:sectPr>
          <w:headerReference r:id="rId15" w:type="default"/>
          <w:footerReference r:id="rId16" w:type="default"/>
          <w:pgSz w:w="11906" w:h="16839"/>
          <w:pgMar w:top="403" w:right="1243" w:bottom="1168" w:left="1305" w:header="0" w:footer="952" w:gutter="0"/>
          <w:cols w:space="0" w:num="1"/>
          <w:rtlGutter w:val="0"/>
          <w:docGrid w:linePitch="0" w:charSpace="0"/>
        </w:sectPr>
      </w:pPr>
    </w:p>
    <w:p w14:paraId="14F6A474">
      <w:pPr>
        <w:pStyle w:val="2"/>
        <w:spacing w:line="250" w:lineRule="auto"/>
      </w:pPr>
    </w:p>
    <w:p w14:paraId="1BA9E452">
      <w:pPr>
        <w:pStyle w:val="2"/>
        <w:spacing w:line="251" w:lineRule="auto"/>
      </w:pPr>
    </w:p>
    <w:p w14:paraId="4E1E3132">
      <w:pPr>
        <w:pStyle w:val="2"/>
        <w:spacing w:line="251" w:lineRule="auto"/>
      </w:pPr>
    </w:p>
    <w:p w14:paraId="5F7920D2">
      <w:pPr>
        <w:pStyle w:val="2"/>
        <w:spacing w:line="251" w:lineRule="auto"/>
      </w:pPr>
    </w:p>
    <w:p w14:paraId="251527CC">
      <w:pPr>
        <w:pStyle w:val="2"/>
        <w:spacing w:line="251" w:lineRule="auto"/>
      </w:pPr>
    </w:p>
    <w:p w14:paraId="02C09707">
      <w:pPr>
        <w:pStyle w:val="2"/>
        <w:spacing w:line="251" w:lineRule="auto"/>
      </w:pPr>
    </w:p>
    <w:p w14:paraId="2CC48C00">
      <w:pPr>
        <w:pStyle w:val="2"/>
        <w:spacing w:line="251" w:lineRule="auto"/>
      </w:pPr>
    </w:p>
    <w:p w14:paraId="716610CF">
      <w:pPr>
        <w:pStyle w:val="2"/>
        <w:spacing w:line="251" w:lineRule="auto"/>
      </w:pPr>
    </w:p>
    <w:p w14:paraId="30C62576">
      <w:pPr>
        <w:spacing w:before="72" w:line="222" w:lineRule="auto"/>
        <w:ind w:left="108"/>
        <w:rPr>
          <w:rFonts w:hint="eastAsia" w:ascii="宋体" w:hAnsi="宋体" w:eastAsia="宋体" w:cs="宋体"/>
          <w:sz w:val="22"/>
          <w:szCs w:val="22"/>
          <w:lang w:eastAsia="zh-CN"/>
        </w:rPr>
      </w:pPr>
      <w:r>
        <w:rPr>
          <w:rFonts w:ascii="宋体" w:hAnsi="宋体" w:eastAsia="宋体" w:cs="宋体"/>
          <w:spacing w:val="-12"/>
          <w:sz w:val="22"/>
          <w:szCs w:val="22"/>
        </w:rPr>
        <w:t>甲方：</w:t>
      </w:r>
      <w:r>
        <w:rPr>
          <w:rFonts w:hint="eastAsia" w:ascii="宋体" w:hAnsi="宋体" w:eastAsia="宋体" w:cs="宋体"/>
          <w:spacing w:val="-12"/>
          <w:sz w:val="22"/>
          <w:szCs w:val="22"/>
          <w:lang w:eastAsia="zh-CN"/>
        </w:rPr>
        <w:t>河北光华荣昌汽车部件有限公司</w:t>
      </w:r>
    </w:p>
    <w:p w14:paraId="17B9A1FD">
      <w:pPr>
        <w:pStyle w:val="2"/>
        <w:spacing w:line="296" w:lineRule="auto"/>
      </w:pPr>
    </w:p>
    <w:p w14:paraId="7BE7D934">
      <w:pPr>
        <w:pStyle w:val="2"/>
        <w:spacing w:line="296" w:lineRule="auto"/>
      </w:pPr>
    </w:p>
    <w:p w14:paraId="243BF3D4">
      <w:pPr>
        <w:spacing w:before="71" w:line="220" w:lineRule="auto"/>
        <w:ind w:left="79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4"/>
          <w:sz w:val="22"/>
          <w:szCs w:val="22"/>
        </w:rPr>
        <w:t xml:space="preserve">代表人： </w:t>
      </w:r>
      <w:r>
        <w:rPr>
          <w:rFonts w:hint="eastAsia" w:ascii="宋体" w:hAnsi="宋体" w:eastAsia="宋体" w:cs="宋体"/>
          <w:spacing w:val="-4"/>
          <w:sz w:val="22"/>
          <w:szCs w:val="22"/>
          <w:lang w:eastAsia="zh-CN"/>
        </w:rPr>
        <w:t>刘建</w:t>
      </w:r>
      <w:bookmarkStart w:id="0" w:name="_GoBack"/>
      <w:bookmarkEnd w:id="0"/>
      <w:r>
        <w:rPr>
          <w:rFonts w:ascii="宋体" w:hAnsi="宋体" w:eastAsia="宋体" w:cs="宋体"/>
          <w:spacing w:val="-4"/>
          <w:sz w:val="22"/>
          <w:szCs w:val="22"/>
        </w:rPr>
        <w:t xml:space="preserve">                       日</w:t>
      </w:r>
      <w:r>
        <w:rPr>
          <w:rFonts w:ascii="宋体" w:hAnsi="宋体" w:eastAsia="宋体" w:cs="宋体"/>
          <w:spacing w:val="-5"/>
          <w:sz w:val="22"/>
          <w:szCs w:val="22"/>
        </w:rPr>
        <w:t>期：</w:t>
      </w:r>
      <w:r>
        <w:rPr>
          <w:rFonts w:ascii="宋体" w:hAnsi="宋体" w:eastAsia="宋体" w:cs="宋体"/>
          <w:spacing w:val="2"/>
          <w:sz w:val="22"/>
          <w:szCs w:val="22"/>
        </w:rPr>
        <w:t xml:space="preserve">    </w:t>
      </w:r>
      <w:r>
        <w:rPr>
          <w:rFonts w:ascii="宋体" w:hAnsi="宋体" w:eastAsia="宋体" w:cs="宋体"/>
          <w:spacing w:val="-5"/>
          <w:sz w:val="22"/>
          <w:szCs w:val="22"/>
        </w:rPr>
        <w:t>年</w:t>
      </w:r>
      <w:r>
        <w:rPr>
          <w:rFonts w:ascii="宋体" w:hAnsi="宋体" w:eastAsia="宋体" w:cs="宋体"/>
          <w:spacing w:val="4"/>
          <w:sz w:val="22"/>
          <w:szCs w:val="22"/>
        </w:rPr>
        <w:t xml:space="preserve">   </w:t>
      </w:r>
      <w:r>
        <w:rPr>
          <w:rFonts w:ascii="宋体" w:hAnsi="宋体" w:eastAsia="宋体" w:cs="宋体"/>
          <w:spacing w:val="-5"/>
          <w:sz w:val="22"/>
          <w:szCs w:val="22"/>
        </w:rPr>
        <w:t>月</w:t>
      </w:r>
      <w:r>
        <w:rPr>
          <w:rFonts w:ascii="宋体" w:hAnsi="宋体" w:eastAsia="宋体" w:cs="宋体"/>
          <w:spacing w:val="16"/>
          <w:sz w:val="22"/>
          <w:szCs w:val="22"/>
        </w:rPr>
        <w:t xml:space="preserve">   </w:t>
      </w:r>
      <w:r>
        <w:rPr>
          <w:rFonts w:ascii="宋体" w:hAnsi="宋体" w:eastAsia="宋体" w:cs="宋体"/>
          <w:spacing w:val="-5"/>
          <w:sz w:val="22"/>
          <w:szCs w:val="22"/>
        </w:rPr>
        <w:t>日</w:t>
      </w:r>
    </w:p>
    <w:p w14:paraId="07EB3B68">
      <w:pPr>
        <w:pStyle w:val="2"/>
        <w:spacing w:line="295" w:lineRule="auto"/>
      </w:pPr>
    </w:p>
    <w:p w14:paraId="1711C1E2">
      <w:pPr>
        <w:pStyle w:val="2"/>
        <w:spacing w:line="295" w:lineRule="auto"/>
      </w:pPr>
    </w:p>
    <w:p w14:paraId="23BB55A2">
      <w:pPr>
        <w:pStyle w:val="2"/>
        <w:spacing w:line="295" w:lineRule="auto"/>
      </w:pPr>
    </w:p>
    <w:p w14:paraId="30D0C472">
      <w:pPr>
        <w:spacing w:before="72" w:line="222" w:lineRule="auto"/>
        <w:ind w:left="101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2"/>
          <w:sz w:val="22"/>
          <w:szCs w:val="22"/>
        </w:rPr>
        <w:t>乙方：</w:t>
      </w:r>
      <w:r>
        <w:rPr>
          <w:rFonts w:ascii="宋体" w:hAnsi="宋体" w:eastAsia="宋体" w:cs="宋体"/>
          <w:spacing w:val="-2"/>
          <w:sz w:val="18"/>
          <w:szCs w:val="18"/>
        </w:rPr>
        <w:t>中国邮政速递物流股份有限公司济南市第二分公司</w:t>
      </w:r>
    </w:p>
    <w:p w14:paraId="573DB4AC">
      <w:pPr>
        <w:pStyle w:val="2"/>
        <w:spacing w:line="296" w:lineRule="auto"/>
      </w:pPr>
    </w:p>
    <w:p w14:paraId="4078C322">
      <w:pPr>
        <w:pStyle w:val="2"/>
        <w:spacing w:line="296" w:lineRule="auto"/>
      </w:pPr>
    </w:p>
    <w:p w14:paraId="24AB48F0">
      <w:pPr>
        <w:spacing w:before="71" w:line="220" w:lineRule="auto"/>
        <w:ind w:left="79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4"/>
          <w:sz w:val="22"/>
          <w:szCs w:val="22"/>
        </w:rPr>
        <w:t>代表人：                        日</w:t>
      </w:r>
      <w:r>
        <w:rPr>
          <w:rFonts w:ascii="宋体" w:hAnsi="宋体" w:eastAsia="宋体" w:cs="宋体"/>
          <w:spacing w:val="-5"/>
          <w:sz w:val="22"/>
          <w:szCs w:val="22"/>
        </w:rPr>
        <w:t>期：</w:t>
      </w:r>
      <w:r>
        <w:rPr>
          <w:rFonts w:ascii="宋体" w:hAnsi="宋体" w:eastAsia="宋体" w:cs="宋体"/>
          <w:spacing w:val="2"/>
          <w:sz w:val="22"/>
          <w:szCs w:val="22"/>
        </w:rPr>
        <w:t xml:space="preserve">    </w:t>
      </w:r>
      <w:r>
        <w:rPr>
          <w:rFonts w:ascii="宋体" w:hAnsi="宋体" w:eastAsia="宋体" w:cs="宋体"/>
          <w:spacing w:val="-5"/>
          <w:sz w:val="22"/>
          <w:szCs w:val="22"/>
        </w:rPr>
        <w:t>年</w:t>
      </w:r>
      <w:r>
        <w:rPr>
          <w:rFonts w:ascii="宋体" w:hAnsi="宋体" w:eastAsia="宋体" w:cs="宋体"/>
          <w:spacing w:val="4"/>
          <w:sz w:val="22"/>
          <w:szCs w:val="22"/>
        </w:rPr>
        <w:t xml:space="preserve">   </w:t>
      </w:r>
      <w:r>
        <w:rPr>
          <w:rFonts w:ascii="宋体" w:hAnsi="宋体" w:eastAsia="宋体" w:cs="宋体"/>
          <w:spacing w:val="-5"/>
          <w:sz w:val="22"/>
          <w:szCs w:val="22"/>
        </w:rPr>
        <w:t>月</w:t>
      </w:r>
      <w:r>
        <w:rPr>
          <w:rFonts w:ascii="宋体" w:hAnsi="宋体" w:eastAsia="宋体" w:cs="宋体"/>
          <w:spacing w:val="16"/>
          <w:sz w:val="22"/>
          <w:szCs w:val="22"/>
        </w:rPr>
        <w:t xml:space="preserve">   </w:t>
      </w:r>
      <w:r>
        <w:rPr>
          <w:rFonts w:ascii="宋体" w:hAnsi="宋体" w:eastAsia="宋体" w:cs="宋体"/>
          <w:spacing w:val="-5"/>
          <w:sz w:val="22"/>
          <w:szCs w:val="22"/>
        </w:rPr>
        <w:t>日</w:t>
      </w:r>
    </w:p>
    <w:p w14:paraId="28535717">
      <w:pPr>
        <w:pStyle w:val="2"/>
        <w:spacing w:line="244" w:lineRule="auto"/>
      </w:pPr>
    </w:p>
    <w:p w14:paraId="1484CF3D">
      <w:pPr>
        <w:pStyle w:val="2"/>
        <w:spacing w:line="244" w:lineRule="auto"/>
      </w:pPr>
    </w:p>
    <w:p w14:paraId="6434B9D4">
      <w:pPr>
        <w:pStyle w:val="2"/>
        <w:spacing w:line="244" w:lineRule="auto"/>
      </w:pPr>
    </w:p>
    <w:p w14:paraId="38967233">
      <w:pPr>
        <w:pStyle w:val="2"/>
        <w:spacing w:line="244" w:lineRule="auto"/>
      </w:pPr>
    </w:p>
    <w:p w14:paraId="2E5938D4">
      <w:pPr>
        <w:spacing w:before="59" w:line="219" w:lineRule="auto"/>
        <w:rPr>
          <w:rFonts w:ascii="宋体" w:hAnsi="宋体" w:eastAsia="宋体" w:cs="宋体"/>
          <w:spacing w:val="-7"/>
          <w:sz w:val="18"/>
          <w:szCs w:val="18"/>
        </w:rPr>
      </w:pPr>
    </w:p>
    <w:sectPr>
      <w:headerReference r:id="rId17" w:type="default"/>
      <w:footerReference r:id="rId18" w:type="default"/>
      <w:pgSz w:w="11906" w:h="16839"/>
      <w:pgMar w:top="403" w:right="1243" w:bottom="1168" w:left="1305" w:header="0" w:footer="95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6007B5">
    <w:pPr>
      <w:spacing w:line="209" w:lineRule="auto"/>
      <w:ind w:left="4104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9"/>
        <w:sz w:val="18"/>
        <w:szCs w:val="18"/>
      </w:rPr>
      <w:t>第</w:t>
    </w:r>
    <w:r>
      <w:rPr>
        <w:rFonts w:ascii="宋体" w:hAnsi="宋体" w:eastAsia="宋体" w:cs="宋体"/>
        <w:spacing w:val="20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9"/>
        <w:sz w:val="18"/>
        <w:szCs w:val="18"/>
      </w:rPr>
      <w:t>1</w:t>
    </w:r>
    <w:r>
      <w:rPr>
        <w:rFonts w:ascii="Times New Roman" w:hAnsi="Times New Roman" w:eastAsia="Times New Roman" w:cs="Times New Roman"/>
        <w:spacing w:val="5"/>
        <w:sz w:val="18"/>
        <w:szCs w:val="18"/>
      </w:rPr>
      <w:t xml:space="preserve">  </w:t>
    </w:r>
    <w:r>
      <w:rPr>
        <w:rFonts w:ascii="宋体" w:hAnsi="宋体" w:eastAsia="宋体" w:cs="宋体"/>
        <w:spacing w:val="-9"/>
        <w:sz w:val="18"/>
        <w:szCs w:val="18"/>
      </w:rPr>
      <w:t>页</w:t>
    </w:r>
    <w:r>
      <w:rPr>
        <w:rFonts w:ascii="宋体" w:hAnsi="宋体" w:eastAsia="宋体" w:cs="宋体"/>
        <w:spacing w:val="9"/>
        <w:sz w:val="18"/>
        <w:szCs w:val="18"/>
      </w:rPr>
      <w:t xml:space="preserve"> </w:t>
    </w:r>
    <w:r>
      <w:rPr>
        <w:rFonts w:ascii="宋体" w:hAnsi="宋体" w:eastAsia="宋体" w:cs="宋体"/>
        <w:spacing w:val="-9"/>
        <w:sz w:val="18"/>
        <w:szCs w:val="18"/>
      </w:rPr>
      <w:t>共</w:t>
    </w:r>
    <w:r>
      <w:rPr>
        <w:rFonts w:ascii="宋体" w:hAnsi="宋体" w:eastAsia="宋体" w:cs="宋体"/>
        <w:spacing w:val="5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9"/>
        <w:sz w:val="18"/>
        <w:szCs w:val="18"/>
      </w:rPr>
      <w:t>7</w:t>
    </w:r>
    <w:r>
      <w:rPr>
        <w:rFonts w:ascii="Times New Roman" w:hAnsi="Times New Roman" w:eastAsia="Times New Roman" w:cs="Times New Roman"/>
        <w:spacing w:val="6"/>
        <w:sz w:val="18"/>
        <w:szCs w:val="18"/>
      </w:rPr>
      <w:t xml:space="preserve">  </w:t>
    </w:r>
    <w:r>
      <w:rPr>
        <w:rFonts w:ascii="宋体" w:hAnsi="宋体" w:eastAsia="宋体" w:cs="宋体"/>
        <w:spacing w:val="-9"/>
        <w:sz w:val="18"/>
        <w:szCs w:val="18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C76B19">
    <w:pPr>
      <w:spacing w:line="209" w:lineRule="auto"/>
      <w:ind w:left="3915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 xml:space="preserve">第 </w:t>
    </w:r>
    <w:r>
      <w:rPr>
        <w:rFonts w:ascii="Times New Roman" w:hAnsi="Times New Roman" w:eastAsia="Times New Roman" w:cs="Times New Roman"/>
        <w:spacing w:val="-5"/>
        <w:sz w:val="18"/>
        <w:szCs w:val="18"/>
      </w:rPr>
      <w:t>2</w:t>
    </w:r>
    <w:r>
      <w:rPr>
        <w:rFonts w:ascii="Times New Roman" w:hAnsi="Times New Roman" w:eastAsia="Times New Roman" w:cs="Times New Roman"/>
        <w:spacing w:val="6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  <w:r>
      <w:rPr>
        <w:rFonts w:ascii="宋体" w:hAnsi="宋体" w:eastAsia="宋体" w:cs="宋体"/>
        <w:spacing w:val="8"/>
        <w:sz w:val="18"/>
        <w:szCs w:val="18"/>
      </w:rPr>
      <w:t xml:space="preserve"> </w:t>
    </w:r>
    <w:r>
      <w:rPr>
        <w:rFonts w:ascii="宋体" w:hAnsi="宋体" w:eastAsia="宋体" w:cs="宋体"/>
        <w:spacing w:val="-5"/>
        <w:sz w:val="18"/>
        <w:szCs w:val="18"/>
      </w:rPr>
      <w:t>共</w:t>
    </w:r>
    <w:r>
      <w:rPr>
        <w:rFonts w:ascii="宋体" w:hAnsi="宋体" w:eastAsia="宋体" w:cs="宋体"/>
        <w:spacing w:val="5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5"/>
        <w:sz w:val="18"/>
        <w:szCs w:val="18"/>
      </w:rPr>
      <w:t>7</w:t>
    </w:r>
    <w:r>
      <w:rPr>
        <w:rFonts w:ascii="Times New Roman" w:hAnsi="Times New Roman" w:eastAsia="Times New Roman" w:cs="Times New Roman"/>
        <w:spacing w:val="6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26CBCD">
    <w:pPr>
      <w:spacing w:line="209" w:lineRule="auto"/>
      <w:ind w:left="3915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7"/>
        <w:sz w:val="18"/>
        <w:szCs w:val="18"/>
      </w:rPr>
      <w:t>第</w:t>
    </w:r>
    <w:r>
      <w:rPr>
        <w:rFonts w:ascii="宋体" w:hAnsi="宋体" w:eastAsia="宋体" w:cs="宋体"/>
        <w:spacing w:val="8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7"/>
        <w:sz w:val="18"/>
        <w:szCs w:val="18"/>
      </w:rPr>
      <w:t>3</w:t>
    </w:r>
    <w:r>
      <w:rPr>
        <w:rFonts w:ascii="Times New Roman" w:hAnsi="Times New Roman" w:eastAsia="Times New Roman" w:cs="Times New Roman"/>
        <w:spacing w:val="5"/>
        <w:sz w:val="18"/>
        <w:szCs w:val="18"/>
      </w:rPr>
      <w:t xml:space="preserve">  </w:t>
    </w:r>
    <w:r>
      <w:rPr>
        <w:rFonts w:ascii="宋体" w:hAnsi="宋体" w:eastAsia="宋体" w:cs="宋体"/>
        <w:spacing w:val="-7"/>
        <w:sz w:val="18"/>
        <w:szCs w:val="18"/>
      </w:rPr>
      <w:t>页</w:t>
    </w:r>
    <w:r>
      <w:rPr>
        <w:rFonts w:ascii="宋体" w:hAnsi="宋体" w:eastAsia="宋体" w:cs="宋体"/>
        <w:spacing w:val="9"/>
        <w:sz w:val="18"/>
        <w:szCs w:val="18"/>
      </w:rPr>
      <w:t xml:space="preserve"> </w:t>
    </w:r>
    <w:r>
      <w:rPr>
        <w:rFonts w:ascii="宋体" w:hAnsi="宋体" w:eastAsia="宋体" w:cs="宋体"/>
        <w:spacing w:val="-7"/>
        <w:sz w:val="18"/>
        <w:szCs w:val="18"/>
      </w:rPr>
      <w:t>共</w:t>
    </w:r>
    <w:r>
      <w:rPr>
        <w:rFonts w:ascii="宋体" w:hAnsi="宋体" w:eastAsia="宋体" w:cs="宋体"/>
        <w:spacing w:val="5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7"/>
        <w:sz w:val="18"/>
        <w:szCs w:val="18"/>
      </w:rPr>
      <w:t>7</w:t>
    </w:r>
    <w:r>
      <w:rPr>
        <w:rFonts w:ascii="Times New Roman" w:hAnsi="Times New Roman" w:eastAsia="Times New Roman" w:cs="Times New Roman"/>
        <w:spacing w:val="6"/>
        <w:sz w:val="18"/>
        <w:szCs w:val="18"/>
      </w:rPr>
      <w:t xml:space="preserve">  </w:t>
    </w:r>
    <w:r>
      <w:rPr>
        <w:rFonts w:ascii="宋体" w:hAnsi="宋体" w:eastAsia="宋体" w:cs="宋体"/>
        <w:spacing w:val="-7"/>
        <w:sz w:val="18"/>
        <w:szCs w:val="18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54E6FE">
    <w:pPr>
      <w:spacing w:line="209" w:lineRule="auto"/>
      <w:ind w:left="3915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 xml:space="preserve">第 </w:t>
    </w:r>
    <w:r>
      <w:rPr>
        <w:rFonts w:ascii="Times New Roman" w:hAnsi="Times New Roman" w:eastAsia="Times New Roman" w:cs="Times New Roman"/>
        <w:spacing w:val="-5"/>
        <w:sz w:val="18"/>
        <w:szCs w:val="18"/>
      </w:rPr>
      <w:t>4</w:t>
    </w:r>
    <w:r>
      <w:rPr>
        <w:rFonts w:ascii="Times New Roman" w:hAnsi="Times New Roman" w:eastAsia="Times New Roman" w:cs="Times New Roman"/>
        <w:spacing w:val="6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  <w:r>
      <w:rPr>
        <w:rFonts w:ascii="宋体" w:hAnsi="宋体" w:eastAsia="宋体" w:cs="宋体"/>
        <w:spacing w:val="8"/>
        <w:sz w:val="18"/>
        <w:szCs w:val="18"/>
      </w:rPr>
      <w:t xml:space="preserve"> </w:t>
    </w:r>
    <w:r>
      <w:rPr>
        <w:rFonts w:ascii="宋体" w:hAnsi="宋体" w:eastAsia="宋体" w:cs="宋体"/>
        <w:spacing w:val="-5"/>
        <w:sz w:val="18"/>
        <w:szCs w:val="18"/>
      </w:rPr>
      <w:t>共</w:t>
    </w:r>
    <w:r>
      <w:rPr>
        <w:rFonts w:ascii="宋体" w:hAnsi="宋体" w:eastAsia="宋体" w:cs="宋体"/>
        <w:spacing w:val="5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5"/>
        <w:sz w:val="18"/>
        <w:szCs w:val="18"/>
      </w:rPr>
      <w:t>7</w:t>
    </w:r>
    <w:r>
      <w:rPr>
        <w:rFonts w:ascii="Times New Roman" w:hAnsi="Times New Roman" w:eastAsia="Times New Roman" w:cs="Times New Roman"/>
        <w:spacing w:val="6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61DDF7">
    <w:pPr>
      <w:spacing w:line="209" w:lineRule="auto"/>
      <w:ind w:left="3931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7"/>
        <w:sz w:val="18"/>
        <w:szCs w:val="18"/>
      </w:rPr>
      <w:t>第</w:t>
    </w:r>
    <w:r>
      <w:rPr>
        <w:rFonts w:ascii="宋体" w:hAnsi="宋体" w:eastAsia="宋体" w:cs="宋体"/>
        <w:spacing w:val="8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7"/>
        <w:sz w:val="18"/>
        <w:szCs w:val="18"/>
      </w:rPr>
      <w:t>5</w:t>
    </w:r>
    <w:r>
      <w:rPr>
        <w:rFonts w:ascii="Times New Roman" w:hAnsi="Times New Roman" w:eastAsia="Times New Roman" w:cs="Times New Roman"/>
        <w:spacing w:val="5"/>
        <w:sz w:val="18"/>
        <w:szCs w:val="18"/>
      </w:rPr>
      <w:t xml:space="preserve">  </w:t>
    </w:r>
    <w:r>
      <w:rPr>
        <w:rFonts w:ascii="宋体" w:hAnsi="宋体" w:eastAsia="宋体" w:cs="宋体"/>
        <w:spacing w:val="-7"/>
        <w:sz w:val="18"/>
        <w:szCs w:val="18"/>
      </w:rPr>
      <w:t>页</w:t>
    </w:r>
    <w:r>
      <w:rPr>
        <w:rFonts w:ascii="宋体" w:hAnsi="宋体" w:eastAsia="宋体" w:cs="宋体"/>
        <w:spacing w:val="9"/>
        <w:sz w:val="18"/>
        <w:szCs w:val="18"/>
      </w:rPr>
      <w:t xml:space="preserve"> </w:t>
    </w:r>
    <w:r>
      <w:rPr>
        <w:rFonts w:ascii="宋体" w:hAnsi="宋体" w:eastAsia="宋体" w:cs="宋体"/>
        <w:spacing w:val="-7"/>
        <w:sz w:val="18"/>
        <w:szCs w:val="18"/>
      </w:rPr>
      <w:t>共</w:t>
    </w:r>
    <w:r>
      <w:rPr>
        <w:rFonts w:ascii="宋体" w:hAnsi="宋体" w:eastAsia="宋体" w:cs="宋体"/>
        <w:spacing w:val="5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7"/>
        <w:sz w:val="18"/>
        <w:szCs w:val="18"/>
      </w:rPr>
      <w:t>7</w:t>
    </w:r>
    <w:r>
      <w:rPr>
        <w:rFonts w:ascii="Times New Roman" w:hAnsi="Times New Roman" w:eastAsia="Times New Roman" w:cs="Times New Roman"/>
        <w:spacing w:val="6"/>
        <w:sz w:val="18"/>
        <w:szCs w:val="18"/>
      </w:rPr>
      <w:t xml:space="preserve">  </w:t>
    </w:r>
    <w:r>
      <w:rPr>
        <w:rFonts w:ascii="宋体" w:hAnsi="宋体" w:eastAsia="宋体" w:cs="宋体"/>
        <w:spacing w:val="-7"/>
        <w:sz w:val="18"/>
        <w:szCs w:val="18"/>
      </w:rPr>
      <w:t>页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BE69A5">
    <w:pPr>
      <w:spacing w:line="209" w:lineRule="auto"/>
      <w:ind w:left="4037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7"/>
        <w:sz w:val="18"/>
        <w:szCs w:val="18"/>
      </w:rPr>
      <w:t>第</w:t>
    </w:r>
    <w:r>
      <w:rPr>
        <w:rFonts w:ascii="宋体" w:hAnsi="宋体" w:eastAsia="宋体" w:cs="宋体"/>
        <w:spacing w:val="8"/>
        <w:sz w:val="18"/>
        <w:szCs w:val="18"/>
      </w:rPr>
      <w:t xml:space="preserve"> </w:t>
    </w:r>
    <w:r>
      <w:rPr>
        <w:rFonts w:hint="eastAsia" w:ascii="宋体" w:hAnsi="宋体" w:eastAsia="宋体" w:cs="宋体"/>
        <w:spacing w:val="8"/>
        <w:sz w:val="18"/>
        <w:szCs w:val="18"/>
        <w:lang w:val="en-US" w:eastAsia="zh-CN"/>
      </w:rPr>
      <w:t>6</w:t>
    </w:r>
    <w:r>
      <w:rPr>
        <w:rFonts w:ascii="Times New Roman" w:hAnsi="Times New Roman" w:eastAsia="Times New Roman" w:cs="Times New Roman"/>
        <w:spacing w:val="5"/>
        <w:sz w:val="18"/>
        <w:szCs w:val="18"/>
      </w:rPr>
      <w:t xml:space="preserve">  </w:t>
    </w:r>
    <w:r>
      <w:rPr>
        <w:rFonts w:ascii="宋体" w:hAnsi="宋体" w:eastAsia="宋体" w:cs="宋体"/>
        <w:spacing w:val="-7"/>
        <w:sz w:val="18"/>
        <w:szCs w:val="18"/>
      </w:rPr>
      <w:t>页</w:t>
    </w:r>
    <w:r>
      <w:rPr>
        <w:rFonts w:ascii="宋体" w:hAnsi="宋体" w:eastAsia="宋体" w:cs="宋体"/>
        <w:spacing w:val="9"/>
        <w:sz w:val="18"/>
        <w:szCs w:val="18"/>
      </w:rPr>
      <w:t xml:space="preserve"> </w:t>
    </w:r>
    <w:r>
      <w:rPr>
        <w:rFonts w:ascii="宋体" w:hAnsi="宋体" w:eastAsia="宋体" w:cs="宋体"/>
        <w:spacing w:val="-7"/>
        <w:sz w:val="18"/>
        <w:szCs w:val="18"/>
      </w:rPr>
      <w:t>共</w:t>
    </w:r>
    <w:r>
      <w:rPr>
        <w:rFonts w:ascii="宋体" w:hAnsi="宋体" w:eastAsia="宋体" w:cs="宋体"/>
        <w:spacing w:val="5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7"/>
        <w:sz w:val="18"/>
        <w:szCs w:val="18"/>
      </w:rPr>
      <w:t>7</w:t>
    </w:r>
    <w:r>
      <w:rPr>
        <w:rFonts w:ascii="Times New Roman" w:hAnsi="Times New Roman" w:eastAsia="Times New Roman" w:cs="Times New Roman"/>
        <w:spacing w:val="6"/>
        <w:sz w:val="18"/>
        <w:szCs w:val="18"/>
      </w:rPr>
      <w:t xml:space="preserve">  </w:t>
    </w:r>
    <w:r>
      <w:rPr>
        <w:rFonts w:ascii="宋体" w:hAnsi="宋体" w:eastAsia="宋体" w:cs="宋体"/>
        <w:spacing w:val="-7"/>
        <w:sz w:val="18"/>
        <w:szCs w:val="18"/>
      </w:rPr>
      <w:t>页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D0A38C">
    <w:pPr>
      <w:spacing w:line="209" w:lineRule="auto"/>
      <w:ind w:left="4037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7"/>
        <w:sz w:val="18"/>
        <w:szCs w:val="18"/>
      </w:rPr>
      <w:t>第</w:t>
    </w:r>
    <w:r>
      <w:rPr>
        <w:rFonts w:ascii="宋体" w:hAnsi="宋体" w:eastAsia="宋体" w:cs="宋体"/>
        <w:spacing w:val="8"/>
        <w:sz w:val="18"/>
        <w:szCs w:val="18"/>
      </w:rPr>
      <w:t xml:space="preserve"> </w:t>
    </w:r>
    <w:r>
      <w:rPr>
        <w:rFonts w:hint="eastAsia" w:ascii="宋体" w:hAnsi="宋体" w:eastAsia="宋体" w:cs="宋体"/>
        <w:spacing w:val="8"/>
        <w:sz w:val="18"/>
        <w:szCs w:val="18"/>
        <w:lang w:val="en-US" w:eastAsia="zh-CN"/>
      </w:rPr>
      <w:t>7</w:t>
    </w:r>
    <w:r>
      <w:rPr>
        <w:rFonts w:ascii="Times New Roman" w:hAnsi="Times New Roman" w:eastAsia="Times New Roman" w:cs="Times New Roman"/>
        <w:spacing w:val="5"/>
        <w:sz w:val="18"/>
        <w:szCs w:val="18"/>
      </w:rPr>
      <w:t xml:space="preserve">  </w:t>
    </w:r>
    <w:r>
      <w:rPr>
        <w:rFonts w:ascii="宋体" w:hAnsi="宋体" w:eastAsia="宋体" w:cs="宋体"/>
        <w:spacing w:val="-7"/>
        <w:sz w:val="18"/>
        <w:szCs w:val="18"/>
      </w:rPr>
      <w:t>页</w:t>
    </w:r>
    <w:r>
      <w:rPr>
        <w:rFonts w:ascii="宋体" w:hAnsi="宋体" w:eastAsia="宋体" w:cs="宋体"/>
        <w:spacing w:val="9"/>
        <w:sz w:val="18"/>
        <w:szCs w:val="18"/>
      </w:rPr>
      <w:t xml:space="preserve"> </w:t>
    </w:r>
    <w:r>
      <w:rPr>
        <w:rFonts w:ascii="宋体" w:hAnsi="宋体" w:eastAsia="宋体" w:cs="宋体"/>
        <w:spacing w:val="-7"/>
        <w:sz w:val="18"/>
        <w:szCs w:val="18"/>
      </w:rPr>
      <w:t>共</w:t>
    </w:r>
    <w:r>
      <w:rPr>
        <w:rFonts w:ascii="宋体" w:hAnsi="宋体" w:eastAsia="宋体" w:cs="宋体"/>
        <w:spacing w:val="5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7"/>
        <w:sz w:val="18"/>
        <w:szCs w:val="18"/>
      </w:rPr>
      <w:t>7</w:t>
    </w:r>
    <w:r>
      <w:rPr>
        <w:rFonts w:ascii="Times New Roman" w:hAnsi="Times New Roman" w:eastAsia="Times New Roman" w:cs="Times New Roman"/>
        <w:spacing w:val="6"/>
        <w:sz w:val="18"/>
        <w:szCs w:val="18"/>
      </w:rPr>
      <w:t xml:space="preserve">  </w:t>
    </w:r>
    <w:r>
      <w:rPr>
        <w:rFonts w:ascii="宋体" w:hAnsi="宋体" w:eastAsia="宋体" w:cs="宋体"/>
        <w:spacing w:val="-7"/>
        <w:sz w:val="18"/>
        <w:szCs w:val="18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A8D1D3">
    <w:pPr>
      <w:pStyle w:val="2"/>
      <w:spacing w:line="14" w:lineRule="auto"/>
      <w:rPr>
        <w:sz w:val="2"/>
      </w:rPr>
    </w:pPr>
    <w:r>
      <w:pict>
        <v:shape id="WordPictureWatermark2" o:spid="_x0000_s2049" o:spt="75" type="#_x0000_t75" style="position:absolute;left:0pt;margin-left:214.25pt;margin-top:330pt;height:181.85pt;width:178.9pt;mso-position-horizontal-relative:page;mso-position-vertical-relative:page;z-index:-251657216;mso-width-relative:page;mso-height-relative:page;" filled="f" stroked="f" coordsize="21600,21600" o:allowincell="f">
          <v:path/>
          <v:fill on="f" focussize="0,0"/>
          <v:stroke on="f"/>
          <v:imagedata r:id="rId1" o:title="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212B79">
    <w:pPr>
      <w:pStyle w:val="2"/>
      <w:spacing w:line="14" w:lineRule="auto"/>
      <w:rPr>
        <w:sz w:val="2"/>
      </w:rPr>
    </w:pPr>
    <w:r>
      <w:pict>
        <v:shape id="WordPictureWatermark8" o:spid="_x0000_s2050" o:spt="75" type="#_x0000_t75" style="position:absolute;left:0pt;margin-left:214.25pt;margin-top:330pt;height:181.85pt;width:178.9pt;mso-position-horizontal-relative:page;mso-position-vertical-relative:page;z-index:-251656192;mso-width-relative:page;mso-height-relative:page;" filled="f" stroked="f" coordsize="21600,21600" o:allowincell="f">
          <v:path/>
          <v:fill on="f" focussize="0,0"/>
          <v:stroke on="f"/>
          <v:imagedata r:id="rId1" o:title="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045A3">
    <w:pPr>
      <w:pStyle w:val="2"/>
      <w:spacing w:line="14" w:lineRule="auto"/>
      <w:rPr>
        <w:sz w:val="2"/>
      </w:rPr>
    </w:pPr>
    <w:r>
      <w:pict>
        <v:shape id="WordPictureWatermark10" o:spid="_x0000_s2051" o:spt="75" type="#_x0000_t75" style="position:absolute;left:0pt;margin-left:214.25pt;margin-top:330pt;height:181.85pt;width:178.9pt;mso-position-horizontal-relative:page;mso-position-vertical-relative:page;z-index:-251655168;mso-width-relative:page;mso-height-relative:page;" filled="f" stroked="f" coordsize="21600,21600" o:allowincell="f">
          <v:path/>
          <v:fill on="f" focussize="0,0"/>
          <v:stroke on="f"/>
          <v:imagedata r:id="rId1" o:title=""/>
          <o:lock v:ext="edit" aspectratio="t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53997D">
    <w:pPr>
      <w:pStyle w:val="2"/>
      <w:spacing w:line="14" w:lineRule="auto"/>
      <w:rPr>
        <w:sz w:val="2"/>
      </w:rPr>
    </w:pPr>
    <w:r>
      <w:pict>
        <v:shape id="WordPictureWatermark12" o:spid="_x0000_s2052" o:spt="75" type="#_x0000_t75" style="position:absolute;left:0pt;margin-left:214.25pt;margin-top:330pt;height:181.85pt;width:178.9pt;mso-position-horizontal-relative:page;mso-position-vertical-relative:page;z-index:-251654144;mso-width-relative:page;mso-height-relative:page;" filled="f" stroked="f" coordsize="21600,21600" o:allowincell="f">
          <v:path/>
          <v:fill on="f" focussize="0,0"/>
          <v:stroke on="f"/>
          <v:imagedata r:id="rId1" o:title=""/>
          <o:lock v:ext="edit" aspectratio="t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2597AD">
    <w:pPr>
      <w:pStyle w:val="2"/>
      <w:spacing w:line="14" w:lineRule="auto"/>
      <w:rPr>
        <w:sz w:val="2"/>
      </w:rPr>
    </w:pPr>
    <w:r>
      <w:pict>
        <v:shape id="WordPictureWatermark14" o:spid="_x0000_s2053" o:spt="75" type="#_x0000_t75" style="position:absolute;left:0pt;margin-left:214.25pt;margin-top:330pt;height:181.85pt;width:178.9pt;mso-position-horizontal-relative:page;mso-position-vertical-relative:page;z-index:-251653120;mso-width-relative:page;mso-height-relative:page;" filled="f" stroked="f" coordsize="21600,21600" o:allowincell="f">
          <v:path/>
          <v:fill on="f" focussize="0,0"/>
          <v:stroke on="f"/>
          <v:imagedata r:id="rId1" o:title=""/>
          <o:lock v:ext="edit" aspectratio="t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ECBFE9">
    <w:pPr>
      <w:pStyle w:val="2"/>
      <w:spacing w:line="14" w:lineRule="auto"/>
      <w:rPr>
        <w:sz w:val="2"/>
      </w:rPr>
    </w:pPr>
    <w:r>
      <w:pict>
        <v:shape id="WordPictureWatermark16" o:spid="_x0000_s2054" o:spt="75" type="#_x0000_t75" style="position:absolute;left:0pt;margin-left:214.25pt;margin-top:330pt;height:181.85pt;width:178.9pt;mso-position-horizontal-relative:page;mso-position-vertical-relative:page;z-index:-251652096;mso-width-relative:page;mso-height-relative:page;" filled="f" stroked="f" coordsize="21600,21600" o:allowincell="f">
          <v:path/>
          <v:fill on="f" focussize="0,0"/>
          <v:stroke on="f"/>
          <v:imagedata r:id="rId1" o:title=""/>
          <o:lock v:ext="edit" aspectratio="t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4E268E">
    <w:pPr>
      <w:pStyle w:val="2"/>
      <w:spacing w:line="14" w:lineRule="auto"/>
      <w:rPr>
        <w:sz w:val="2"/>
      </w:rPr>
    </w:pPr>
    <w:r>
      <w:pict>
        <v:shape id="WordPictureWatermark18" o:spid="_x0000_s2055" o:spt="75" type="#_x0000_t75" style="position:absolute;left:0pt;margin-left:214.25pt;margin-top:330pt;height:181.85pt;width:178.9pt;mso-position-horizontal-relative:page;mso-position-vertical-relative:page;z-index:-251651072;mso-width-relative:page;mso-height-relative:page;" filled="f" stroked="f" coordsize="21600,21600" o:allowincell="f">
          <v:path/>
          <v:fill on="f" focussize="0,0"/>
          <v:stroke on="f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TAwODYxMTRiZGQxOGQ1NWQyNTJkMjVmZGFhMDllMjQifQ=="/>
  </w:docVars>
  <w:rsids>
    <w:rsidRoot w:val="00000000"/>
    <w:rsid w:val="13F90BE4"/>
    <w:rsid w:val="2D4658F7"/>
    <w:rsid w:val="32DB7544"/>
    <w:rsid w:val="375E2B8F"/>
    <w:rsid w:val="7DEC01B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theme" Target="theme/theme1.xml"/><Relationship Id="rId18" Type="http://schemas.openxmlformats.org/officeDocument/2006/relationships/footer" Target="footer7.xml"/><Relationship Id="rId17" Type="http://schemas.openxmlformats.org/officeDocument/2006/relationships/header" Target="header7.xml"/><Relationship Id="rId16" Type="http://schemas.openxmlformats.org/officeDocument/2006/relationships/footer" Target="footer6.xml"/><Relationship Id="rId15" Type="http://schemas.openxmlformats.org/officeDocument/2006/relationships/header" Target="header6.xml"/><Relationship Id="rId14" Type="http://schemas.openxmlformats.org/officeDocument/2006/relationships/footer" Target="footer5.xml"/><Relationship Id="rId13" Type="http://schemas.openxmlformats.org/officeDocument/2006/relationships/header" Target="header5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4103</Words>
  <Characters>4155</Characters>
  <TotalTime>13</TotalTime>
  <ScaleCrop>false</ScaleCrop>
  <LinksUpToDate>false</LinksUpToDate>
  <CharactersWithSpaces>4480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2024-07-12T13:42:00Z</dcterms:created>
  <dc:creator>YE</dc:creator>
  <cp:lastModifiedBy>刘建</cp:lastModifiedBy>
  <dcterms:modified xsi:type="dcterms:W3CDTF">2024-12-07T07:21:07Z</dcterms:modified>
  <dc:title>“第三方物流”服务协议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2024-07-12T16:02:37Z</vt:filetime>
  </property>
  <property fmtid="{D5CDD505-2E9C-101B-9397-08002B2CF9AE}" pid="4" name="KSOProductBuildVer">
    <vt:lpwstr>2052-12.1.0.19302</vt:lpwstr>
  </property>
  <property fmtid="{D5CDD505-2E9C-101B-9397-08002B2CF9AE}" pid="5" name="ICV">
    <vt:lpwstr>D21E030F4F9C4716AAB2AF33C91AF481_12</vt:lpwstr>
  </property>
</Properties>
</file>