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济南</w:t>
      </w:r>
      <w:r>
        <w:rPr>
          <w:rFonts w:hint="eastAsia"/>
          <w:b/>
          <w:bCs/>
          <w:sz w:val="44"/>
          <w:szCs w:val="44"/>
        </w:rPr>
        <w:t>特种车（北京未达）</w:t>
      </w:r>
      <w:r>
        <w:rPr>
          <w:rFonts w:hint="eastAsia"/>
          <w:b/>
          <w:bCs/>
          <w:sz w:val="44"/>
          <w:szCs w:val="44"/>
          <w:lang w:val="en-US" w:eastAsia="zh-CN"/>
        </w:rPr>
        <w:t>情况</w:t>
      </w:r>
      <w:r>
        <w:rPr>
          <w:rFonts w:hint="eastAsia"/>
          <w:b/>
          <w:bCs/>
          <w:sz w:val="44"/>
          <w:szCs w:val="44"/>
        </w:rPr>
        <w:t>说明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ind w:firstLine="560" w:firstLineChars="2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光华荣昌与济南特种车在2024年9月30日对账中发现有部分未达金额为90407.88元（见下图1），经查询在2022年8月北京光华荣昌和济南特种车的对账调节表（见下图2）中未达金额与本次予处理的金额相同，即为北京光华荣昌转入的索赔金额（见下图3：三方协议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），经询问已找不到发票和相关明细，现申请入账，即：</w:t>
      </w:r>
      <w:r>
        <w:rPr>
          <w:rFonts w:ascii="宋体" w:hAnsi="宋体" w:eastAsia="宋体" w:cs="宋体"/>
          <w:sz w:val="28"/>
          <w:szCs w:val="28"/>
        </w:rPr>
        <w:t>调增北京应收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调减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济南特种车</w:t>
      </w:r>
      <w:r>
        <w:rPr>
          <w:rFonts w:ascii="宋体" w:hAnsi="宋体" w:eastAsia="宋体" w:cs="宋体"/>
          <w:sz w:val="28"/>
          <w:szCs w:val="28"/>
        </w:rPr>
        <w:t>应收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请审批！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9400" cy="1901825"/>
            <wp:effectExtent l="0" t="0" r="1270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8775" cy="3534410"/>
            <wp:effectExtent l="0" t="0" r="9525" b="889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534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6875" cy="74295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A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2024-11-27T06:34:33Z</dcterms:created>
  <dc:creator>Administrator</dc:creator>
  <cp:lastModifiedBy> ①  呀  ① </cp:lastModifiedBy>
  <dcterms:modified xsi:type="dcterms:W3CDTF">2024-11-27T07:29:18Z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