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EF828">
      <w:pPr>
        <w:jc w:val="both"/>
        <w:rPr>
          <w:bCs/>
          <w:sz w:val="24"/>
        </w:rPr>
      </w:pPr>
      <w:r>
        <w:rPr>
          <w:rFonts w:hint="eastAsia" w:ascii="宋体" w:hAnsi="宋体"/>
          <w:bCs/>
          <w:sz w:val="36"/>
          <w:szCs w:val="36"/>
        </w:rPr>
        <w:t xml:space="preserve">                    澄  清  函 </w:t>
      </w:r>
      <w:r>
        <w:rPr>
          <w:rFonts w:hint="eastAsia"/>
          <w:bCs/>
          <w:sz w:val="24"/>
        </w:rPr>
        <w:t>ZZCG011-1</w:t>
      </w:r>
    </w:p>
    <w:p w14:paraId="6392F1BC">
      <w:pPr>
        <w:jc w:val="both"/>
        <w:rPr>
          <w:b/>
          <w:bCs/>
          <w:sz w:val="24"/>
        </w:rPr>
      </w:pPr>
    </w:p>
    <w:tbl>
      <w:tblPr>
        <w:tblStyle w:val="8"/>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167"/>
        <w:gridCol w:w="1349"/>
        <w:gridCol w:w="1005"/>
        <w:gridCol w:w="1455"/>
        <w:gridCol w:w="1591"/>
      </w:tblGrid>
      <w:tr w14:paraId="7A19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973" w:type="dxa"/>
            <w:noWrap/>
            <w:vAlign w:val="center"/>
          </w:tcPr>
          <w:p w14:paraId="2E43BDC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  目</w:t>
            </w:r>
          </w:p>
          <w:p w14:paraId="649FC74A">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  称</w:t>
            </w:r>
          </w:p>
        </w:tc>
        <w:tc>
          <w:tcPr>
            <w:tcW w:w="8567" w:type="dxa"/>
            <w:gridSpan w:val="5"/>
            <w:noWrap/>
            <w:vAlign w:val="center"/>
          </w:tcPr>
          <w:p w14:paraId="259F4C2D">
            <w:pPr>
              <w:spacing w:line="580" w:lineRule="exact"/>
              <w:jc w:val="center"/>
              <w:rPr>
                <w:rFonts w:hint="default" w:asciiTheme="majorEastAsia" w:hAnsiTheme="majorEastAsia" w:eastAsiaTheme="majorEastAsia" w:cstheme="majorEastAsia"/>
                <w:b/>
                <w:bCs/>
                <w:lang w:val="en-US" w:eastAsia="zh-CN"/>
              </w:rPr>
            </w:pPr>
            <w:r>
              <w:rPr>
                <w:rFonts w:hint="eastAsia" w:ascii="宋体" w:hAnsi="宋体" w:cs="宋体"/>
                <w:b/>
                <w:sz w:val="32"/>
                <w:szCs w:val="40"/>
              </w:rPr>
              <w:t>2025年年度招标项目</w:t>
            </w:r>
          </w:p>
        </w:tc>
      </w:tr>
      <w:tr w14:paraId="7BC4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973" w:type="dxa"/>
            <w:noWrap/>
            <w:vAlign w:val="center"/>
          </w:tcPr>
          <w:p w14:paraId="2C25353B">
            <w:pPr>
              <w:jc w:val="center"/>
              <w:rPr>
                <w:rFonts w:asciiTheme="majorEastAsia" w:hAnsiTheme="majorEastAsia" w:eastAsiaTheme="majorEastAsia" w:cstheme="majorEastAsia"/>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384810</wp:posOffset>
                      </wp:positionV>
                      <wp:extent cx="26035" cy="8302625"/>
                      <wp:effectExtent l="4445" t="0" r="7620" b="3175"/>
                      <wp:wrapNone/>
                      <wp:docPr id="2" name="直接连接符 2"/>
                      <wp:cNvGraphicFramePr/>
                      <a:graphic xmlns:a="http://schemas.openxmlformats.org/drawingml/2006/main">
                        <a:graphicData uri="http://schemas.microsoft.com/office/word/2010/wordprocessingShape">
                          <wps:wsp>
                            <wps:cNvCnPr/>
                            <wps:spPr>
                              <a:xfrm flipH="1">
                                <a:off x="778510" y="1892300"/>
                                <a:ext cx="26035" cy="830262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7.65pt;margin-top:30.3pt;height:653.75pt;width:2.05pt;z-index:251659264;mso-width-relative:page;mso-height-relative:page;" filled="f" stroked="t" coordsize="21600,21600" o:gfxdata="UEsDBAoAAAAAAIdO4kAAAAAAAAAAAAAAAAAEAAAAZHJzL1BLAwQUAAAACACHTuJA3zh8NtcAAAAL&#10;AQAADwAAAGRycy9kb3ducmV2LnhtbE2Py07DMBBF90j8gzVI7FLbiRJVIU4XRaxYUZDapZsMcdR4&#10;HMXu6+8ZVrAc3aN7zzSbm5/EBZc4BjKgVwoEUhf6kQYDX59v2RpETJZ6OwVCA3eMsGkfHxpb9+FK&#10;H3jZpUFwCcXaGnApzbWUsXPobVyFGYmz77B4m/hcBtkv9srlfpK5UpX0diRecHbGrcPutDt7A6/d&#10;vSwPczEUSm/3zqt9/n4iY56ftHoBkfCW/mD41Wd1aNnpGM7URzEZyHRZMGqgUhUIBjKtcxBHJotq&#10;rUG2jfz/Q/sDUEsDBBQAAAAIAIdO4kB425WC7QEAALMDAAAOAAAAZHJzL2Uyb0RvYy54bWytU0uO&#10;1DAQ3SNxB8t7Oum0+kPU6VlMa2CBYCTgAG7HTiz5J5en030JLoDEDlYs2XObGY5B2QkDDJtZkIVV&#10;P7+q91zZXpyMJkcRQDnb0PmspERY7lplu4a+f3f1bEMJRGZbpp0VDT0LoBe7p0+2g69F5XqnWxEI&#10;glioB9/QPkZfFwXwXhgGM+eFxaR0wbCIbuiKNrAB0Y0uqrJcFYMLrQ+OCwCM7scknRDDYwCdlIqL&#10;veM3Rtg4ogahWURK0CsPdJenlVLw+EZKEJHohiLTmE9sgvYhncVuy+ouMN8rPo3AHjPCA06GKYtN&#10;76H2LDJyE9Q/UEbx4MDJOOPOFCORrAiymJcPtHnbMy8yF5Qa/L3o8P9g+evjdSCqbWhFiWUGH/zu&#10;47fbD59/fP+E593XL6RKIg0eaqy9tNdh8sBfh8T4JIMhUiv/Ercpa4CsyKmh6/VmOUedzxjfPK8W&#10;5aS2OEXCMV+tysWSEo75zaKsVtUyNSpGxITsA8QXwhmSjIZqZZMYrGbHVxDH0l8lKWzdldIa46zW&#10;lgwNXczXCZ/hkkpcDjSNR6JgO0qY7nD7eQwZEZxWbbqdLkPoDpc6kCNLO5O/abC/ylLrPYN+rMup&#10;qUxbpJEEGyVK1sG156xcjuNbZqLT3qVl+dPPt3//a7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zh8NtcAAAALAQAADwAAAAAAAAABACAAAAAiAAAAZHJzL2Rvd25yZXYueG1sUEsBAhQAFAAAAAgA&#10;h07iQHjblYLtAQAAswMAAA4AAAAAAAAAAQAgAAAAJgEAAGRycy9lMm9Eb2MueG1sUEsFBgAAAAAG&#10;AAYAWQEAAIUFAAAAAA==&#10;">
                      <v:fill on="f" focussize="0,0"/>
                      <v:stroke weight="0.25pt" color="#000000 [3213]" joinstyle="round"/>
                      <v:imagedata o:title=""/>
                      <o:lock v:ext="edit" aspectratio="f"/>
                    </v:line>
                  </w:pict>
                </mc:Fallback>
              </mc:AlternateContent>
            </w:r>
            <w:r>
              <w:rPr>
                <w:rFonts w:hint="eastAsia" w:asciiTheme="majorEastAsia" w:hAnsiTheme="majorEastAsia" w:eastAsiaTheme="majorEastAsia" w:cstheme="majorEastAsia"/>
                <w:sz w:val="24"/>
              </w:rPr>
              <w:t>报价</w:t>
            </w:r>
            <w:r>
              <w:rPr>
                <w:rFonts w:hint="eastAsia" w:asciiTheme="majorEastAsia" w:hAnsiTheme="majorEastAsia" w:eastAsiaTheme="majorEastAsia" w:cstheme="majorEastAsia"/>
                <w:sz w:val="24"/>
                <w:lang w:val="en-US" w:eastAsia="zh-CN"/>
              </w:rPr>
              <w:t>供方</w:t>
            </w:r>
            <w:r>
              <w:rPr>
                <w:rFonts w:hint="eastAsia" w:asciiTheme="majorEastAsia" w:hAnsiTheme="majorEastAsia" w:eastAsiaTheme="majorEastAsia" w:cstheme="majorEastAsia"/>
                <w:sz w:val="24"/>
              </w:rPr>
              <w:t>名称</w:t>
            </w:r>
          </w:p>
        </w:tc>
        <w:tc>
          <w:tcPr>
            <w:tcW w:w="3167" w:type="dxa"/>
            <w:noWrap/>
            <w:vAlign w:val="center"/>
          </w:tcPr>
          <w:p w14:paraId="32AF14FE">
            <w:pPr>
              <w:jc w:val="center"/>
              <w:rPr>
                <w:rFonts w:asciiTheme="majorEastAsia" w:hAnsiTheme="majorEastAsia" w:eastAsiaTheme="majorEastAsia" w:cstheme="majorEastAsia"/>
                <w:sz w:val="24"/>
              </w:rPr>
            </w:pPr>
            <w:r>
              <w:rPr>
                <w:rFonts w:hint="eastAsia" w:ascii="宋体" w:hAnsi="宋体" w:cs="宋体"/>
                <w:sz w:val="24"/>
                <w:szCs w:val="24"/>
              </w:rPr>
              <w:t>河北光华荣昌汽车部件有限公司</w:t>
            </w:r>
          </w:p>
        </w:tc>
        <w:tc>
          <w:tcPr>
            <w:tcW w:w="1349" w:type="dxa"/>
            <w:noWrap/>
            <w:vAlign w:val="center"/>
          </w:tcPr>
          <w:p w14:paraId="408AD91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报价授权人职务</w:t>
            </w:r>
          </w:p>
        </w:tc>
        <w:tc>
          <w:tcPr>
            <w:tcW w:w="1005" w:type="dxa"/>
            <w:noWrap/>
            <w:vAlign w:val="center"/>
          </w:tcPr>
          <w:p w14:paraId="2767DB58">
            <w:pPr>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经理</w:t>
            </w:r>
          </w:p>
        </w:tc>
        <w:tc>
          <w:tcPr>
            <w:tcW w:w="1455" w:type="dxa"/>
            <w:noWrap/>
            <w:vAlign w:val="center"/>
          </w:tcPr>
          <w:p w14:paraId="560A9D22">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报价授权人姓名及电话</w:t>
            </w:r>
          </w:p>
        </w:tc>
        <w:tc>
          <w:tcPr>
            <w:tcW w:w="1591" w:type="dxa"/>
            <w:noWrap/>
            <w:vAlign w:val="center"/>
          </w:tcPr>
          <w:p w14:paraId="76C84F93">
            <w:pPr>
              <w:jc w:val="center"/>
              <w:rPr>
                <w:rFonts w:asciiTheme="majorEastAsia" w:hAnsiTheme="majorEastAsia" w:eastAsiaTheme="majorEastAsia" w:cstheme="majorEastAsia"/>
                <w:sz w:val="24"/>
              </w:rPr>
            </w:pPr>
            <w:r>
              <w:rPr>
                <w:rFonts w:hint="eastAsia" w:ascii="宋体" w:hAnsi="宋体" w:cs="宋体"/>
                <w:sz w:val="24"/>
                <w:szCs w:val="24"/>
              </w:rPr>
              <w:t>赵伟18601235519</w:t>
            </w:r>
            <w:r>
              <w:rPr>
                <w:sz w:val="28"/>
              </w:rPr>
              <mc:AlternateContent>
                <mc:Choice Requires="wps">
                  <w:drawing>
                    <wp:anchor distT="0" distB="0" distL="114300" distR="114300" simplePos="0" relativeHeight="251660288" behindDoc="0" locked="0" layoutInCell="1" allowOverlap="1">
                      <wp:simplePos x="0" y="0"/>
                      <wp:positionH relativeFrom="column">
                        <wp:posOffset>948690</wp:posOffset>
                      </wp:positionH>
                      <wp:positionV relativeFrom="paragraph">
                        <wp:posOffset>302895</wp:posOffset>
                      </wp:positionV>
                      <wp:extent cx="6350" cy="8331200"/>
                      <wp:effectExtent l="4445" t="0" r="14605" b="0"/>
                      <wp:wrapNone/>
                      <wp:docPr id="3" name="直接连接符 3"/>
                      <wp:cNvGraphicFramePr/>
                      <a:graphic xmlns:a="http://schemas.openxmlformats.org/drawingml/2006/main">
                        <a:graphicData uri="http://schemas.microsoft.com/office/word/2010/wordprocessingShape">
                          <wps:wsp>
                            <wps:cNvCnPr/>
                            <wps:spPr>
                              <a:xfrm>
                                <a:off x="6849745" y="1915795"/>
                                <a:ext cx="6350" cy="8331200"/>
                              </a:xfrm>
                              <a:prstGeom prst="line">
                                <a:avLst/>
                              </a:prstGeom>
                              <a:ln w="3175">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4.7pt;margin-top:23.85pt;height:656pt;width:0.5pt;z-index:251660288;mso-width-relative:page;mso-height-relative:page;" filled="f" stroked="t" coordsize="21600,21600" o:gfxdata="UEsDBAoAAAAAAIdO4kAAAAAAAAAAAAAAAAAEAAAAZHJzL1BLAwQUAAAACACHTuJAbsPbf9sAAAAL&#10;AQAADwAAAGRycy9kb3ducmV2LnhtbE2PQU/DMAyF70j8h8hI3Fgy6NatNJ3UCg47MIkNaXDLWtNW&#10;NE5p0m38e7wT3Pzsp+fvpauz7cQRB9860jCdKBBIpataqjW87Z7vFiB8MFSZzhFq+EEPq+z6KjVJ&#10;5U70isdtqAWHkE+MhiaEPpHSlw1a4yeuR+LbpxusCSyHWlaDOXG47eS9UnNpTUv8oTE9Fg2WX9vR&#10;agh+/74J4/o7n+cvBe7yj+JJrrW+vZmqRxABz+HPDBd8RoeMmQ5upMqLjnW0jNiqIYpjEBfDTPHi&#10;wMPDbBmDzFL5v0P2C1BLAwQUAAAACACHTuJAqkQhpkICAACwBAAADgAAAGRycy9lMm9Eb2MueG1s&#10;rVRLjhMxEN0jcQfLe9LpfCZJK52RmChs+EQCDuC43R/JP7mc3yW4ABI7WLGcPbdhOAbldicThhGa&#10;BR2pY5fLr+o9P/f8+qAk2QkHjdE5TXt9SoTmpmh0ldOPH1YvppSAZ7pg0miR06MAer14/my+t5kY&#10;mNrIQjiCIBqyvc1p7b3NkgR4LRSDnrFC42JpnGIep65KCsf2iK5kMuj3r5K9cYV1hgsAjC7jIu0Q&#10;3VMATVk2XCwN3yqhfUR1QjKPlKBuLNBF221ZCu7flSUIT2ROkalv31gEx5vwThZzllWO2brhXQvs&#10;KS084KRYo7HoGWrJPCNb1/wFpRruDJjS97hRSSTSKoIs0v4Dbd7XzIqWC0oN9iw6/D9Y/na3dqQp&#10;cjqkRDOFB373+fbnp6+/fnzB9933b2QYRNpbyDD3Rq9dNwO7doHxoXQq/CMXcsjp1XQ0m4zGlBzR&#10;XLN0PJmNo8ji4AkPCcMxis9xeTocpuiIsJzc41gH/pUwioRBTmWjgwQsY7vX4GPqKSWEtVk1UmKc&#10;ZVKTPfJIJ1idM7RmiZbAobJID3RFCZMVep57dzqrImwOeytA9Dgg1qDA4z4+bRq4anMjHdmx4KH2&#10;6Vqu4HLHI9kvV+HXositemOKCDII4FEVDKNBY3hyCqMaXdFWmT/LpLGDUPmxzkL8stb0H6BY58wb&#10;dSYsfALGo1iAAGdSoHKnA8JbcpYrnMCSQR0bByObotNEauw5uCX6I4w2pji2tmnjaOTIKl66cFMu&#10;5+3u+w/N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w9t/2wAAAAsBAAAPAAAAAAAAAAEAIAAA&#10;ACIAAABkcnMvZG93bnJldi54bWxQSwECFAAUAAAACACHTuJAqkQhpkICAACwBAAADgAAAAAAAAAB&#10;ACAAAAAqAQAAZHJzL2Uyb0RvYy54bWxQSwUGAAAAAAYABgBZAQAA3gUAAAAA&#10;">
                      <v:fill on="f" focussize="0,0"/>
                      <v:stroke weight="0.25pt" color="#000000" joinstyle="round"/>
                      <v:imagedata o:title=""/>
                      <o:lock v:ext="edit" aspectratio="f"/>
                    </v:line>
                  </w:pict>
                </mc:Fallback>
              </mc:AlternateContent>
            </w:r>
          </w:p>
        </w:tc>
      </w:tr>
    </w:tbl>
    <w:p w14:paraId="00EDA30B">
      <w:pPr>
        <w:ind w:firstLine="1124" w:firstLineChars="400"/>
        <w:rPr>
          <w:rFonts w:hint="eastAsia" w:eastAsia="宋体"/>
          <w:b/>
          <w:bCs/>
          <w:sz w:val="28"/>
          <w:lang w:eastAsia="zh-CN"/>
        </w:rPr>
      </w:pPr>
      <w:r>
        <w:rPr>
          <w:rFonts w:hint="eastAsia"/>
          <w:b/>
          <w:bCs/>
          <w:sz w:val="28"/>
        </w:rPr>
        <w:t>澄清内容：</w:t>
      </w:r>
      <w:r>
        <w:rPr>
          <w:rFonts w:hint="eastAsia"/>
          <w:b/>
          <w:bCs/>
          <w:sz w:val="28"/>
          <w:lang w:eastAsia="zh-CN"/>
        </w:rPr>
        <w:t>（</w:t>
      </w:r>
      <w:r>
        <w:rPr>
          <w:rFonts w:hint="eastAsia"/>
          <w:b/>
          <w:bCs/>
          <w:sz w:val="28"/>
          <w:lang w:val="en-US" w:eastAsia="zh-CN"/>
        </w:rPr>
        <w:t>未税</w:t>
      </w:r>
      <w:r>
        <w:rPr>
          <w:rFonts w:hint="eastAsia"/>
          <w:b/>
          <w:bCs/>
          <w:sz w:val="28"/>
          <w:lang w:eastAsia="zh-CN"/>
        </w:rPr>
        <w:t>）</w:t>
      </w:r>
    </w:p>
    <w:tbl>
      <w:tblPr>
        <w:tblStyle w:val="8"/>
        <w:tblW w:w="836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2337"/>
        <w:gridCol w:w="1763"/>
        <w:gridCol w:w="1262"/>
        <w:gridCol w:w="2040"/>
      </w:tblGrid>
      <w:tr w14:paraId="0E9D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1C86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3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14FC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产品图号</w:t>
            </w:r>
          </w:p>
        </w:tc>
        <w:tc>
          <w:tcPr>
            <w:tcW w:w="1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5A61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产品名称</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E8F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311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r>
              <w:rPr>
                <w:rStyle w:val="17"/>
                <w:rFonts w:eastAsia="宋体"/>
                <w:lang w:val="en-US" w:eastAsia="zh-CN" w:bidi="ar"/>
              </w:rPr>
              <w:t>/</w:t>
            </w:r>
            <w:r>
              <w:rPr>
                <w:rFonts w:hint="eastAsia" w:ascii="宋体" w:hAnsi="宋体" w:eastAsia="宋体" w:cs="宋体"/>
                <w:b/>
                <w:bCs/>
                <w:i w:val="0"/>
                <w:iCs w:val="0"/>
                <w:color w:val="000000"/>
                <w:kern w:val="0"/>
                <w:sz w:val="18"/>
                <w:szCs w:val="18"/>
                <w:u w:val="none"/>
                <w:lang w:val="en-US" w:eastAsia="zh-CN" w:bidi="ar"/>
              </w:rPr>
              <w:t>元</w:t>
            </w:r>
          </w:p>
        </w:tc>
      </w:tr>
      <w:tr w14:paraId="5ABD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0DDD60">
            <w:pPr>
              <w:jc w:val="center"/>
              <w:rPr>
                <w:rFonts w:hint="eastAsia" w:ascii="宋体" w:hAnsi="宋体" w:eastAsia="宋体" w:cs="宋体"/>
                <w:b/>
                <w:bCs/>
                <w:i w:val="0"/>
                <w:iCs w:val="0"/>
                <w:color w:val="000000"/>
                <w:sz w:val="18"/>
                <w:szCs w:val="18"/>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26C9D0">
            <w:pPr>
              <w:jc w:val="center"/>
              <w:rPr>
                <w:rFonts w:hint="eastAsia" w:ascii="宋体" w:hAnsi="宋体" w:eastAsia="宋体" w:cs="宋体"/>
                <w:b/>
                <w:bCs/>
                <w:i w:val="0"/>
                <w:iCs w:val="0"/>
                <w:color w:val="000000"/>
                <w:sz w:val="18"/>
                <w:szCs w:val="18"/>
                <w:u w:val="none"/>
              </w:rPr>
            </w:pP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AD7769">
            <w:pPr>
              <w:jc w:val="center"/>
              <w:rPr>
                <w:rFonts w:hint="eastAsia" w:ascii="宋体" w:hAnsi="宋体" w:eastAsia="宋体" w:cs="宋体"/>
                <w:b/>
                <w:bCs/>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4A7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03D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（保留两位小数）</w:t>
            </w:r>
          </w:p>
        </w:tc>
      </w:tr>
      <w:tr w14:paraId="514F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B5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63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712W63730-0002</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02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视镜附件-连接件</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CD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3F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14:paraId="4E73E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00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97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712W63730-0006</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70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视镜装饰盖</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00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46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14:paraId="5403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17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9A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712W63730-0021</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E3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后视镜</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E3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96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r>
      <w:tr w14:paraId="39DC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9B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99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712W63730-0025</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53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后视镜</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32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D9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r>
      <w:tr w14:paraId="434DF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77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87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712W63730-6030</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10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前下视镜</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8E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9F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r w14:paraId="23B40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41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D8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712W63730-6573</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AD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补盲视镜</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F6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C2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r>
      <w:tr w14:paraId="7EA4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47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B5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712W63730-7021</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50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后视镜</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78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34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r>
      <w:tr w14:paraId="2809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AE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FB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712W63730-7025</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3E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后视镜</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9A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9E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r>
      <w:tr w14:paraId="53D4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4A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16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712W63731-0376</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69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视镜安装结构件</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03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2C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w:t>
            </w:r>
          </w:p>
        </w:tc>
      </w:tr>
      <w:tr w14:paraId="165A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99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D4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712W63731-0378</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F1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右置车前下视镜密封垫（北京荣昌）</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7F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5F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r>
      <w:tr w14:paraId="585C3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C5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32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810W63730-6573</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FB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补盲镜</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F6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2B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A01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32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20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810W63731-0376</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C0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视镜安装结构件</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00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C7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402E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89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33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810W63731-0378</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7C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前下视镜密封垫（北京荣昌）</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5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ED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67F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DA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62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812W63730-6656</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F1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前下视镜</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2B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60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r>
      <w:tr w14:paraId="4FA8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39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E2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WG1646770001</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5D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后视镜</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3E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C9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r>
      <w:tr w14:paraId="2711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30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2F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WG1646770002</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09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后视镜</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EC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44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r>
      <w:tr w14:paraId="7237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BC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53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WG1662770010</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7D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下视镜总成</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A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B0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471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4E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2C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WG1664771030</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6C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前下视镜</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D4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46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21.18</w:t>
            </w:r>
          </w:p>
        </w:tc>
      </w:tr>
      <w:tr w14:paraId="7C36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24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C0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WG1664771035</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A3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前下视镜总成(北京荣昌)</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E2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88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4017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99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0E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WG1664771041</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37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补盲视镜</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69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5D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r>
      <w:tr w14:paraId="74B5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DE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F0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WG1664776030</w:t>
            </w:r>
          </w:p>
        </w:tc>
        <w:tc>
          <w:tcPr>
            <w:tcW w:w="1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0E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前下视镜</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D5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30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21.55</w:t>
            </w:r>
          </w:p>
        </w:tc>
      </w:tr>
    </w:tbl>
    <w:tbl>
      <w:tblPr>
        <w:tblStyle w:val="9"/>
        <w:tblW w:w="839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460"/>
        <w:gridCol w:w="1545"/>
        <w:gridCol w:w="1720"/>
        <w:gridCol w:w="1035"/>
        <w:gridCol w:w="1121"/>
      </w:tblGrid>
      <w:tr w14:paraId="479B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9" w:type="dxa"/>
            <w:vAlign w:val="center"/>
          </w:tcPr>
          <w:p w14:paraId="56BEA50A">
            <w:pPr>
              <w:jc w:val="center"/>
              <w:rPr>
                <w:rFonts w:hint="eastAsia"/>
                <w:sz w:val="20"/>
                <w:szCs w:val="20"/>
                <w:vertAlign w:val="baseline"/>
                <w:lang w:val="en-US" w:eastAsia="zh-CN"/>
              </w:rPr>
            </w:pPr>
            <w:r>
              <w:rPr>
                <w:rFonts w:hint="eastAsia"/>
                <w:b/>
                <w:bCs/>
                <w:sz w:val="20"/>
                <w:szCs w:val="20"/>
                <w:vertAlign w:val="baseline"/>
                <w:lang w:val="en-US" w:eastAsia="zh-CN"/>
              </w:rPr>
              <w:t>存货方式</w:t>
            </w:r>
          </w:p>
          <w:p w14:paraId="236B255F">
            <w:pPr>
              <w:jc w:val="center"/>
              <w:rPr>
                <w:rFonts w:hint="default"/>
                <w:sz w:val="16"/>
                <w:szCs w:val="16"/>
                <w:vertAlign w:val="baseline"/>
                <w:lang w:val="en-US" w:eastAsia="zh-CN"/>
              </w:rPr>
            </w:pPr>
            <w:r>
              <w:rPr>
                <w:rFonts w:hint="eastAsia"/>
                <w:sz w:val="16"/>
                <w:szCs w:val="16"/>
                <w:vertAlign w:val="baseline"/>
                <w:lang w:val="en-US" w:eastAsia="zh-CN"/>
              </w:rPr>
              <w:t>（标准/寄售）</w:t>
            </w:r>
          </w:p>
        </w:tc>
        <w:tc>
          <w:tcPr>
            <w:tcW w:w="1460" w:type="dxa"/>
            <w:vAlign w:val="center"/>
          </w:tcPr>
          <w:p w14:paraId="584C9C57">
            <w:pPr>
              <w:jc w:val="center"/>
              <w:rPr>
                <w:rFonts w:hint="default"/>
                <w:sz w:val="16"/>
                <w:szCs w:val="16"/>
                <w:vertAlign w:val="baseline"/>
                <w:lang w:val="en-US" w:eastAsia="zh-CN"/>
              </w:rPr>
            </w:pPr>
            <w:r>
              <w:rPr>
                <w:rFonts w:hint="eastAsia"/>
                <w:sz w:val="16"/>
                <w:szCs w:val="16"/>
                <w:vertAlign w:val="baseline"/>
                <w:lang w:val="en-US" w:eastAsia="zh-CN"/>
              </w:rPr>
              <w:t>寄售</w:t>
            </w:r>
          </w:p>
        </w:tc>
        <w:tc>
          <w:tcPr>
            <w:tcW w:w="1545" w:type="dxa"/>
            <w:vAlign w:val="center"/>
          </w:tcPr>
          <w:p w14:paraId="22F36A07">
            <w:pPr>
              <w:jc w:val="center"/>
              <w:rPr>
                <w:rFonts w:hint="eastAsia"/>
                <w:b/>
                <w:bCs/>
                <w:sz w:val="16"/>
                <w:szCs w:val="16"/>
                <w:vertAlign w:val="baseline"/>
                <w:lang w:val="en-US" w:eastAsia="zh-CN"/>
              </w:rPr>
            </w:pPr>
            <w:r>
              <w:rPr>
                <w:rFonts w:hint="eastAsia"/>
                <w:b/>
                <w:bCs/>
                <w:sz w:val="16"/>
                <w:szCs w:val="16"/>
                <w:vertAlign w:val="baseline"/>
                <w:lang w:val="en-US" w:eastAsia="zh-CN"/>
              </w:rPr>
              <w:t>付款方式</w:t>
            </w:r>
          </w:p>
          <w:p w14:paraId="22108564">
            <w:pPr>
              <w:jc w:val="center"/>
              <w:rPr>
                <w:rFonts w:hint="eastAsia"/>
                <w:sz w:val="16"/>
                <w:szCs w:val="16"/>
                <w:vertAlign w:val="baseline"/>
                <w:lang w:val="en-US" w:eastAsia="zh-CN"/>
              </w:rPr>
            </w:pPr>
            <w:r>
              <w:rPr>
                <w:rFonts w:hint="eastAsia"/>
                <w:sz w:val="16"/>
                <w:szCs w:val="16"/>
                <w:vertAlign w:val="baseline"/>
                <w:lang w:val="en-US" w:eastAsia="zh-CN"/>
              </w:rPr>
              <w:t>（商务承兑/现金）</w:t>
            </w:r>
          </w:p>
        </w:tc>
        <w:tc>
          <w:tcPr>
            <w:tcW w:w="1720" w:type="dxa"/>
            <w:vAlign w:val="center"/>
          </w:tcPr>
          <w:p w14:paraId="0204D23F">
            <w:pPr>
              <w:jc w:val="center"/>
              <w:rPr>
                <w:rFonts w:hint="default"/>
                <w:sz w:val="16"/>
                <w:szCs w:val="16"/>
                <w:vertAlign w:val="baseline"/>
                <w:lang w:val="en-US" w:eastAsia="zh-CN"/>
              </w:rPr>
            </w:pPr>
            <w:r>
              <w:rPr>
                <w:rFonts w:hint="eastAsia"/>
                <w:sz w:val="16"/>
                <w:szCs w:val="16"/>
                <w:vertAlign w:val="baseline"/>
                <w:lang w:val="en-US" w:eastAsia="zh-CN"/>
              </w:rPr>
              <w:t>商务承兑</w:t>
            </w:r>
          </w:p>
        </w:tc>
        <w:tc>
          <w:tcPr>
            <w:tcW w:w="1035" w:type="dxa"/>
            <w:vAlign w:val="center"/>
          </w:tcPr>
          <w:p w14:paraId="7BDAAD68">
            <w:pPr>
              <w:jc w:val="center"/>
              <w:rPr>
                <w:rFonts w:hint="default"/>
                <w:sz w:val="16"/>
                <w:szCs w:val="16"/>
                <w:vertAlign w:val="baseline"/>
                <w:lang w:val="en-US" w:eastAsia="zh-CN"/>
              </w:rPr>
            </w:pPr>
            <w:r>
              <w:rPr>
                <w:rFonts w:hint="eastAsia"/>
                <w:b/>
                <w:bCs/>
                <w:sz w:val="20"/>
                <w:szCs w:val="20"/>
                <w:vertAlign w:val="baseline"/>
                <w:lang w:val="en-US" w:eastAsia="zh-CN"/>
              </w:rPr>
              <w:t>账期</w:t>
            </w:r>
          </w:p>
        </w:tc>
        <w:tc>
          <w:tcPr>
            <w:tcW w:w="1121" w:type="dxa"/>
            <w:vAlign w:val="center"/>
          </w:tcPr>
          <w:p w14:paraId="04EBB23B">
            <w:pPr>
              <w:jc w:val="center"/>
              <w:rPr>
                <w:rFonts w:hint="default"/>
                <w:sz w:val="16"/>
                <w:szCs w:val="16"/>
                <w:vertAlign w:val="baseline"/>
                <w:lang w:val="en-US" w:eastAsia="zh-CN"/>
              </w:rPr>
            </w:pPr>
            <w:r>
              <w:rPr>
                <w:rFonts w:hint="eastAsia"/>
                <w:sz w:val="16"/>
                <w:szCs w:val="16"/>
                <w:vertAlign w:val="baseline"/>
                <w:lang w:val="en-US" w:eastAsia="zh-CN"/>
              </w:rPr>
              <w:t>120</w:t>
            </w:r>
          </w:p>
        </w:tc>
      </w:tr>
    </w:tbl>
    <w:p w14:paraId="3D608D71">
      <w:pPr>
        <w:spacing w:line="360" w:lineRule="auto"/>
        <w:ind w:firstLine="480" w:firstLineChars="200"/>
        <w:rPr>
          <w:rFonts w:hint="default"/>
          <w:sz w:val="24"/>
          <w:lang w:val="en-US" w:eastAsia="zh-CN"/>
        </w:rPr>
      </w:pPr>
      <w:r>
        <w:rPr>
          <w:rFonts w:hint="eastAsia"/>
          <w:sz w:val="24"/>
          <w:lang w:val="en-US" w:eastAsia="zh-CN"/>
        </w:rPr>
        <w:t>以上报价执行日期为：</w:t>
      </w:r>
      <w:r>
        <w:rPr>
          <w:rFonts w:hint="eastAsia"/>
          <w:sz w:val="24"/>
          <w:u w:val="single"/>
          <w:lang w:val="en-US" w:eastAsia="zh-CN"/>
        </w:rPr>
        <w:t xml:space="preserve"> 2025 </w:t>
      </w:r>
      <w:r>
        <w:rPr>
          <w:rFonts w:hint="eastAsia"/>
          <w:sz w:val="24"/>
          <w:u w:val="none"/>
          <w:lang w:val="en-US" w:eastAsia="zh-CN"/>
        </w:rPr>
        <w:t>年</w:t>
      </w:r>
      <w:r>
        <w:rPr>
          <w:rFonts w:hint="eastAsia"/>
          <w:sz w:val="24"/>
          <w:u w:val="single"/>
          <w:lang w:val="en-US" w:eastAsia="zh-CN"/>
        </w:rPr>
        <w:t>1</w:t>
      </w:r>
      <w:r>
        <w:rPr>
          <w:rFonts w:hint="eastAsia"/>
          <w:sz w:val="24"/>
          <w:u w:val="none"/>
          <w:lang w:val="en-US" w:eastAsia="zh-CN"/>
        </w:rPr>
        <w:t>月</w:t>
      </w:r>
      <w:r>
        <w:rPr>
          <w:rFonts w:hint="eastAsia"/>
          <w:sz w:val="24"/>
          <w:u w:val="single"/>
          <w:lang w:val="en-US" w:eastAsia="zh-CN"/>
        </w:rPr>
        <w:t>1</w:t>
      </w:r>
      <w:r>
        <w:rPr>
          <w:rFonts w:hint="eastAsia"/>
          <w:sz w:val="24"/>
          <w:u w:val="none"/>
          <w:lang w:val="en-US" w:eastAsia="zh-CN"/>
        </w:rPr>
        <w:t xml:space="preserve">日 至 </w:t>
      </w:r>
      <w:r>
        <w:rPr>
          <w:rFonts w:hint="eastAsia"/>
          <w:sz w:val="24"/>
          <w:u w:val="single"/>
          <w:lang w:val="en-US" w:eastAsia="zh-CN"/>
        </w:rPr>
        <w:t xml:space="preserve">2025 </w:t>
      </w:r>
      <w:r>
        <w:rPr>
          <w:rFonts w:hint="eastAsia"/>
          <w:sz w:val="24"/>
          <w:u w:val="none"/>
          <w:lang w:val="en-US" w:eastAsia="zh-CN"/>
        </w:rPr>
        <w:t>年</w:t>
      </w:r>
      <w:r>
        <w:rPr>
          <w:rFonts w:hint="eastAsia"/>
          <w:sz w:val="24"/>
          <w:u w:val="single"/>
          <w:lang w:val="en-US" w:eastAsia="zh-CN"/>
        </w:rPr>
        <w:t xml:space="preserve"> 12</w:t>
      </w:r>
      <w:r>
        <w:rPr>
          <w:rFonts w:hint="eastAsia"/>
          <w:sz w:val="24"/>
          <w:u w:val="none"/>
          <w:lang w:val="en-US" w:eastAsia="zh-CN"/>
        </w:rPr>
        <w:t>月</w:t>
      </w:r>
      <w:r>
        <w:rPr>
          <w:rFonts w:hint="eastAsia"/>
          <w:sz w:val="24"/>
          <w:u w:val="single"/>
          <w:lang w:val="en-US" w:eastAsia="zh-CN"/>
        </w:rPr>
        <w:t xml:space="preserve">  31</w:t>
      </w:r>
      <w:bookmarkStart w:id="0" w:name="_GoBack"/>
      <w:bookmarkEnd w:id="0"/>
      <w:r>
        <w:rPr>
          <w:rFonts w:hint="eastAsia"/>
          <w:sz w:val="24"/>
          <w:u w:val="single"/>
          <w:lang w:val="en-US" w:eastAsia="zh-CN"/>
        </w:rPr>
        <w:t xml:space="preserve">  </w:t>
      </w:r>
      <w:r>
        <w:rPr>
          <w:rFonts w:hint="eastAsia"/>
          <w:sz w:val="24"/>
          <w:u w:val="none"/>
          <w:lang w:val="en-US" w:eastAsia="zh-CN"/>
        </w:rPr>
        <w:t>日</w:t>
      </w:r>
    </w:p>
    <w:p w14:paraId="4CD10A24">
      <w:pPr>
        <w:spacing w:line="360" w:lineRule="auto"/>
        <w:ind w:firstLine="480" w:firstLineChars="200"/>
        <w:rPr>
          <w:rFonts w:hint="eastAsia"/>
          <w:sz w:val="24"/>
        </w:rPr>
      </w:pPr>
      <w:r>
        <w:rPr>
          <w:rFonts w:hint="eastAsia"/>
          <w:sz w:val="24"/>
          <w:lang w:val="en-US" w:eastAsia="zh-CN"/>
        </w:rPr>
        <w:t>我司对本次招标过程无异议，承诺我司供应产品在主要原材料价格降低时随市场波动幅度降低价格。</w:t>
      </w:r>
      <w:r>
        <w:rPr>
          <w:rFonts w:hint="eastAsia"/>
          <w:sz w:val="24"/>
        </w:rPr>
        <w:t xml:space="preserve">                           </w:t>
      </w:r>
    </w:p>
    <w:p w14:paraId="4153599A">
      <w:pPr>
        <w:wordWrap w:val="0"/>
        <w:jc w:val="right"/>
        <w:rPr>
          <w:rFonts w:hint="default" w:eastAsia="宋体"/>
          <w:sz w:val="24"/>
          <w:lang w:val="en-US" w:eastAsia="zh-CN"/>
        </w:rPr>
      </w:pPr>
      <w:r>
        <w:rPr>
          <w:rFonts w:hint="eastAsia"/>
          <w:sz w:val="24"/>
        </w:rPr>
        <w:t xml:space="preserve">        报价授权人(签名)：</w:t>
      </w:r>
      <w:r>
        <w:rPr>
          <w:rFonts w:hint="eastAsia"/>
          <w:sz w:val="24"/>
          <w:lang w:val="en-US" w:eastAsia="zh-CN"/>
        </w:rPr>
        <w:t xml:space="preserve">             </w:t>
      </w:r>
    </w:p>
    <w:p w14:paraId="6B72F564">
      <w:pPr>
        <w:rPr>
          <w:sz w:val="24"/>
        </w:rPr>
      </w:pPr>
    </w:p>
    <w:p w14:paraId="348D2277">
      <w:r>
        <w:rPr>
          <w:sz w:val="24"/>
        </w:rPr>
        <mc:AlternateContent>
          <mc:Choice Requires="wps">
            <w:drawing>
              <wp:anchor distT="0" distB="0" distL="114300" distR="114300" simplePos="0" relativeHeight="251661312" behindDoc="0" locked="0" layoutInCell="1" allowOverlap="1">
                <wp:simplePos x="0" y="0"/>
                <wp:positionH relativeFrom="column">
                  <wp:posOffset>-94615</wp:posOffset>
                </wp:positionH>
                <wp:positionV relativeFrom="paragraph">
                  <wp:posOffset>730885</wp:posOffset>
                </wp:positionV>
                <wp:extent cx="6051550" cy="0"/>
                <wp:effectExtent l="0" t="12700" r="6350" b="12700"/>
                <wp:wrapNone/>
                <wp:docPr id="4" name="直接连接符 4"/>
                <wp:cNvGraphicFramePr/>
                <a:graphic xmlns:a="http://schemas.openxmlformats.org/drawingml/2006/main">
                  <a:graphicData uri="http://schemas.microsoft.com/office/word/2010/wordprocessingShape">
                    <wps:wsp>
                      <wps:cNvCnPr/>
                      <wps:spPr>
                        <a:xfrm>
                          <a:off x="793115" y="10084435"/>
                          <a:ext cx="6051550" cy="0"/>
                        </a:xfrm>
                        <a:prstGeom prst="line">
                          <a:avLst/>
                        </a:prstGeom>
                        <a:ln>
                          <a:solidFill>
                            <a:schemeClr val="tx1">
                              <a:lumMod val="95000"/>
                              <a:lumOff val="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45pt;margin-top:57.55pt;height:0pt;width:476.5pt;z-index:251661312;mso-width-relative:page;mso-height-relative:page;" filled="f" stroked="t" coordsize="21600,21600" o:gfxdata="UEsDBAoAAAAAAIdO4kAAAAAAAAAAAAAAAAAEAAAAZHJzL1BLAwQUAAAACACHTuJAmX68W9kAAAAL&#10;AQAADwAAAGRycy9kb3ducmV2LnhtbE2PQWvCQBCF70L/wzKFXkQ3a61omo2gNJfiRSuF3sbsNglm&#10;Z0N2NfbfdwqF9jYz7/HeN9n65lpxtX1oPGlQ0wSEpdKbhioNx7disgQRIpLB1pPV8GUDrPO7UYap&#10;8QPt7fUQK8EhFFLUUMfYpVKGsrYOw9R3llj79L3DyGtfSdPjwOGulbMkWUiHDXFDjZ3d1rY8Hy6O&#10;exc7o+bjAYvtphjvX1/OH+/DUeuHe5U8g4j2Fv/M8IPP6JAz08lfyATRapio+YqtLKgnBYIdq8cl&#10;D6ffi8wz+f+H/BtQSwMEFAAAAAgAh07iQM3kyagCAgAA3wMAAA4AAABkcnMvZTJvRG9jLnhtbK1T&#10;S27bMBDdF+gdCO5ryY6VJoLlLCKkm34MtDkATVESAf7AoS37Er1Age7aVZfd5zZNj5EhpSRtusmi&#10;EEAOhzNv5j2OVhcHrcheeJDWVHQ+yykRhttGmq6i15+uXp1RAoGZhilrREWPAujF+uWL1eBKsbC9&#10;VY3wBEEMlIOraB+CK7MMeC80g5l1wuBla71mAY++yxrPBkTXKlvk+Wk2WN84b7kAQG89XtIJ0T8H&#10;0Lat5KK2fKeFCSOqF4oFpAS9dEDXqdu2FTx8aFsQgaiKItOQViyC9jau2XrFys4z10s+tcCe08IT&#10;TppJg0UfoGoWGNl5+Q+UltxbsG2YcauzkUhSBFnM8yfafOyZE4kLSg3uQXT4f7D8/X7jiWwquqTE&#10;MI0Pfvvl56/P337ffMX19sd3sowiDQ5KjL00Gz+dwG18ZHxovY47ciGHir4+P5nPC0qOOFt5frZc&#10;nhSjyOIQCMeA07yYFwXqzzEkPUD2COI8hDfCahKNiippIn9Wsv1bCFgYQ+9DotvYK6lUekNlyFDR&#10;RbHMIzTDwWxxINDUDsmB6ShhqsOJ58EnSLBKNjE9AoHvtpfKkz2Lc1LHLwWpnX5nm9F9XuSIPRbb&#10;aRyr0X3vxdYmlNTmX/Cx55pBP2akqwiEKcrgFsUd5YzW1jbHpHLy47unwGlG42D9eU7Zj//l+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frxb2QAAAAsBAAAPAAAAAAAAAAEAIAAAACIAAABkcnMv&#10;ZG93bnJldi54bWxQSwECFAAUAAAACACHTuJAzeTJqAICAADfAwAADgAAAAAAAAABACAAAAAoAQAA&#10;ZHJzL2Uyb0RvYy54bWxQSwUGAAAAAAYABgBZAQAAnAUAAAAA&#10;">
                <v:fill on="f" focussize="0,0"/>
                <v:stroke weight="2pt" color="#0D0D0D [3069]" joinstyle="round"/>
                <v:imagedata o:title=""/>
                <o:lock v:ext="edit" aspectratio="f"/>
              </v:line>
            </w:pict>
          </mc:Fallback>
        </mc:AlternateContent>
      </w:r>
      <w:r>
        <w:rPr>
          <w:rFonts w:hint="eastAsia"/>
          <w:sz w:val="24"/>
        </w:rPr>
        <w:t xml:space="preserve">                                                         年    月     日</w:t>
      </w:r>
    </w:p>
    <w:sectPr>
      <w:pgSz w:w="11906" w:h="16838"/>
      <w:pgMar w:top="794" w:right="1418" w:bottom="283" w:left="1418" w:header="851" w:footer="51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MmFhYTk3MWRlODRlOTY1ZTE3Y2JlZjg0Y2JkNjMifQ=="/>
  </w:docVars>
  <w:rsids>
    <w:rsidRoot w:val="007A1863"/>
    <w:rsid w:val="00062A4F"/>
    <w:rsid w:val="000A6EEE"/>
    <w:rsid w:val="0015727D"/>
    <w:rsid w:val="001D415A"/>
    <w:rsid w:val="001F3AEE"/>
    <w:rsid w:val="002644DC"/>
    <w:rsid w:val="002D6840"/>
    <w:rsid w:val="00495E22"/>
    <w:rsid w:val="004E3D15"/>
    <w:rsid w:val="00566623"/>
    <w:rsid w:val="00584CD8"/>
    <w:rsid w:val="00646F04"/>
    <w:rsid w:val="00670A99"/>
    <w:rsid w:val="006C4A05"/>
    <w:rsid w:val="007A1863"/>
    <w:rsid w:val="007F56F6"/>
    <w:rsid w:val="00872E2F"/>
    <w:rsid w:val="00880B69"/>
    <w:rsid w:val="008A47F5"/>
    <w:rsid w:val="00981634"/>
    <w:rsid w:val="009E6FE1"/>
    <w:rsid w:val="009F6633"/>
    <w:rsid w:val="00A320CD"/>
    <w:rsid w:val="00A8611B"/>
    <w:rsid w:val="00A939A4"/>
    <w:rsid w:val="00AD6CAE"/>
    <w:rsid w:val="00B41A32"/>
    <w:rsid w:val="00B51F76"/>
    <w:rsid w:val="00BD68B0"/>
    <w:rsid w:val="00BD7B96"/>
    <w:rsid w:val="00C15066"/>
    <w:rsid w:val="00C40C28"/>
    <w:rsid w:val="00C55634"/>
    <w:rsid w:val="00CD1283"/>
    <w:rsid w:val="00CF26B3"/>
    <w:rsid w:val="00D63BA9"/>
    <w:rsid w:val="00D67DFD"/>
    <w:rsid w:val="00F11AC2"/>
    <w:rsid w:val="00F33BE1"/>
    <w:rsid w:val="00F90068"/>
    <w:rsid w:val="051714CF"/>
    <w:rsid w:val="07DF06B4"/>
    <w:rsid w:val="0E6A0237"/>
    <w:rsid w:val="274A795C"/>
    <w:rsid w:val="2C725805"/>
    <w:rsid w:val="2D147481"/>
    <w:rsid w:val="34FB4838"/>
    <w:rsid w:val="43055826"/>
    <w:rsid w:val="43625B18"/>
    <w:rsid w:val="4F14536F"/>
    <w:rsid w:val="52C13962"/>
    <w:rsid w:val="58264787"/>
    <w:rsid w:val="5BC833F0"/>
    <w:rsid w:val="625150C0"/>
    <w:rsid w:val="6A906673"/>
    <w:rsid w:val="727C327A"/>
    <w:rsid w:val="7A2561D0"/>
    <w:rsid w:val="7D8F589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560" w:firstLineChars="200"/>
    </w:pPr>
    <w:rPr>
      <w:sz w:val="28"/>
    </w:rPr>
  </w:style>
  <w:style w:type="paragraph" w:styleId="5">
    <w:name w:val="Balloon Text"/>
    <w:basedOn w:val="1"/>
    <w:semiHidden/>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0"/>
    <w:rPr>
      <w:kern w:val="2"/>
      <w:sz w:val="18"/>
      <w:szCs w:val="18"/>
    </w:rPr>
  </w:style>
  <w:style w:type="character" w:customStyle="1" w:styleId="12">
    <w:name w:val="页脚 Char"/>
    <w:basedOn w:val="10"/>
    <w:link w:val="6"/>
    <w:qFormat/>
    <w:uiPriority w:val="0"/>
    <w:rPr>
      <w:kern w:val="2"/>
      <w:sz w:val="18"/>
      <w:szCs w:val="18"/>
    </w:rPr>
  </w:style>
  <w:style w:type="character" w:customStyle="1" w:styleId="13">
    <w:name w:val="font61"/>
    <w:basedOn w:val="10"/>
    <w:qFormat/>
    <w:uiPriority w:val="0"/>
    <w:rPr>
      <w:rFonts w:hint="default" w:ascii="Times New Roman" w:hAnsi="Times New Roman" w:cs="Times New Roman"/>
      <w:b/>
      <w:bCs/>
      <w:color w:val="000000"/>
      <w:sz w:val="18"/>
      <w:szCs w:val="18"/>
      <w:u w:val="none"/>
    </w:rPr>
  </w:style>
  <w:style w:type="character" w:customStyle="1" w:styleId="14">
    <w:name w:val="font11"/>
    <w:basedOn w:val="10"/>
    <w:qFormat/>
    <w:uiPriority w:val="0"/>
    <w:rPr>
      <w:rFonts w:hint="eastAsia" w:ascii="宋体" w:hAnsi="宋体" w:eastAsia="宋体" w:cs="宋体"/>
      <w:b/>
      <w:bCs/>
      <w:color w:val="000000"/>
      <w:sz w:val="18"/>
      <w:szCs w:val="18"/>
      <w:u w:val="none"/>
    </w:rPr>
  </w:style>
  <w:style w:type="character" w:customStyle="1" w:styleId="15">
    <w:name w:val="font41"/>
    <w:basedOn w:val="10"/>
    <w:qFormat/>
    <w:uiPriority w:val="0"/>
    <w:rPr>
      <w:rFonts w:hint="eastAsia" w:ascii="宋体" w:hAnsi="宋体" w:eastAsia="宋体" w:cs="宋体"/>
      <w:color w:val="000000"/>
      <w:sz w:val="16"/>
      <w:szCs w:val="16"/>
      <w:u w:val="none"/>
    </w:rPr>
  </w:style>
  <w:style w:type="character" w:customStyle="1" w:styleId="16">
    <w:name w:val="font71"/>
    <w:basedOn w:val="10"/>
    <w:qFormat/>
    <w:uiPriority w:val="0"/>
    <w:rPr>
      <w:rFonts w:hint="default" w:ascii="Times New Roman" w:hAnsi="Times New Roman" w:cs="Times New Roman"/>
      <w:color w:val="000000"/>
      <w:sz w:val="16"/>
      <w:szCs w:val="16"/>
      <w:u w:val="none"/>
    </w:rPr>
  </w:style>
  <w:style w:type="character" w:customStyle="1" w:styleId="17">
    <w:name w:val="font31"/>
    <w:basedOn w:val="10"/>
    <w:qFormat/>
    <w:uiPriority w:val="0"/>
    <w:rPr>
      <w:rFonts w:hint="default" w:ascii="Times New Roman" w:hAnsi="Times New Roman" w:cs="Times New Roman"/>
      <w:b/>
      <w:bCs/>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samsun</Company>
  <Pages>1</Pages>
  <Words>395</Words>
  <Characters>725</Characters>
  <Lines>2</Lines>
  <Paragraphs>1</Paragraphs>
  <TotalTime>1</TotalTime>
  <ScaleCrop>false</ScaleCrop>
  <LinksUpToDate>false</LinksUpToDate>
  <CharactersWithSpaces>900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2007-07-13T05:57:00Z</dcterms:created>
  <dc:creator>zx</dc:creator>
  <cp:lastModifiedBy>赵伟</cp:lastModifiedBy>
  <cp:lastPrinted>2020-01-07T07:31:00Z</cp:lastPrinted>
  <dcterms:modified xsi:type="dcterms:W3CDTF">2024-11-19T06:46:07Z</dcterms:modified>
  <dc:title>二次报价及承诺表</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E8CCE4EB13DF40AA903210ECF4B04046_13</vt:lpwstr>
  </property>
</Properties>
</file>