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402C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685EDCE"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</w:t>
      </w:r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50102</w:t>
      </w:r>
    </w:p>
    <w:p w14:paraId="5DC3EE02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/>
          <w:color w:val="000000"/>
          <w:sz w:val="24"/>
        </w:rPr>
        <w:t>有限公司</w:t>
      </w:r>
    </w:p>
    <w:p w14:paraId="406C787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534187F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黄骅市盈辉汽车配件有限公司</w:t>
      </w:r>
    </w:p>
    <w:p w14:paraId="5962C3D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</w:p>
    <w:p w14:paraId="05B59231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003DB9D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5"/>
        <w:tblW w:w="9596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07"/>
        <w:gridCol w:w="1493"/>
        <w:gridCol w:w="915"/>
        <w:gridCol w:w="1670"/>
        <w:gridCol w:w="1718"/>
        <w:gridCol w:w="1011"/>
      </w:tblGrid>
      <w:tr w14:paraId="2B50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9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08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B7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9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D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税单价（元）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B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7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13E6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3E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30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K1扶手-手黑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C9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SLT0000378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6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件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5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1.6500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FE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1.8645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D0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6B2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A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9D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K1扶手-米黄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CA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SBS0010171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11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件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8E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1.6500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D8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1.8645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2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1A1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F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D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K1扶手-火山黑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E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SBS0010422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9D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件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B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1.6500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29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1.8645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5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332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2F9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说明：上述价格主要以消耗库存，如后续批量供货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还需签订年度商务价格协议</w:t>
            </w:r>
          </w:p>
        </w:tc>
      </w:tr>
    </w:tbl>
    <w:p w14:paraId="7C43462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7A2B136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2A87A6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color w:val="000000"/>
          <w:kern w:val="0"/>
          <w:sz w:val="22"/>
          <w:szCs w:val="22"/>
          <w:u w:val="single"/>
          <w:lang w:val="en-US" w:eastAsia="zh-CN" w:bidi="ar-SA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02C429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30B526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产品符合行业标准或者国家标准，并符合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 xml:space="preserve">方要求同时满足合同目的。 </w:t>
      </w:r>
    </w:p>
    <w:p w14:paraId="5BC2D57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</w:t>
      </w:r>
    </w:p>
    <w:p w14:paraId="011AFB3C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按照合同金额支付乙方货款，</w:t>
      </w:r>
      <w:r>
        <w:rPr>
          <w:rFonts w:hint="eastAsia" w:ascii="仿宋" w:hAnsi="仿宋" w:eastAsia="仿宋" w:cs="宋体"/>
          <w:bCs/>
          <w:kern w:val="0"/>
          <w:sz w:val="24"/>
        </w:rPr>
        <w:t>乙方向甲方提供全额合格发票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 w14:paraId="76E44886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90天）以电汇或商业汇票支付给乙方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152A082C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</w:p>
    <w:p w14:paraId="6B34562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BA760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8B4B6C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2FEF18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方收货后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01263E6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5C7E125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65DAC0C8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F6FD79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4AA34A5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13FED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C4657B1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03A61A7C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32C24B90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74398DB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乙方:</w:t>
      </w:r>
      <w:r>
        <w:rPr>
          <w:rFonts w:hint="eastAsia" w:ascii="仿宋" w:hAnsi="仿宋" w:eastAsia="仿宋"/>
          <w:sz w:val="24"/>
        </w:rPr>
        <w:t xml:space="preserve"> 黄骅市盈辉汽车配件有限公司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</w:t>
      </w:r>
    </w:p>
    <w:p w14:paraId="28C228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E4CFEC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0C5F8B1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 w14:paraId="7F7D784E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潍坊</w:t>
      </w:r>
    </w:p>
    <w:p w14:paraId="2AFE7C0C"/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5977415">
            <w:pPr>
              <w:pStyle w:val="3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DEE635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B1C29">
    <w:pPr>
      <w:pStyle w:val="4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0" t="0" r="0" b="9525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ACCA8B2">
    <w:pPr>
      <w:pStyle w:val="4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17DC05F4"/>
    <w:rsid w:val="38364D2C"/>
    <w:rsid w:val="6B2A625B"/>
    <w:rsid w:val="749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1057</Characters>
  <Lines>0</Lines>
  <Paragraphs>0</Paragraphs>
  <TotalTime>6</TotalTime>
  <ScaleCrop>false</ScaleCrop>
  <LinksUpToDate>false</LinksUpToDate>
  <CharactersWithSpaces>1296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2024-05-13T06:33:00Z</dcterms:created>
  <dc:creator>Administrator.USER-20190320QQ</dc:creator>
  <cp:lastModifiedBy>李林峰</cp:lastModifiedBy>
  <dcterms:modified xsi:type="dcterms:W3CDTF">2025-01-18T07:43:30Z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FF33DECDA0AF4D948D5B6BE919C7D858_12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