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E47E3"/>
    <w:p w14:paraId="04D91264"/>
    <w:p w14:paraId="7407DE8E"/>
    <w:p w14:paraId="607F25DE"/>
    <w:p w14:paraId="63AA9A04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5B3518FD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37E40AC7"/>
    <w:p w14:paraId="1A77705C"/>
    <w:p w14:paraId="241EB4D4"/>
    <w:p w14:paraId="4AC985BF"/>
    <w:p w14:paraId="5A143577"/>
    <w:p w14:paraId="35BDADB7"/>
    <w:p w14:paraId="6D2DCC1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自适应气阀耐久试验</w:t>
      </w:r>
    </w:p>
    <w:p w14:paraId="50E5D90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1E381D68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5B1C9B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6B2AD6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2F96BC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4649A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4-06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25B75D15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2024年6月13日</w:t>
                </w:r>
              </w:p>
            </w:sdtContent>
          </w:sdt>
        </w:tc>
      </w:tr>
      <w:tr w14:paraId="5B2FE7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5A95B8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9D958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70B707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6D5AD17A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 w14:paraId="5D906B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9CE003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F30BA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E7A09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6D787ECE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 w14:paraId="28E06CB5"/>
    <w:p w14:paraId="69A77858"/>
    <w:p w14:paraId="07777D23"/>
    <w:p w14:paraId="51D52AB3"/>
    <w:p w14:paraId="7014FF7D"/>
    <w:p w14:paraId="366E8CDB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06515984">
      <w:pPr>
        <w:rPr>
          <w:b/>
        </w:rPr>
      </w:pPr>
    </w:p>
    <w:p w14:paraId="3691397F">
      <w:pPr>
        <w:widowControl/>
        <w:jc w:val="left"/>
        <w:rPr>
          <w:b/>
        </w:rPr>
      </w:pPr>
      <w:r>
        <w:rPr>
          <w:b/>
        </w:rPr>
        <w:br w:type="page"/>
      </w:r>
    </w:p>
    <w:p w14:paraId="7AF0C6CE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3379B349">
      <w:pPr>
        <w:spacing w:line="360" w:lineRule="auto"/>
        <w:ind w:firstLine="1280" w:firstLineChars="400"/>
        <w:rPr>
          <w:sz w:val="32"/>
        </w:rPr>
      </w:pPr>
    </w:p>
    <w:p w14:paraId="3A00F68D">
      <w:pPr>
        <w:spacing w:line="360" w:lineRule="auto"/>
        <w:ind w:firstLine="1280" w:firstLineChars="400"/>
        <w:rPr>
          <w:sz w:val="32"/>
        </w:rPr>
      </w:pPr>
    </w:p>
    <w:p w14:paraId="29D977B1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7D199952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026AA53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1E6C249B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62DBEFD3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1109F93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28B4C1C7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094D091B">
      <w:pPr>
        <w:spacing w:line="360" w:lineRule="auto"/>
        <w:rPr>
          <w:sz w:val="32"/>
        </w:rPr>
      </w:pPr>
    </w:p>
    <w:p w14:paraId="693B7BF8">
      <w:pPr>
        <w:spacing w:line="360" w:lineRule="auto"/>
        <w:rPr>
          <w:sz w:val="32"/>
        </w:rPr>
      </w:pPr>
    </w:p>
    <w:p w14:paraId="25322F5C">
      <w:pPr>
        <w:spacing w:line="360" w:lineRule="auto"/>
        <w:rPr>
          <w:sz w:val="32"/>
        </w:rPr>
      </w:pPr>
    </w:p>
    <w:p w14:paraId="7523186C">
      <w:pPr>
        <w:spacing w:line="360" w:lineRule="auto"/>
        <w:rPr>
          <w:sz w:val="32"/>
        </w:rPr>
      </w:pPr>
    </w:p>
    <w:p w14:paraId="58A02908">
      <w:pPr>
        <w:spacing w:line="360" w:lineRule="auto"/>
        <w:rPr>
          <w:sz w:val="32"/>
        </w:rPr>
      </w:pPr>
    </w:p>
    <w:p w14:paraId="03A61B31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5216A3FF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19CD1A5D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06D774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2335E28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63643EF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cstheme="minorBidi"/>
                <w:kern w:val="0"/>
                <w:sz w:val="21"/>
                <w:szCs w:val="20"/>
                <w:lang w:val="en-US" w:eastAsia="zh-CN" w:bidi="ar-SA"/>
              </w:rPr>
              <w:t>VDC（自适应）气阀总成</w:t>
            </w:r>
          </w:p>
        </w:tc>
        <w:tc>
          <w:tcPr>
            <w:tcW w:w="2056" w:type="dxa"/>
            <w:vAlign w:val="center"/>
          </w:tcPr>
          <w:p w14:paraId="2944156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643693C3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  <w:tr w14:paraId="2915C7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0977377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7B758CE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cstheme="minorBidi"/>
                <w:kern w:val="0"/>
                <w:sz w:val="21"/>
                <w:szCs w:val="20"/>
                <w:lang w:val="en-US" w:eastAsia="zh-CN" w:bidi="ar-SA"/>
              </w:rPr>
              <w:t>BPC0010238</w:t>
            </w:r>
          </w:p>
        </w:tc>
        <w:tc>
          <w:tcPr>
            <w:tcW w:w="2056" w:type="dxa"/>
            <w:vAlign w:val="center"/>
          </w:tcPr>
          <w:p w14:paraId="7810683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5DD389E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 w14:paraId="438D9A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53AD3C2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3743AA3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智能气控产品开发部</w:t>
            </w:r>
          </w:p>
        </w:tc>
        <w:tc>
          <w:tcPr>
            <w:tcW w:w="2056" w:type="dxa"/>
            <w:vAlign w:val="center"/>
          </w:tcPr>
          <w:p w14:paraId="58602E5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55FF5C4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68832F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2C84EB6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346C10B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张加</w:t>
            </w:r>
          </w:p>
          <w:p w14:paraId="3585FC9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</w:t>
            </w:r>
            <w:r>
              <w:rPr>
                <w:rFonts w:ascii="宋体" w:hAnsi="宋体" w:eastAsia="宋体"/>
              </w:rPr>
              <w:t>：</w:t>
            </w:r>
            <w:r>
              <w:rPr>
                <w:rFonts w:hint="eastAsia" w:ascii="宋体" w:hAnsi="宋体" w:eastAsia="宋体"/>
              </w:rPr>
              <w:t>18510182075</w:t>
            </w:r>
          </w:p>
        </w:tc>
        <w:tc>
          <w:tcPr>
            <w:tcW w:w="2056" w:type="dxa"/>
            <w:vAlign w:val="center"/>
          </w:tcPr>
          <w:p w14:paraId="0EF10EF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6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3A13BE0B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11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4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 w14:paraId="67A095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6473D42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634ABD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1574E1F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6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54EE25F0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12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18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 w14:paraId="2FF1F0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0A96685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789E8D4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cstheme="minorBidi"/>
                <w:kern w:val="0"/>
                <w:sz w:val="21"/>
                <w:szCs w:val="20"/>
                <w:lang w:val="en-US" w:eastAsia="zh-CN" w:bidi="ar-SA"/>
              </w:rPr>
              <w:t>自适应气阀耐久试验</w:t>
            </w:r>
          </w:p>
        </w:tc>
      </w:tr>
      <w:tr w14:paraId="4CE55C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4C8EA21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348000A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详见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编号</w:t>
            </w:r>
            <w:r>
              <w:rPr>
                <w:rFonts w:hint="eastAsia" w:ascii="宋体" w:hAnsi="宋体" w:eastAsia="宋体"/>
              </w:rPr>
              <w:t>GR</w:t>
            </w:r>
            <w:r>
              <w:rPr>
                <w:rFonts w:ascii="宋体" w:hAnsi="宋体" w:eastAsia="宋体"/>
              </w:rPr>
              <w:t>2024</w:t>
            </w:r>
            <w:r>
              <w:rPr>
                <w:rFonts w:hint="eastAsia" w:ascii="宋体" w:hAnsi="宋体" w:eastAsia="宋体"/>
                <w:lang w:val="en-US" w:eastAsia="zh-CN"/>
              </w:rPr>
              <w:t>1104</w:t>
            </w:r>
            <w:r>
              <w:rPr>
                <w:rFonts w:hint="eastAsia" w:ascii="宋体" w:hAnsi="宋体" w:eastAsia="宋体"/>
              </w:rPr>
              <w:t>SQS</w:t>
            </w:r>
            <w:r>
              <w:rPr>
                <w:rFonts w:hint="eastAsia" w:ascii="宋体" w:hAnsi="宋体" w:eastAsia="宋体"/>
                <w:lang w:val="en-US" w:eastAsia="zh-CN"/>
              </w:rPr>
              <w:t>157</w:t>
            </w:r>
            <w:r>
              <w:rPr>
                <w:rFonts w:hint="eastAsia" w:ascii="宋体" w:hAnsi="宋体"/>
                <w:kern w:val="0"/>
                <w:szCs w:val="20"/>
              </w:rPr>
              <w:t>申请单</w:t>
            </w:r>
          </w:p>
        </w:tc>
      </w:tr>
      <w:tr w14:paraId="4F7F79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0EAF9A2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1057EB5A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sdtContent>
            </w:sdt>
          </w:p>
        </w:tc>
      </w:tr>
      <w:tr w14:paraId="71A45D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32C834C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456CBD8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ascii="宋体" w:hAnsi="宋体" w:eastAsia="宋体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ascii="宋体" w:hAnsi="宋体" w:eastAsia="宋体"/>
              </w:rPr>
              <w:t>智能气控产品开发部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cstheme="minorBidi"/>
                <w:kern w:val="0"/>
                <w:sz w:val="21"/>
                <w:szCs w:val="20"/>
                <w:lang w:val="en-US" w:eastAsia="zh-CN" w:bidi="ar-SA"/>
              </w:rPr>
              <w:t>VDC（自适应）气阀总成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eastAsia="zh-CN"/>
              </w:rPr>
              <w:t>编号</w:t>
            </w:r>
            <w:r>
              <w:rPr>
                <w:rFonts w:hint="eastAsia" w:ascii="宋体" w:hAnsi="宋体" w:eastAsia="宋体"/>
              </w:rPr>
              <w:t>GR</w:t>
            </w:r>
            <w:r>
              <w:rPr>
                <w:rFonts w:ascii="宋体" w:hAnsi="宋体" w:eastAsia="宋体"/>
              </w:rPr>
              <w:t>2024</w:t>
            </w:r>
            <w:r>
              <w:rPr>
                <w:rFonts w:hint="eastAsia" w:ascii="宋体" w:hAnsi="宋体" w:eastAsia="宋体"/>
                <w:lang w:val="en-US" w:eastAsia="zh-CN"/>
              </w:rPr>
              <w:t>1104</w:t>
            </w:r>
            <w:r>
              <w:rPr>
                <w:rFonts w:hint="eastAsia" w:ascii="宋体" w:hAnsi="宋体" w:eastAsia="宋体"/>
              </w:rPr>
              <w:t>SQS</w:t>
            </w:r>
            <w:r>
              <w:rPr>
                <w:rFonts w:hint="eastAsia" w:ascii="宋体" w:hAnsi="宋体" w:eastAsia="宋体"/>
                <w:lang w:val="en-US" w:eastAsia="zh-CN"/>
              </w:rPr>
              <w:t>157</w:t>
            </w:r>
            <w:r>
              <w:rPr>
                <w:rFonts w:hint="eastAsia" w:ascii="宋体" w:hAnsi="宋体"/>
                <w:kern w:val="0"/>
                <w:szCs w:val="20"/>
              </w:rPr>
              <w:t>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cstheme="minorBidi"/>
                <w:kern w:val="0"/>
                <w:sz w:val="21"/>
                <w:szCs w:val="20"/>
                <w:lang w:val="en-US" w:eastAsia="zh-CN" w:bidi="ar-SA"/>
              </w:rPr>
              <w:t>自适应气阀耐久试验</w:t>
            </w:r>
            <w:r>
              <w:rPr>
                <w:rFonts w:hint="eastAsia" w:ascii="宋体" w:hAnsi="宋体" w:eastAsia="宋体"/>
              </w:rPr>
              <w:t>，经检测符合标准要求。</w:t>
            </w:r>
          </w:p>
        </w:tc>
      </w:tr>
      <w:tr w14:paraId="0DEF48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175FD1F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32AE6AF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3D6F5EC7">
      <w:pPr>
        <w:rPr>
          <w:b/>
        </w:rPr>
      </w:pPr>
    </w:p>
    <w:p w14:paraId="23A2CA1E">
      <w:pPr>
        <w:widowControl/>
        <w:jc w:val="left"/>
        <w:rPr>
          <w:b/>
        </w:rPr>
      </w:pPr>
      <w:r>
        <w:rPr>
          <w:b/>
        </w:rPr>
        <w:br w:type="page"/>
      </w:r>
    </w:p>
    <w:p w14:paraId="318156CD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425FC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916854F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01324B10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6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18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6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19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 w14:paraId="0D7459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3EF80BA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124A72F7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2CA55B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BF296D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6F8CE527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7C53DC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F437C2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59FCD6B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10.5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7BD0FFDB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48B7C4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ACD3D9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0F1A33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6598C8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3724856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3DFE6C3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6ED7D4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54789BA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1EC71E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5816C3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4B7BF0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气阀耐久试验台</w:t>
            </w:r>
          </w:p>
        </w:tc>
        <w:tc>
          <w:tcPr>
            <w:tcW w:w="1418" w:type="dxa"/>
            <w:vAlign w:val="center"/>
          </w:tcPr>
          <w:p w14:paraId="609BE53F">
            <w:pPr>
              <w:ind w:right="-102"/>
              <w:jc w:val="center"/>
              <w:rPr>
                <w:rFonts w:hint="default" w:ascii="宋体" w:hAnsi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R-087</w:t>
            </w:r>
          </w:p>
        </w:tc>
        <w:tc>
          <w:tcPr>
            <w:tcW w:w="1417" w:type="dxa"/>
            <w:vAlign w:val="center"/>
          </w:tcPr>
          <w:p w14:paraId="32DD43FB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  <w:tc>
          <w:tcPr>
            <w:tcW w:w="2192" w:type="dxa"/>
            <w:vAlign w:val="center"/>
          </w:tcPr>
          <w:p w14:paraId="64F2D0CB"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北京鹏宇兴业精密模具制造有限公司</w:t>
            </w:r>
          </w:p>
        </w:tc>
        <w:tc>
          <w:tcPr>
            <w:tcW w:w="1068" w:type="dxa"/>
            <w:vAlign w:val="center"/>
          </w:tcPr>
          <w:p w14:paraId="28DEE1CA">
            <w:pPr>
              <w:widowControl/>
              <w:jc w:val="center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 w14:paraId="17E9E16D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2025年7月4日</w:t>
            </w:r>
          </w:p>
        </w:tc>
      </w:tr>
      <w:tr w14:paraId="5803D5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7C63E01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 w14:paraId="16164C8D">
            <w:pPr>
              <w:ind w:right="-102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精密压力表</w:t>
            </w:r>
          </w:p>
        </w:tc>
        <w:tc>
          <w:tcPr>
            <w:tcW w:w="1418" w:type="dxa"/>
            <w:vAlign w:val="center"/>
          </w:tcPr>
          <w:p w14:paraId="212BF41C">
            <w:pPr>
              <w:ind w:right="-102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N-168</w:t>
            </w:r>
          </w:p>
        </w:tc>
        <w:tc>
          <w:tcPr>
            <w:tcW w:w="1417" w:type="dxa"/>
            <w:vAlign w:val="center"/>
          </w:tcPr>
          <w:p w14:paraId="73C69331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  <w:tc>
          <w:tcPr>
            <w:tcW w:w="2192" w:type="dxa"/>
            <w:vAlign w:val="center"/>
          </w:tcPr>
          <w:p w14:paraId="7CF1BB76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上海亿川仪表厂</w:t>
            </w:r>
          </w:p>
        </w:tc>
        <w:tc>
          <w:tcPr>
            <w:tcW w:w="1068" w:type="dxa"/>
            <w:vAlign w:val="center"/>
          </w:tcPr>
          <w:p w14:paraId="4894E796">
            <w:pPr>
              <w:widowControl/>
              <w:jc w:val="center"/>
              <w:rPr>
                <w:rFonts w:hint="default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 w14:paraId="6ED19A48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2025年5月27日</w:t>
            </w:r>
          </w:p>
        </w:tc>
      </w:tr>
    </w:tbl>
    <w:p w14:paraId="7188ACCD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589BF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9726E9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0ECBA8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58B1AA18">
            <w:pPr>
              <w:pStyle w:val="14"/>
              <w:numPr>
                <w:ilvl w:val="0"/>
                <w:numId w:val="0"/>
              </w:numPr>
              <w:ind w:left="0" w:leftChars="0" w:firstLine="0" w:firstLineChars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eastAsia"/>
                <w:szCs w:val="21"/>
                <w:lang w:val="en-US" w:eastAsia="zh-CN"/>
              </w:rPr>
              <w:t>用水检法检测5个样件的气密性，记录VDC阀气囊端、排气端、补偿气缸顶部、补偿气缸盖、阀体端盖五处漏气状态；</w:t>
            </w:r>
          </w:p>
          <w:p w14:paraId="312856A4">
            <w:pPr>
              <w:pStyle w:val="14"/>
              <w:numPr>
                <w:ilvl w:val="0"/>
                <w:numId w:val="0"/>
              </w:numPr>
              <w:ind w:left="0" w:leftChars="0" w:firstLine="0" w:firstLineChars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2.</w:t>
            </w:r>
            <w:r>
              <w:rPr>
                <w:rFonts w:hint="eastAsia"/>
                <w:szCs w:val="21"/>
                <w:lang w:val="en-US" w:eastAsia="zh-CN"/>
              </w:rPr>
              <w:t>用气密检漏仪再次检测5个样件的气密性，保压时间15s中，记录VDC阀气囊端、排气端的漏气量；</w:t>
            </w:r>
          </w:p>
          <w:p w14:paraId="230237C0">
            <w:pPr>
              <w:pStyle w:val="14"/>
              <w:numPr>
                <w:ilvl w:val="0"/>
                <w:numId w:val="0"/>
              </w:numPr>
              <w:ind w:left="0" w:leftChars="0" w:firstLine="0" w:firstLineChars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/>
                <w:szCs w:val="21"/>
                <w:lang w:val="en-US" w:eastAsia="zh-CN"/>
              </w:rPr>
              <w:t>将VDC阀和手柄拉线布置在气阀耐久试验台上；</w:t>
            </w:r>
          </w:p>
          <w:p w14:paraId="35D1BCC2">
            <w:pPr>
              <w:pStyle w:val="14"/>
              <w:numPr>
                <w:ilvl w:val="0"/>
                <w:numId w:val="0"/>
              </w:numPr>
              <w:ind w:left="0" w:leftChars="0" w:firstLine="0" w:firstLineChars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4.</w:t>
            </w:r>
            <w:r>
              <w:rPr>
                <w:rFonts w:hint="eastAsia"/>
                <w:szCs w:val="21"/>
                <w:lang w:val="en-US" w:eastAsia="zh-CN"/>
              </w:rPr>
              <w:t>设置试验条件；气压1.0MPa，频率3Hz，振幅±2.5mm；</w:t>
            </w:r>
          </w:p>
          <w:p w14:paraId="556C6634">
            <w:pPr>
              <w:pStyle w:val="14"/>
              <w:numPr>
                <w:ilvl w:val="0"/>
                <w:numId w:val="0"/>
              </w:numPr>
              <w:ind w:left="0" w:leftChars="0" w:firstLine="0" w:firstLineChars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5.</w:t>
            </w:r>
            <w:r>
              <w:rPr>
                <w:rFonts w:hint="eastAsia"/>
                <w:szCs w:val="21"/>
                <w:lang w:val="en-US" w:eastAsia="zh-CN"/>
              </w:rPr>
              <w:t>开启试验台，5个样件的排气口试验时有明显的排气现象；</w:t>
            </w:r>
          </w:p>
          <w:p w14:paraId="04283FFF">
            <w:pPr>
              <w:pStyle w:val="14"/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6</w:t>
            </w:r>
            <w:r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试验昼夜连续进行，每完成100万次后用水检方法检测VDC法气囊端和排气端的漏气状态并进行记录；</w:t>
            </w:r>
          </w:p>
          <w:p w14:paraId="341E73B5">
            <w:pPr>
              <w:pStyle w:val="14"/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7</w:t>
            </w: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试验进行500万次后结束，关闭气源将样件拆下静置2h后，通入0.7MPa气源压力，观察气阀阀芯是否可以正常回位；</w:t>
            </w:r>
          </w:p>
          <w:p w14:paraId="13A98366">
            <w:pPr>
              <w:ind w:right="-102"/>
              <w:jc w:val="left"/>
              <w:rPr>
                <w:rFonts w:ascii="宋体" w:hAnsi="宋体"/>
              </w:rPr>
            </w:pPr>
            <w:r>
              <w:rPr>
                <w:rFonts w:hint="eastAsia"/>
                <w:szCs w:val="21"/>
                <w:lang w:val="en-US" w:eastAsia="zh-CN"/>
              </w:rPr>
              <w:t>试验结束后，用水检法检测5个样件的气密性，记录VDC阀气囊端、排气端、补偿气缸顶部、补偿气缸盖、阀体端盖五处漏气状态；再用气密检漏仪检测样件的具体泄漏量，保压15s，记录VDC阀气囊端、排气端的漏气量。</w:t>
            </w:r>
          </w:p>
        </w:tc>
      </w:tr>
      <w:tr w14:paraId="174FD5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334B6A9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30FE62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vAlign w:val="center"/>
          </w:tcPr>
          <w:p w14:paraId="4E8D2BE3">
            <w:pPr>
              <w:pStyle w:val="14"/>
              <w:numPr>
                <w:ilvl w:val="0"/>
                <w:numId w:val="3"/>
              </w:numPr>
              <w:ind w:leftChars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试验后测试气阀回位气压＜0.8MPa；</w:t>
            </w:r>
          </w:p>
          <w:p w14:paraId="66A05EBB">
            <w:pPr>
              <w:ind w:right="-102"/>
              <w:jc w:val="left"/>
              <w:rPr>
                <w:rFonts w:ascii="宋体"/>
              </w:rPr>
            </w:pPr>
            <w:r>
              <w:rPr>
                <w:rFonts w:hint="eastAsia"/>
                <w:szCs w:val="21"/>
                <w:lang w:val="en-US" w:eastAsia="zh-CN"/>
              </w:rPr>
              <w:t>2）试验后泄漏量≤10kpa，或使用水检不允许连续气泡，同时在安静环境下，距离人耳0.5米处不能听到有漏气声音。</w:t>
            </w:r>
          </w:p>
        </w:tc>
      </w:tr>
    </w:tbl>
    <w:p w14:paraId="0EFDC7F2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2881C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765C4F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3965E9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ACFFC25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4C86B84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1392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979160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5D8957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249" w:tblpY="118"/>
              <w:tblOverlap w:val="never"/>
              <w:tblW w:w="1021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76"/>
              <w:gridCol w:w="1800"/>
              <w:gridCol w:w="1163"/>
              <w:gridCol w:w="1412"/>
              <w:gridCol w:w="1488"/>
              <w:gridCol w:w="3175"/>
            </w:tblGrid>
            <w:tr w14:paraId="29CCAE9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8" w:hRule="atLeast"/>
              </w:trPr>
              <w:tc>
                <w:tcPr>
                  <w:tcW w:w="1176" w:type="dxa"/>
                  <w:vAlign w:val="center"/>
                </w:tcPr>
                <w:p w14:paraId="4B6754F8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样品名称</w:t>
                  </w:r>
                </w:p>
              </w:tc>
              <w:tc>
                <w:tcPr>
                  <w:tcW w:w="1800" w:type="dxa"/>
                  <w:vAlign w:val="center"/>
                </w:tcPr>
                <w:p w14:paraId="1612BACD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样品编号</w:t>
                  </w:r>
                </w:p>
              </w:tc>
              <w:tc>
                <w:tcPr>
                  <w:tcW w:w="1163" w:type="dxa"/>
                  <w:vAlign w:val="center"/>
                </w:tcPr>
                <w:p w14:paraId="29692AF4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回位气压MPa</w:t>
                  </w:r>
                </w:p>
              </w:tc>
              <w:tc>
                <w:tcPr>
                  <w:tcW w:w="1412" w:type="dxa"/>
                  <w:vAlign w:val="center"/>
                </w:tcPr>
                <w:p w14:paraId="082C2A14">
                  <w:pPr>
                    <w:jc w:val="center"/>
                    <w:rPr>
                      <w:rFonts w:hint="eastAsia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水检是否有连续气泡</w:t>
                  </w:r>
                </w:p>
              </w:tc>
              <w:tc>
                <w:tcPr>
                  <w:tcW w:w="1488" w:type="dxa"/>
                  <w:vAlign w:val="center"/>
                </w:tcPr>
                <w:p w14:paraId="3D251293">
                  <w:pPr>
                    <w:jc w:val="center"/>
                    <w:rPr>
                      <w:rFonts w:hint="default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0.5m处能否听到漏气声音</w:t>
                  </w:r>
                </w:p>
              </w:tc>
              <w:tc>
                <w:tcPr>
                  <w:tcW w:w="3175" w:type="dxa"/>
                  <w:vAlign w:val="center"/>
                </w:tcPr>
                <w:p w14:paraId="40E35A0A">
                  <w:pPr>
                    <w:jc w:val="center"/>
                    <w:rPr>
                      <w:rFonts w:hint="eastAsia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备注</w:t>
                  </w:r>
                </w:p>
              </w:tc>
            </w:tr>
            <w:tr w14:paraId="626A84F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76" w:type="dxa"/>
                  <w:vMerge w:val="restart"/>
                  <w:vAlign w:val="center"/>
                </w:tcPr>
                <w:p w14:paraId="2FA67C31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 w:cstheme="minorBidi"/>
                      <w:kern w:val="0"/>
                      <w:sz w:val="21"/>
                      <w:szCs w:val="20"/>
                      <w:lang w:val="en-US" w:eastAsia="zh-CN" w:bidi="ar-SA"/>
                    </w:rPr>
                    <w:t>VDC（自适应）气阀总成</w:t>
                  </w:r>
                </w:p>
              </w:tc>
              <w:tc>
                <w:tcPr>
                  <w:tcW w:w="1800" w:type="dxa"/>
                  <w:vAlign w:val="center"/>
                </w:tcPr>
                <w:p w14:paraId="41754623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</w:rPr>
                    <w:t xml:space="preserve"> </w:t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157-010-202411</w:t>
                  </w:r>
                </w:p>
              </w:tc>
              <w:tc>
                <w:tcPr>
                  <w:tcW w:w="1163" w:type="dxa"/>
                  <w:vAlign w:val="center"/>
                </w:tcPr>
                <w:p w14:paraId="6F036787">
                  <w:pPr>
                    <w:jc w:val="center"/>
                    <w:rPr>
                      <w:rFonts w:hint="default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0.230</w:t>
                  </w:r>
                </w:p>
              </w:tc>
              <w:tc>
                <w:tcPr>
                  <w:tcW w:w="1412" w:type="dxa"/>
                  <w:vAlign w:val="center"/>
                </w:tcPr>
                <w:p w14:paraId="7514A2B9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1488" w:type="dxa"/>
                  <w:vAlign w:val="center"/>
                </w:tcPr>
                <w:p w14:paraId="6A90EF16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否</w:t>
                  </w:r>
                </w:p>
              </w:tc>
              <w:tc>
                <w:tcPr>
                  <w:tcW w:w="3175" w:type="dxa"/>
                  <w:vAlign w:val="center"/>
                </w:tcPr>
                <w:p w14:paraId="0B3D6E67">
                  <w:pPr>
                    <w:jc w:val="center"/>
                    <w:rPr>
                      <w:rFonts w:hint="default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4255351次时，间隔2s 1个气泡</w:t>
                  </w:r>
                </w:p>
              </w:tc>
            </w:tr>
            <w:tr w14:paraId="21D30C2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6" w:hRule="atLeast"/>
              </w:trPr>
              <w:tc>
                <w:tcPr>
                  <w:tcW w:w="1176" w:type="dxa"/>
                  <w:vMerge w:val="continue"/>
                  <w:vAlign w:val="center"/>
                </w:tcPr>
                <w:p w14:paraId="365EA723">
                  <w:pPr>
                    <w:jc w:val="center"/>
                  </w:pPr>
                </w:p>
              </w:tc>
              <w:tc>
                <w:tcPr>
                  <w:tcW w:w="1800" w:type="dxa"/>
                  <w:vAlign w:val="center"/>
                </w:tcPr>
                <w:p w14:paraId="343DB86A">
                  <w:pPr>
                    <w:jc w:val="center"/>
                    <w:rPr>
                      <w:rFonts w:hint="default" w:asciiTheme="minorEastAsia" w:hAnsiTheme="minorEastAsia"/>
                      <w:szCs w:val="21"/>
                      <w:lang w:val="en-US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157-011-202411</w:t>
                  </w:r>
                </w:p>
              </w:tc>
              <w:tc>
                <w:tcPr>
                  <w:tcW w:w="1163" w:type="dxa"/>
                  <w:vAlign w:val="center"/>
                </w:tcPr>
                <w:p w14:paraId="143E7E15">
                  <w:pPr>
                    <w:jc w:val="center"/>
                    <w:rPr>
                      <w:rFonts w:hint="default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0.2225</w:t>
                  </w:r>
                </w:p>
              </w:tc>
              <w:tc>
                <w:tcPr>
                  <w:tcW w:w="1412" w:type="dxa"/>
                  <w:vAlign w:val="center"/>
                </w:tcPr>
                <w:p w14:paraId="7B989735">
                  <w:pPr>
                    <w:jc w:val="center"/>
                    <w:rPr>
                      <w:rFonts w:hint="eastAsia" w:asciiTheme="minorEastAsia" w:hAnsiTheme="minorEastAsia" w:eastAsiaTheme="minorEastAsia"/>
                      <w:szCs w:val="21"/>
                      <w:lang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53F0238A">
                  <w:pPr>
                    <w:jc w:val="center"/>
                    <w:rPr>
                      <w:rFonts w:hint="eastAsia" w:asciiTheme="minorEastAsia" w:hAnsiTheme="minorEastAsia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3175" w:type="dxa"/>
                  <w:vAlign w:val="center"/>
                </w:tcPr>
                <w:p w14:paraId="114C2FB4">
                  <w:pPr>
                    <w:jc w:val="center"/>
                    <w:rPr>
                      <w:rFonts w:hint="default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200万次时（3-4）s 1个气泡</w:t>
                  </w:r>
                </w:p>
              </w:tc>
            </w:tr>
            <w:tr w14:paraId="3B3777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09" w:hRule="atLeast"/>
              </w:trPr>
              <w:tc>
                <w:tcPr>
                  <w:tcW w:w="1176" w:type="dxa"/>
                  <w:vMerge w:val="continue"/>
                  <w:vAlign w:val="center"/>
                </w:tcPr>
                <w:p w14:paraId="163372D7">
                  <w:pPr>
                    <w:jc w:val="center"/>
                  </w:pPr>
                </w:p>
              </w:tc>
              <w:tc>
                <w:tcPr>
                  <w:tcW w:w="1800" w:type="dxa"/>
                  <w:vAlign w:val="center"/>
                </w:tcPr>
                <w:p w14:paraId="15864B26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157-012-202411</w:t>
                  </w:r>
                </w:p>
              </w:tc>
              <w:tc>
                <w:tcPr>
                  <w:tcW w:w="1163" w:type="dxa"/>
                  <w:vAlign w:val="center"/>
                </w:tcPr>
                <w:p w14:paraId="157AE4D5">
                  <w:pPr>
                    <w:jc w:val="center"/>
                    <w:rPr>
                      <w:rFonts w:hint="default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0.175</w:t>
                  </w:r>
                </w:p>
              </w:tc>
              <w:tc>
                <w:tcPr>
                  <w:tcW w:w="1412" w:type="dxa"/>
                  <w:vAlign w:val="center"/>
                </w:tcPr>
                <w:p w14:paraId="5D5A01DD">
                  <w:pPr>
                    <w:jc w:val="center"/>
                    <w:rPr>
                      <w:rFonts w:hint="eastAsia" w:asciiTheme="minorEastAsia" w:hAnsiTheme="minorEastAsia" w:eastAsiaTheme="minorEastAsia"/>
                      <w:szCs w:val="21"/>
                      <w:lang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6E86ECC3">
                  <w:pPr>
                    <w:jc w:val="center"/>
                    <w:rPr>
                      <w:rFonts w:hint="eastAsia" w:asciiTheme="minorEastAsia" w:hAnsiTheme="minorEastAsia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3175" w:type="dxa"/>
                  <w:vAlign w:val="center"/>
                </w:tcPr>
                <w:p w14:paraId="478BCA23">
                  <w:pPr>
                    <w:jc w:val="center"/>
                    <w:rPr>
                      <w:rFonts w:hint="eastAsia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/</w:t>
                  </w:r>
                </w:p>
              </w:tc>
            </w:tr>
            <w:tr w14:paraId="700815F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0" w:hRule="atLeast"/>
              </w:trPr>
              <w:tc>
                <w:tcPr>
                  <w:tcW w:w="1176" w:type="dxa"/>
                  <w:vMerge w:val="continue"/>
                  <w:vAlign w:val="center"/>
                </w:tcPr>
                <w:p w14:paraId="09BBC406">
                  <w:pPr>
                    <w:jc w:val="center"/>
                  </w:pPr>
                </w:p>
              </w:tc>
              <w:tc>
                <w:tcPr>
                  <w:tcW w:w="1800" w:type="dxa"/>
                  <w:vAlign w:val="center"/>
                </w:tcPr>
                <w:p w14:paraId="7F3DB7AF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157-013-202411</w:t>
                  </w:r>
                </w:p>
              </w:tc>
              <w:tc>
                <w:tcPr>
                  <w:tcW w:w="1163" w:type="dxa"/>
                  <w:vAlign w:val="center"/>
                </w:tcPr>
                <w:p w14:paraId="52731207">
                  <w:pPr>
                    <w:jc w:val="center"/>
                    <w:rPr>
                      <w:rFonts w:hint="default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0.200</w:t>
                  </w:r>
                </w:p>
              </w:tc>
              <w:tc>
                <w:tcPr>
                  <w:tcW w:w="1412" w:type="dxa"/>
                  <w:vAlign w:val="center"/>
                </w:tcPr>
                <w:p w14:paraId="4CC57925">
                  <w:pPr>
                    <w:jc w:val="center"/>
                    <w:rPr>
                      <w:rFonts w:hint="eastAsia" w:asciiTheme="minorEastAsia" w:hAnsiTheme="minorEastAsia" w:eastAsiaTheme="minorEastAsia"/>
                      <w:szCs w:val="21"/>
                      <w:lang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13AE19D2">
                  <w:pPr>
                    <w:jc w:val="center"/>
                    <w:rPr>
                      <w:rFonts w:hint="eastAsia" w:asciiTheme="minorEastAsia" w:hAnsiTheme="minorEastAsia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3175" w:type="dxa"/>
                  <w:vAlign w:val="center"/>
                </w:tcPr>
                <w:p w14:paraId="465891C9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4255351次时间隔1s 1个气泡；</w:t>
                  </w:r>
                </w:p>
                <w:p w14:paraId="79D0EF96">
                  <w:pPr>
                    <w:jc w:val="center"/>
                    <w:rPr>
                      <w:rFonts w:hint="default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500万次时间隔4s1个气泡。</w:t>
                  </w:r>
                </w:p>
              </w:tc>
            </w:tr>
            <w:tr w14:paraId="69F0C7C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6" w:hRule="atLeast"/>
              </w:trPr>
              <w:tc>
                <w:tcPr>
                  <w:tcW w:w="1176" w:type="dxa"/>
                  <w:vMerge w:val="continue"/>
                  <w:vAlign w:val="center"/>
                </w:tcPr>
                <w:p w14:paraId="06C27479">
                  <w:pPr>
                    <w:jc w:val="center"/>
                  </w:pPr>
                </w:p>
              </w:tc>
              <w:tc>
                <w:tcPr>
                  <w:tcW w:w="1800" w:type="dxa"/>
                  <w:vAlign w:val="center"/>
                </w:tcPr>
                <w:p w14:paraId="17ACDEE0">
                  <w:pPr>
                    <w:jc w:val="center"/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157-014-202411</w:t>
                  </w:r>
                </w:p>
              </w:tc>
              <w:tc>
                <w:tcPr>
                  <w:tcW w:w="1163" w:type="dxa"/>
                  <w:vAlign w:val="center"/>
                </w:tcPr>
                <w:p w14:paraId="7365D287">
                  <w:pPr>
                    <w:jc w:val="center"/>
                    <w:rPr>
                      <w:rFonts w:hint="default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0.230</w:t>
                  </w:r>
                </w:p>
              </w:tc>
              <w:tc>
                <w:tcPr>
                  <w:tcW w:w="1412" w:type="dxa"/>
                  <w:vAlign w:val="center"/>
                </w:tcPr>
                <w:p w14:paraId="5ABBE371">
                  <w:pPr>
                    <w:jc w:val="center"/>
                    <w:rPr>
                      <w:rFonts w:hint="eastAsia" w:asciiTheme="minorEastAsia" w:hAnsiTheme="minorEastAsia" w:eastAsiaTheme="minorEastAsia"/>
                      <w:szCs w:val="21"/>
                      <w:lang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1488" w:type="dxa"/>
                  <w:vAlign w:val="center"/>
                </w:tcPr>
                <w:p w14:paraId="2ADA0AF8">
                  <w:pPr>
                    <w:jc w:val="center"/>
                    <w:rPr>
                      <w:rFonts w:hint="eastAsia" w:asciiTheme="minorEastAsia" w:hAnsiTheme="minorEastAsia"/>
                      <w:szCs w:val="21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eastAsia="zh-CN"/>
                    </w:rPr>
                    <w:t>否</w:t>
                  </w:r>
                </w:p>
              </w:tc>
              <w:tc>
                <w:tcPr>
                  <w:tcW w:w="3175" w:type="dxa"/>
                  <w:vAlign w:val="center"/>
                </w:tcPr>
                <w:p w14:paraId="73B68D9A">
                  <w:pPr>
                    <w:jc w:val="center"/>
                    <w:rPr>
                      <w:rFonts w:hint="eastAsia" w:asciiTheme="minorEastAsia" w:hAnsiTheme="minorEastAsia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/</w:t>
                  </w:r>
                </w:p>
              </w:tc>
            </w:tr>
          </w:tbl>
          <w:p w14:paraId="3F4B914E"/>
        </w:tc>
      </w:tr>
    </w:tbl>
    <w:p w14:paraId="26EC2C63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BE815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E50D935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9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3FA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C1AF90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556ED2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EBF18E3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736215" cy="2160270"/>
                  <wp:effectExtent l="0" t="0" r="6985" b="11430"/>
                  <wp:docPr id="5" name="图片 5" descr="D:/liyaping(new)/2024试验报告/张加/GR20241104SQS157-解放3.1自适应/GR20241104SQS157-0476-VDC(自适应）气阀总成-自适应气阀耐久试验/IMG_20241218_155659.jpgIMG_20241218_15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liyaping(new)/2024试验报告/张加/GR20241104SQS157-解放3.1自适应/GR20241104SQS157-0476-VDC(自适应）气阀总成-自适应气阀耐久试验/IMG_20241218_155659.jpgIMG_20241218_1556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B19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B8B5D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50933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6E170F1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 w:ascii="宋体" w:hAnsi="宋体"/>
              </w:rPr>
              <w:drawing>
                <wp:inline distT="0" distB="0" distL="114300" distR="114300">
                  <wp:extent cx="2159635" cy="2879725"/>
                  <wp:effectExtent l="0" t="0" r="15875" b="12065"/>
                  <wp:docPr id="3" name="图片 3" descr="IMG_20250217_143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17_1432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78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C86DB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682597F5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CEFFA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EA702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hint="eastAsia" w:ascii="宋体" w:hAnsi="宋体" w:eastAsia="宋体"/>
      </w:rPr>
      <w:t>GR</w:t>
    </w:r>
    <w:r>
      <w:rPr>
        <w:rFonts w:ascii="宋体" w:hAnsi="宋体" w:eastAsia="宋体"/>
      </w:rPr>
      <w:t>2024</w:t>
    </w:r>
    <w:r>
      <w:rPr>
        <w:rFonts w:hint="eastAsia" w:ascii="宋体" w:hAnsi="宋体" w:eastAsia="宋体"/>
        <w:lang w:val="en-US" w:eastAsia="zh-CN"/>
      </w:rPr>
      <w:t>1104</w:t>
    </w:r>
    <w:r>
      <w:rPr>
        <w:rFonts w:hint="eastAsia" w:ascii="宋体" w:hAnsi="宋体" w:eastAsia="宋体"/>
      </w:rPr>
      <w:t>SQS</w:t>
    </w:r>
    <w:r>
      <w:rPr>
        <w:rFonts w:hint="eastAsia" w:ascii="宋体" w:hAnsi="宋体" w:eastAsia="宋体"/>
        <w:lang w:val="en-US" w:eastAsia="zh-CN"/>
      </w:rPr>
      <w:t>157-0476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7D8809"/>
    <w:multiLevelType w:val="singleLevel"/>
    <w:tmpl w:val="CE7D8809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4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2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247"/>
    <w:rsid w:val="00016862"/>
    <w:rsid w:val="000213D2"/>
    <w:rsid w:val="0002324A"/>
    <w:rsid w:val="0003084B"/>
    <w:rsid w:val="00032C33"/>
    <w:rsid w:val="000364BC"/>
    <w:rsid w:val="000477C6"/>
    <w:rsid w:val="0006622A"/>
    <w:rsid w:val="0007092C"/>
    <w:rsid w:val="0008757B"/>
    <w:rsid w:val="000B264E"/>
    <w:rsid w:val="000D38FE"/>
    <w:rsid w:val="000E356B"/>
    <w:rsid w:val="00100B55"/>
    <w:rsid w:val="0011116C"/>
    <w:rsid w:val="00112635"/>
    <w:rsid w:val="00125DC5"/>
    <w:rsid w:val="00133D4E"/>
    <w:rsid w:val="00137587"/>
    <w:rsid w:val="00137EC8"/>
    <w:rsid w:val="00146492"/>
    <w:rsid w:val="0016717E"/>
    <w:rsid w:val="00176C86"/>
    <w:rsid w:val="0018418D"/>
    <w:rsid w:val="00186098"/>
    <w:rsid w:val="00187F96"/>
    <w:rsid w:val="001957DD"/>
    <w:rsid w:val="001A3A79"/>
    <w:rsid w:val="001B287B"/>
    <w:rsid w:val="001B3EBD"/>
    <w:rsid w:val="001C125C"/>
    <w:rsid w:val="001E2760"/>
    <w:rsid w:val="002045F4"/>
    <w:rsid w:val="0022608B"/>
    <w:rsid w:val="00232D9F"/>
    <w:rsid w:val="00242569"/>
    <w:rsid w:val="002439FF"/>
    <w:rsid w:val="00251BB1"/>
    <w:rsid w:val="002535B1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552FA"/>
    <w:rsid w:val="00364544"/>
    <w:rsid w:val="00366FB0"/>
    <w:rsid w:val="0038188C"/>
    <w:rsid w:val="003A471E"/>
    <w:rsid w:val="003B0398"/>
    <w:rsid w:val="003C6A6D"/>
    <w:rsid w:val="003D567F"/>
    <w:rsid w:val="003D6D4D"/>
    <w:rsid w:val="003F4D22"/>
    <w:rsid w:val="0040259B"/>
    <w:rsid w:val="00414384"/>
    <w:rsid w:val="00434A79"/>
    <w:rsid w:val="00455DF6"/>
    <w:rsid w:val="00473BC2"/>
    <w:rsid w:val="004820E3"/>
    <w:rsid w:val="00485F14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28A1"/>
    <w:rsid w:val="00546337"/>
    <w:rsid w:val="00564DD7"/>
    <w:rsid w:val="005657A4"/>
    <w:rsid w:val="0059299A"/>
    <w:rsid w:val="0059670D"/>
    <w:rsid w:val="00597031"/>
    <w:rsid w:val="005A1C75"/>
    <w:rsid w:val="005A487D"/>
    <w:rsid w:val="005A61DD"/>
    <w:rsid w:val="005B5ADE"/>
    <w:rsid w:val="005D2C8F"/>
    <w:rsid w:val="0061322F"/>
    <w:rsid w:val="00623EAE"/>
    <w:rsid w:val="00650ECC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81E20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357E"/>
    <w:rsid w:val="008D48E0"/>
    <w:rsid w:val="008F7BA5"/>
    <w:rsid w:val="00900CC6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9F3AD9"/>
    <w:rsid w:val="009F71CC"/>
    <w:rsid w:val="00A11C8F"/>
    <w:rsid w:val="00A1701E"/>
    <w:rsid w:val="00A36118"/>
    <w:rsid w:val="00A4443D"/>
    <w:rsid w:val="00A5197D"/>
    <w:rsid w:val="00A5217A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575C3"/>
    <w:rsid w:val="00B61DD2"/>
    <w:rsid w:val="00B749BE"/>
    <w:rsid w:val="00B86FC2"/>
    <w:rsid w:val="00BA6FA9"/>
    <w:rsid w:val="00BB20BA"/>
    <w:rsid w:val="00BD635E"/>
    <w:rsid w:val="00BF0E19"/>
    <w:rsid w:val="00C24633"/>
    <w:rsid w:val="00C24A27"/>
    <w:rsid w:val="00C32AC6"/>
    <w:rsid w:val="00C63C0F"/>
    <w:rsid w:val="00C6711D"/>
    <w:rsid w:val="00C714FB"/>
    <w:rsid w:val="00C7723C"/>
    <w:rsid w:val="00CA0DE3"/>
    <w:rsid w:val="00CB772B"/>
    <w:rsid w:val="00CC1D7E"/>
    <w:rsid w:val="00CD025C"/>
    <w:rsid w:val="00CD1534"/>
    <w:rsid w:val="00CD41A1"/>
    <w:rsid w:val="00CE2994"/>
    <w:rsid w:val="00D2084F"/>
    <w:rsid w:val="00D34BA4"/>
    <w:rsid w:val="00D42931"/>
    <w:rsid w:val="00D570A4"/>
    <w:rsid w:val="00D66268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814EC"/>
    <w:rsid w:val="00E83AF2"/>
    <w:rsid w:val="00E94E15"/>
    <w:rsid w:val="00EB2A3D"/>
    <w:rsid w:val="00ED5421"/>
    <w:rsid w:val="00F26B63"/>
    <w:rsid w:val="00F33821"/>
    <w:rsid w:val="00F528AD"/>
    <w:rsid w:val="00F53F2E"/>
    <w:rsid w:val="00F72123"/>
    <w:rsid w:val="00F776F2"/>
    <w:rsid w:val="00F8503A"/>
    <w:rsid w:val="00FA292F"/>
    <w:rsid w:val="00FA45B4"/>
    <w:rsid w:val="00FB3E14"/>
    <w:rsid w:val="00FB6F76"/>
    <w:rsid w:val="00FD3CC0"/>
    <w:rsid w:val="00FD4545"/>
    <w:rsid w:val="01042CD0"/>
    <w:rsid w:val="027619AC"/>
    <w:rsid w:val="02D23086"/>
    <w:rsid w:val="034224C2"/>
    <w:rsid w:val="037A07A4"/>
    <w:rsid w:val="03C70711"/>
    <w:rsid w:val="04BA371A"/>
    <w:rsid w:val="05C03101"/>
    <w:rsid w:val="067C4972"/>
    <w:rsid w:val="06F86ED4"/>
    <w:rsid w:val="078057A6"/>
    <w:rsid w:val="079015B8"/>
    <w:rsid w:val="0970184A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16021A5"/>
    <w:rsid w:val="12B66520"/>
    <w:rsid w:val="131C20FB"/>
    <w:rsid w:val="1363359A"/>
    <w:rsid w:val="13693592"/>
    <w:rsid w:val="1399697C"/>
    <w:rsid w:val="139A7BF0"/>
    <w:rsid w:val="143D0E24"/>
    <w:rsid w:val="15CB7AD3"/>
    <w:rsid w:val="16410944"/>
    <w:rsid w:val="16556050"/>
    <w:rsid w:val="16BB30E3"/>
    <w:rsid w:val="178C5AA1"/>
    <w:rsid w:val="181E2472"/>
    <w:rsid w:val="18240F20"/>
    <w:rsid w:val="185F4F64"/>
    <w:rsid w:val="1A564145"/>
    <w:rsid w:val="1E3B0FB8"/>
    <w:rsid w:val="1E842569"/>
    <w:rsid w:val="1E9339D4"/>
    <w:rsid w:val="1EC805AD"/>
    <w:rsid w:val="1ECD2160"/>
    <w:rsid w:val="1F5D7D23"/>
    <w:rsid w:val="1FD004F5"/>
    <w:rsid w:val="208337BA"/>
    <w:rsid w:val="21182154"/>
    <w:rsid w:val="211A411E"/>
    <w:rsid w:val="23B56380"/>
    <w:rsid w:val="23CA72E7"/>
    <w:rsid w:val="24264B88"/>
    <w:rsid w:val="247D203D"/>
    <w:rsid w:val="24B43FF7"/>
    <w:rsid w:val="25BD4353"/>
    <w:rsid w:val="25D36F91"/>
    <w:rsid w:val="26571970"/>
    <w:rsid w:val="27FA76CB"/>
    <w:rsid w:val="28CA467C"/>
    <w:rsid w:val="293F1222"/>
    <w:rsid w:val="2A233845"/>
    <w:rsid w:val="2C2A4E0F"/>
    <w:rsid w:val="2CE51A84"/>
    <w:rsid w:val="2DB11190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AA386B"/>
    <w:rsid w:val="35F5260C"/>
    <w:rsid w:val="373652B7"/>
    <w:rsid w:val="38644E27"/>
    <w:rsid w:val="394C2E8B"/>
    <w:rsid w:val="3A0D261A"/>
    <w:rsid w:val="3AA7481D"/>
    <w:rsid w:val="3BCC0926"/>
    <w:rsid w:val="3BFC2946"/>
    <w:rsid w:val="3D4A1447"/>
    <w:rsid w:val="3D5567B2"/>
    <w:rsid w:val="3D8E3A72"/>
    <w:rsid w:val="3D953A3C"/>
    <w:rsid w:val="3DC70D32"/>
    <w:rsid w:val="3E244592"/>
    <w:rsid w:val="3E8F2AE4"/>
    <w:rsid w:val="3F257FD3"/>
    <w:rsid w:val="3FBB77DF"/>
    <w:rsid w:val="41760AA5"/>
    <w:rsid w:val="41C7034B"/>
    <w:rsid w:val="42402E61"/>
    <w:rsid w:val="444F046F"/>
    <w:rsid w:val="44817E8C"/>
    <w:rsid w:val="456D2FD6"/>
    <w:rsid w:val="46DD42C7"/>
    <w:rsid w:val="46EB1AF6"/>
    <w:rsid w:val="48691363"/>
    <w:rsid w:val="48FD10B0"/>
    <w:rsid w:val="4C8845CA"/>
    <w:rsid w:val="4CFF2296"/>
    <w:rsid w:val="4ECC76D1"/>
    <w:rsid w:val="4EEC684A"/>
    <w:rsid w:val="4F7B7070"/>
    <w:rsid w:val="4F9D5D96"/>
    <w:rsid w:val="50096F88"/>
    <w:rsid w:val="50B138A7"/>
    <w:rsid w:val="511D0F3D"/>
    <w:rsid w:val="51E732F9"/>
    <w:rsid w:val="51F003FF"/>
    <w:rsid w:val="52BB6C5F"/>
    <w:rsid w:val="531A34A7"/>
    <w:rsid w:val="53665FB9"/>
    <w:rsid w:val="53CE29C2"/>
    <w:rsid w:val="54BA6AA3"/>
    <w:rsid w:val="54FE4BE1"/>
    <w:rsid w:val="57342B3C"/>
    <w:rsid w:val="58F9403E"/>
    <w:rsid w:val="59594ADC"/>
    <w:rsid w:val="5A3612C1"/>
    <w:rsid w:val="5A811EBA"/>
    <w:rsid w:val="5B8D3163"/>
    <w:rsid w:val="5E7D74BF"/>
    <w:rsid w:val="5F5A217E"/>
    <w:rsid w:val="60086A2A"/>
    <w:rsid w:val="603E5BFC"/>
    <w:rsid w:val="63544167"/>
    <w:rsid w:val="63D57455"/>
    <w:rsid w:val="63DD630A"/>
    <w:rsid w:val="64520AA6"/>
    <w:rsid w:val="647A1DAB"/>
    <w:rsid w:val="65055B18"/>
    <w:rsid w:val="6578739E"/>
    <w:rsid w:val="65801643"/>
    <w:rsid w:val="65E16216"/>
    <w:rsid w:val="667E5B82"/>
    <w:rsid w:val="668D2269"/>
    <w:rsid w:val="66B75538"/>
    <w:rsid w:val="66F10A4A"/>
    <w:rsid w:val="67A96C2F"/>
    <w:rsid w:val="67B57795"/>
    <w:rsid w:val="68E1689C"/>
    <w:rsid w:val="69124CA8"/>
    <w:rsid w:val="693B7D5A"/>
    <w:rsid w:val="69674FF3"/>
    <w:rsid w:val="69D91621"/>
    <w:rsid w:val="69E55F18"/>
    <w:rsid w:val="69E93C5A"/>
    <w:rsid w:val="6AA14535"/>
    <w:rsid w:val="6AB51D8E"/>
    <w:rsid w:val="6B0D3978"/>
    <w:rsid w:val="6B2B0559"/>
    <w:rsid w:val="6B857D1D"/>
    <w:rsid w:val="6B8F438D"/>
    <w:rsid w:val="6BCC7390"/>
    <w:rsid w:val="6C501D6F"/>
    <w:rsid w:val="6C6121CE"/>
    <w:rsid w:val="6CB5251A"/>
    <w:rsid w:val="6CBA18DE"/>
    <w:rsid w:val="6CF748E0"/>
    <w:rsid w:val="6D94212F"/>
    <w:rsid w:val="6EB26D8A"/>
    <w:rsid w:val="6F063A70"/>
    <w:rsid w:val="6FDE294B"/>
    <w:rsid w:val="70E86833"/>
    <w:rsid w:val="71035C45"/>
    <w:rsid w:val="72111FA0"/>
    <w:rsid w:val="73214465"/>
    <w:rsid w:val="733D0B73"/>
    <w:rsid w:val="73AF1A71"/>
    <w:rsid w:val="74DC779C"/>
    <w:rsid w:val="75041948"/>
    <w:rsid w:val="753F5076"/>
    <w:rsid w:val="75CD2682"/>
    <w:rsid w:val="761E2EDE"/>
    <w:rsid w:val="765764A8"/>
    <w:rsid w:val="774C5829"/>
    <w:rsid w:val="78C25DA2"/>
    <w:rsid w:val="78F571F7"/>
    <w:rsid w:val="791B5577"/>
    <w:rsid w:val="793241D1"/>
    <w:rsid w:val="799040F2"/>
    <w:rsid w:val="7AC028CA"/>
    <w:rsid w:val="7B564A57"/>
    <w:rsid w:val="7C091F3A"/>
    <w:rsid w:val="7C287B50"/>
    <w:rsid w:val="7CE45D82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419A9-26C1-48CC-8D7E-67C7D3C34B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1027</Words>
  <Characters>1206</Characters>
  <Lines>10</Lines>
  <Paragraphs>2</Paragraphs>
  <TotalTime>0</TotalTime>
  <ScaleCrop>false</ScaleCrop>
  <LinksUpToDate>false</LinksUpToDate>
  <CharactersWithSpaces>1257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李亚平</cp:lastModifiedBy>
  <dcterms:modified xsi:type="dcterms:W3CDTF">2025-02-17T07:32:43Z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B4DBA66B1E1745A7843E673FBFAA819F</vt:lpwstr>
  </property>
  <property fmtid="{D5CDD505-2E9C-101B-9397-08002B2CF9AE}" pid="4" name="KSOTemplateDocerSaveRecord">
    <vt:lpwstr>eyJoZGlkIjoiMzUwZWVkYmNlNmZlOWNkYTc1YzIzMmM3MmZkZmJiZWYiLCJ1c2VySWQiOiI5NTUyNTc5NDQifQ==</vt:lpwstr>
  </property>
</Properties>
</file>