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4264660</wp:posOffset>
                </wp:positionH>
                <wp:positionV relativeFrom="paragraph">
                  <wp:posOffset>104775</wp:posOffset>
                </wp:positionV>
                <wp:extent cx="945515" cy="505460"/>
                <wp:effectExtent l="6350" t="6350" r="13335" b="21590"/>
                <wp:wrapNone/>
                <wp:docPr id="1" name="Text Box 2"/>
                <wp:cNvGraphicFramePr/>
                <a:graphic xmlns:a="http://schemas.openxmlformats.org/drawingml/2006/main">
                  <a:graphicData uri="http://schemas.microsoft.com/office/word/2010/wordprocessingShape">
                    <wps:wsp>
                      <wps:cNvSpPr txBox="1"/>
                      <wps:spPr>
                        <a:xfrm>
                          <a:off x="0" y="0"/>
                          <a:ext cx="945515" cy="50546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jc w:val="center"/>
                              <w:rPr>
                                <w:b/>
                                <w:bCs/>
                                <w:sz w:val="48"/>
                                <w:szCs w:val="48"/>
                              </w:rPr>
                            </w:pPr>
                            <w:r>
                              <w:rPr>
                                <w:rFonts w:hint="eastAsia"/>
                                <w:b/>
                                <w:bCs/>
                                <w:sz w:val="48"/>
                                <w:szCs w:val="48"/>
                              </w:rPr>
                              <w:t>机密</w:t>
                            </w:r>
                          </w:p>
                        </w:txbxContent>
                      </wps:txbx>
                      <wps:bodyPr upright="1"/>
                    </wps:wsp>
                  </a:graphicData>
                </a:graphic>
              </wp:anchor>
            </w:drawing>
          </mc:Choice>
          <mc:Fallback>
            <w:pict>
              <v:shape id="Text Box 2" o:spid="_x0000_s1026" o:spt="202" type="#_x0000_t202" style="position:absolute;left:0pt;margin-left:335.8pt;margin-top:8.25pt;height:39.8pt;width:74.45pt;z-index:251660288;mso-width-relative:page;mso-height-relative:page;" fillcolor="#FFFFFF" filled="t" stroked="t" coordsize="21600,21600" o:gfxdata="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CnDoC1QAAAAkBAAAPAAAA&#10;AAAAAAEAIAAAADgAAABkcnMvZG93bnJldi54bWxQSwECFAAUAAAACACHTuJAOQbsugICAABCBAAA&#10;DgAAAAAAAAABACAAAAA6AQAAZHJzL2Uyb0RvYy54bWxQSwUGAAAAAAYABgBZAQAArgUAAAAA&#10;">
                <v:fill on="t" focussize="0,0"/>
                <v:stroke weight="0.5pt" color="#000000" joinstyle="round"/>
                <v:imagedata o:title=""/>
                <o:lock v:ext="edit" aspectratio="f"/>
                <v:textbox>
                  <w:txbxContent>
                    <w:p>
                      <w:pPr>
                        <w:jc w:val="center"/>
                        <w:rPr>
                          <w:b/>
                          <w:bCs/>
                          <w:sz w:val="48"/>
                          <w:szCs w:val="48"/>
                        </w:rPr>
                      </w:pPr>
                      <w:r>
                        <w:rPr>
                          <w:rFonts w:hint="eastAsia"/>
                          <w:b/>
                          <w:bCs/>
                          <w:sz w:val="48"/>
                          <w:szCs w:val="48"/>
                        </w:rPr>
                        <w:t>机密</w:t>
                      </w:r>
                    </w:p>
                  </w:txbxContent>
                </v:textbox>
              </v:shape>
            </w:pict>
          </mc:Fallback>
        </mc:AlternateContent>
      </w: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r>
        <w:rPr>
          <w:rFonts w:hint="eastAsia" w:ascii="宋体" w:hAnsi="宋体" w:cs="宋体"/>
          <w:b/>
          <w:sz w:val="44"/>
          <w:szCs w:val="44"/>
          <w:highlight w:val="none"/>
        </w:rPr>
        <w:t>河北光华荣昌汽车部件有限公司</w:t>
      </w:r>
    </w:p>
    <w:p>
      <w:pPr>
        <w:jc w:val="center"/>
        <w:rPr>
          <w:rFonts w:ascii="宋体" w:hAnsi="宋体" w:cs="宋体"/>
          <w:b/>
          <w:sz w:val="44"/>
          <w:szCs w:val="44"/>
          <w:highlight w:val="none"/>
        </w:rPr>
      </w:pPr>
      <w:r>
        <w:rPr>
          <w:rFonts w:hint="eastAsia" w:ascii="宋体" w:hAnsi="宋体" w:cs="宋体"/>
          <w:b/>
          <w:sz w:val="44"/>
          <w:szCs w:val="44"/>
          <w:highlight w:val="none"/>
        </w:rPr>
        <w:t>与</w:t>
      </w:r>
    </w:p>
    <w:p>
      <w:pPr>
        <w:jc w:val="center"/>
        <w:rPr>
          <w:rFonts w:ascii="宋体" w:hAnsi="宋体" w:cs="宋体"/>
          <w:b/>
          <w:sz w:val="44"/>
          <w:szCs w:val="44"/>
          <w:highlight w:val="none"/>
        </w:rPr>
      </w:pPr>
      <w:r>
        <w:rPr>
          <w:rFonts w:hint="eastAsia" w:ascii="宋体" w:hAnsi="宋体" w:cs="宋体"/>
          <w:b/>
          <w:sz w:val="44"/>
          <w:szCs w:val="44"/>
          <w:highlight w:val="none"/>
        </w:rPr>
        <w:t>苏州万创财务咨询有限公司</w:t>
      </w: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sz w:val="44"/>
          <w:szCs w:val="44"/>
          <w:highlight w:val="none"/>
        </w:rPr>
      </w:pPr>
    </w:p>
    <w:p>
      <w:pPr>
        <w:jc w:val="center"/>
        <w:rPr>
          <w:rFonts w:ascii="宋体" w:hAnsi="宋体" w:cs="宋体"/>
          <w:b/>
          <w:color w:val="000000" w:themeColor="text1"/>
          <w:sz w:val="20"/>
          <w:szCs w:val="28"/>
          <w:highlight w:val="none"/>
          <w14:textFill>
            <w14:solidFill>
              <w14:schemeClr w14:val="tx1"/>
            </w14:solidFill>
          </w14:textFill>
        </w:rPr>
      </w:pPr>
      <w:r>
        <w:rPr>
          <w:rFonts w:hint="eastAsia" w:ascii="宋体" w:hAnsi="宋体" w:cs="宋体"/>
          <w:b/>
          <w:sz w:val="44"/>
          <w:szCs w:val="44"/>
          <w:highlight w:val="none"/>
        </w:rPr>
        <w:t>财务顾问协议</w:t>
      </w: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jc w:val="center"/>
        <w:rPr>
          <w:rFonts w:ascii="宋体" w:hAnsi="宋体" w:cs="宋体"/>
          <w:b/>
          <w:color w:val="000000" w:themeColor="text1"/>
          <w:sz w:val="20"/>
          <w:szCs w:val="28"/>
          <w:highlight w:val="none"/>
          <w14:textFill>
            <w14:solidFill>
              <w14:schemeClr w14:val="tx1"/>
            </w14:solidFill>
          </w14:textFill>
        </w:rPr>
      </w:pPr>
    </w:p>
    <w:p>
      <w:pPr>
        <w:spacing w:line="360" w:lineRule="auto"/>
        <w:rPr>
          <w:rFonts w:ascii="宋体" w:hAnsi="宋体" w:cs="宋体"/>
          <w:b/>
          <w:sz w:val="21"/>
          <w:szCs w:val="21"/>
          <w:highlight w:val="none"/>
        </w:rPr>
      </w:pPr>
      <w:r>
        <w:rPr>
          <w:rFonts w:hint="eastAsia" w:ascii="宋体" w:hAnsi="宋体" w:cs="宋体"/>
          <w:b/>
          <w:sz w:val="21"/>
          <w:szCs w:val="21"/>
          <w:highlight w:val="none"/>
        </w:rPr>
        <w:t>本《财务顾问协议》（以下简称“本协议”）由以下双方于2025年【4】月于中国苏州市签署：</w:t>
      </w:r>
    </w:p>
    <w:p>
      <w:pPr>
        <w:spacing w:line="360" w:lineRule="exact"/>
        <w:jc w:val="both"/>
        <w:rPr>
          <w:rFonts w:ascii="宋体" w:hAnsi="宋体" w:cs="宋体"/>
          <w:sz w:val="18"/>
          <w:szCs w:val="18"/>
          <w:highlight w:val="none"/>
        </w:rPr>
      </w:pPr>
      <w:r>
        <w:rPr>
          <w:rFonts w:hint="eastAsia" w:ascii="宋体" w:hAnsi="宋体" w:cs="宋体"/>
          <w:b/>
          <w:sz w:val="18"/>
          <w:szCs w:val="18"/>
          <w:highlight w:val="none"/>
        </w:rPr>
        <w:t>甲方：河北光华荣昌汽车部件有限公司（</w:t>
      </w:r>
      <w:r>
        <w:rPr>
          <w:rFonts w:hint="eastAsia" w:ascii="宋体" w:hAnsi="宋体" w:cs="宋体"/>
          <w:sz w:val="18"/>
          <w:szCs w:val="18"/>
          <w:highlight w:val="none"/>
        </w:rPr>
        <w:t>以下简称：“甲方”或“公司”）</w:t>
      </w:r>
    </w:p>
    <w:p>
      <w:pPr>
        <w:spacing w:beforeLines="50" w:afterLines="50" w:line="360" w:lineRule="exact"/>
        <w:rPr>
          <w:rFonts w:ascii="宋体" w:hAnsi="宋体" w:cs="宋体"/>
          <w:sz w:val="18"/>
          <w:szCs w:val="18"/>
          <w:highlight w:val="none"/>
        </w:rPr>
      </w:pPr>
      <w:r>
        <w:rPr>
          <w:rFonts w:hint="eastAsia" w:ascii="宋体" w:hAnsi="宋体" w:cs="宋体"/>
          <w:b/>
          <w:sz w:val="18"/>
          <w:szCs w:val="18"/>
          <w:highlight w:val="none"/>
        </w:rPr>
        <w:t>乙方：苏州万创财务咨询有限公司</w:t>
      </w:r>
      <w:r>
        <w:rPr>
          <w:rFonts w:hint="eastAsia" w:ascii="宋体" w:hAnsi="宋体" w:cs="宋体"/>
          <w:sz w:val="18"/>
          <w:szCs w:val="18"/>
          <w:highlight w:val="none"/>
        </w:rPr>
        <w:t>（以下简称：“乙方”）</w:t>
      </w:r>
    </w:p>
    <w:p>
      <w:pPr>
        <w:pStyle w:val="13"/>
        <w:numPr>
          <w:ilvl w:val="0"/>
          <w:numId w:val="0"/>
        </w:numPr>
        <w:spacing w:beforeLines="50" w:afterLines="50" w:line="360" w:lineRule="exact"/>
        <w:ind w:left="0"/>
        <w:rPr>
          <w:rFonts w:ascii="宋体" w:hAnsi="宋体" w:cs="宋体"/>
          <w:b/>
          <w:sz w:val="18"/>
          <w:szCs w:val="18"/>
          <w:highlight w:val="none"/>
        </w:rPr>
      </w:pPr>
      <w:r>
        <w:rPr>
          <w:rFonts w:hint="eastAsia" w:ascii="宋体" w:hAnsi="宋体" w:cs="宋体"/>
          <w:b/>
          <w:sz w:val="18"/>
          <w:szCs w:val="18"/>
          <w:highlight w:val="none"/>
        </w:rPr>
        <w:t>鉴于：</w:t>
      </w:r>
    </w:p>
    <w:p>
      <w:pPr>
        <w:spacing w:line="360" w:lineRule="exact"/>
        <w:rPr>
          <w:rFonts w:ascii="宋体" w:hAnsi="宋体" w:cs="宋体"/>
          <w:sz w:val="18"/>
          <w:szCs w:val="18"/>
          <w:highlight w:val="none"/>
        </w:rPr>
      </w:pPr>
      <w:r>
        <w:rPr>
          <w:rFonts w:hint="eastAsia" w:ascii="宋体" w:hAnsi="宋体" w:cs="宋体"/>
          <w:sz w:val="18"/>
          <w:szCs w:val="18"/>
          <w:highlight w:val="none"/>
        </w:rPr>
        <w:t>甲方为根据中国法律合法成立并有效存续的企业法人，拟进行对外融资；</w:t>
      </w:r>
    </w:p>
    <w:p>
      <w:pPr>
        <w:spacing w:line="360" w:lineRule="exact"/>
        <w:rPr>
          <w:rFonts w:ascii="宋体" w:hAnsi="宋体" w:cs="宋体"/>
          <w:sz w:val="18"/>
          <w:szCs w:val="18"/>
          <w:highlight w:val="none"/>
        </w:rPr>
      </w:pPr>
      <w:r>
        <w:rPr>
          <w:rFonts w:hint="eastAsia" w:ascii="宋体" w:hAnsi="宋体" w:cs="宋体"/>
          <w:sz w:val="18"/>
          <w:szCs w:val="18"/>
          <w:highlight w:val="none"/>
        </w:rPr>
        <w:t>乙方为致力于为企业提供深度融资服务的精品投行，“万创投行”为乙方运营的品牌名。</w:t>
      </w:r>
    </w:p>
    <w:p>
      <w:pPr>
        <w:spacing w:line="360" w:lineRule="exact"/>
        <w:rPr>
          <w:rFonts w:ascii="宋体" w:hAnsi="宋体" w:cs="宋体"/>
          <w:sz w:val="18"/>
          <w:szCs w:val="18"/>
          <w:highlight w:val="none"/>
        </w:rPr>
      </w:pPr>
      <w:r>
        <w:rPr>
          <w:rFonts w:hint="eastAsia" w:ascii="宋体" w:hAnsi="宋体" w:cs="宋体"/>
          <w:sz w:val="18"/>
          <w:szCs w:val="18"/>
          <w:highlight w:val="none"/>
        </w:rPr>
        <w:t>经友好协商，就甲方委托乙方为其提供融资服务事宜达成如下条款，以资共同遵照执行：</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委托事项</w:t>
      </w:r>
    </w:p>
    <w:p>
      <w:pPr>
        <w:spacing w:line="360" w:lineRule="exact"/>
        <w:rPr>
          <w:rFonts w:ascii="宋体" w:hAnsi="宋体" w:cs="宋体"/>
          <w:sz w:val="18"/>
          <w:szCs w:val="18"/>
          <w:highlight w:val="none"/>
        </w:rPr>
      </w:pPr>
      <w:r>
        <w:rPr>
          <w:rFonts w:hint="eastAsia" w:ascii="宋体" w:hAnsi="宋体" w:cs="宋体"/>
          <w:sz w:val="18"/>
          <w:szCs w:val="18"/>
          <w:highlight w:val="none"/>
        </w:rPr>
        <w:t>甲方委托乙方担任财务顾问，具体委托事项如下：</w:t>
      </w:r>
    </w:p>
    <w:p>
      <w:pPr>
        <w:spacing w:line="360" w:lineRule="exact"/>
        <w:rPr>
          <w:rFonts w:ascii="宋体" w:hAnsi="宋体" w:cs="宋体"/>
          <w:sz w:val="18"/>
          <w:szCs w:val="18"/>
          <w:highlight w:val="none"/>
        </w:rPr>
      </w:pPr>
      <w:r>
        <w:rPr>
          <w:rFonts w:hint="eastAsia" w:ascii="宋体" w:hAnsi="宋体" w:cs="宋体"/>
          <w:sz w:val="18"/>
          <w:szCs w:val="18"/>
          <w:highlight w:val="none"/>
        </w:rPr>
        <w:t>1.1乙方协助甲方进行融资路演/公司考察/高层面谈等。</w:t>
      </w:r>
    </w:p>
    <w:p>
      <w:pPr>
        <w:spacing w:line="360" w:lineRule="exact"/>
        <w:rPr>
          <w:rFonts w:ascii="宋体" w:hAnsi="宋体" w:cs="宋体"/>
          <w:sz w:val="18"/>
          <w:szCs w:val="18"/>
          <w:highlight w:val="none"/>
        </w:rPr>
      </w:pPr>
      <w:r>
        <w:rPr>
          <w:rFonts w:hint="eastAsia" w:ascii="宋体" w:hAnsi="宋体" w:cs="宋体"/>
          <w:sz w:val="18"/>
          <w:szCs w:val="18"/>
          <w:highlight w:val="none"/>
        </w:rPr>
        <w:t>1.2乙方帮助甲方寻找此次融资的合适投资机构／投资人（以下简称“投资者”）。</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委托期限</w:t>
      </w:r>
    </w:p>
    <w:p>
      <w:pPr>
        <w:pStyle w:val="14"/>
        <w:spacing w:line="360" w:lineRule="exact"/>
        <w:ind w:firstLine="0" w:firstLineChars="0"/>
        <w:rPr>
          <w:rFonts w:ascii="宋体" w:hAnsi="宋体" w:cs="宋体"/>
          <w:sz w:val="18"/>
          <w:szCs w:val="18"/>
          <w:highlight w:val="none"/>
        </w:rPr>
      </w:pPr>
      <w:r>
        <w:rPr>
          <w:rFonts w:hint="eastAsia" w:ascii="宋体" w:hAnsi="宋体" w:cs="宋体"/>
          <w:sz w:val="18"/>
          <w:szCs w:val="18"/>
          <w:highlight w:val="none"/>
        </w:rPr>
        <w:t>双方约定服务期限为自协议生效之日起12个月。若服务期限届满后乙方仍对接新的交易对手，或仍处于交易流程中，或仍为公司提供财务顾问服务且公司接受的，则本协议自动顺延直至该交易完成。</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注意事项</w:t>
      </w:r>
    </w:p>
    <w:p>
      <w:pPr>
        <w:pStyle w:val="14"/>
        <w:spacing w:line="360" w:lineRule="exact"/>
        <w:ind w:firstLine="0" w:firstLineChars="0"/>
        <w:rPr>
          <w:rFonts w:ascii="宋体" w:hAnsi="宋体" w:cs="宋体"/>
          <w:sz w:val="18"/>
          <w:szCs w:val="18"/>
          <w:highlight w:val="none"/>
        </w:rPr>
      </w:pPr>
      <w:r>
        <w:rPr>
          <w:rFonts w:hint="eastAsia" w:ascii="宋体" w:hAnsi="宋体" w:cs="宋体"/>
          <w:sz w:val="18"/>
          <w:szCs w:val="18"/>
          <w:highlight w:val="none"/>
        </w:rPr>
        <w:t>3.1本协议性质为居间合同，乙方提供居间撮合服务，甲方须保证完成融资后及时、足额向乙方支付财务顾问费。</w:t>
      </w:r>
    </w:p>
    <w:p>
      <w:pPr>
        <w:pStyle w:val="14"/>
        <w:spacing w:line="360" w:lineRule="exact"/>
        <w:ind w:firstLine="0" w:firstLineChars="0"/>
        <w:rPr>
          <w:rFonts w:ascii="宋体" w:hAnsi="宋体" w:cs="宋体"/>
          <w:sz w:val="18"/>
          <w:szCs w:val="18"/>
          <w:highlight w:val="none"/>
        </w:rPr>
      </w:pPr>
      <w:r>
        <w:rPr>
          <w:rFonts w:hint="eastAsia" w:ascii="宋体" w:hAnsi="宋体" w:cs="宋体"/>
          <w:sz w:val="18"/>
          <w:szCs w:val="18"/>
          <w:highlight w:val="none"/>
        </w:rPr>
        <w:t>3.2根据甲方与投资者达成的共识，最终的交易方案可能会因为项目实际需要进行调整，但不影响甲方根据本协议项下约定向乙方支付财务顾问费。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3.3为免疑义或冲突，乙方为甲方对接投资者前需与甲方进行书面确认（包含邮件、微信等方式）。</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甲方的责任与义务</w:t>
      </w:r>
    </w:p>
    <w:p>
      <w:pPr>
        <w:spacing w:line="360" w:lineRule="exact"/>
        <w:rPr>
          <w:rFonts w:ascii="宋体" w:hAnsi="宋体" w:cs="宋体"/>
          <w:sz w:val="18"/>
          <w:szCs w:val="18"/>
          <w:highlight w:val="none"/>
        </w:rPr>
      </w:pPr>
      <w:r>
        <w:rPr>
          <w:rFonts w:hint="eastAsia" w:ascii="宋体" w:hAnsi="宋体" w:cs="宋体"/>
          <w:sz w:val="18"/>
          <w:szCs w:val="18"/>
          <w:highlight w:val="none"/>
        </w:rPr>
        <w:t>4.1甲方保证所委托事务的合法性，并且不构成对第三方的违约或侵权。</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ascii="宋体" w:hAnsi="宋体" w:cs="宋体"/>
          <w:sz w:val="18"/>
          <w:szCs w:val="18"/>
          <w:highlight w:val="none"/>
        </w:rPr>
        <w:t>2</w:t>
      </w:r>
      <w:r>
        <w:rPr>
          <w:rFonts w:hint="eastAsia" w:ascii="宋体" w:hAnsi="宋体" w:cs="宋体"/>
          <w:sz w:val="18"/>
          <w:szCs w:val="18"/>
          <w:highlight w:val="none"/>
        </w:rPr>
        <w:t>甲方及其关联公司应当在合理期间内向乙方提供为履行本协议所需的相关资料，上述资料包括但不限于公司战略、业务、产品、研发、生产、采购、市场、团队、财务等内容。甲方保证所提供的信息真实、准确、完整、及时。</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ascii="宋体" w:hAnsi="宋体" w:cs="宋体"/>
          <w:sz w:val="18"/>
          <w:szCs w:val="18"/>
          <w:highlight w:val="none"/>
        </w:rPr>
        <w:t>3</w:t>
      </w:r>
      <w:r>
        <w:rPr>
          <w:rFonts w:hint="eastAsia" w:ascii="宋体" w:hAnsi="宋体" w:cs="宋体"/>
          <w:sz w:val="18"/>
          <w:szCs w:val="18"/>
          <w:highlight w:val="none"/>
        </w:rPr>
        <w:t>甲方应及时回应乙方或投资者所提问题和建议，对投资者的会谈、实地调研等需求予以满足。</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ascii="宋体" w:hAnsi="宋体" w:cs="宋体"/>
          <w:sz w:val="18"/>
          <w:szCs w:val="18"/>
          <w:highlight w:val="none"/>
        </w:rPr>
        <w:t>4</w:t>
      </w:r>
      <w:r>
        <w:rPr>
          <w:rFonts w:hint="eastAsia" w:ascii="宋体" w:hAnsi="宋体" w:cs="宋体"/>
          <w:sz w:val="18"/>
          <w:szCs w:val="18"/>
          <w:highlight w:val="none"/>
        </w:rPr>
        <w:t>甲方及其关联公司应当配合乙方工作，并为乙方提供合理便利的条件。甲方未经乙方同意，不得擅自联系乙方对接的投资者；甲方与投资者的商谈，乙方均有权参加。</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hint="eastAsia" w:ascii="宋体" w:hAnsi="宋体" w:cs="宋体"/>
          <w:sz w:val="18"/>
          <w:szCs w:val="18"/>
          <w:highlight w:val="none"/>
          <w:lang w:val="en-US" w:eastAsia="zh-CN"/>
        </w:rPr>
        <w:t>5</w:t>
      </w:r>
      <w:r>
        <w:rPr>
          <w:rFonts w:hint="eastAsia" w:ascii="宋体" w:hAnsi="宋体" w:cs="宋体"/>
          <w:sz w:val="18"/>
          <w:szCs w:val="18"/>
          <w:highlight w:val="none"/>
        </w:rPr>
        <w:t>合作期间，甲方与乙方对接或</w:t>
      </w:r>
      <w:bookmarkStart w:id="1" w:name="_GoBack"/>
      <w:bookmarkEnd w:id="1"/>
      <w:r>
        <w:rPr>
          <w:rFonts w:hint="eastAsia" w:ascii="宋体" w:hAnsi="宋体" w:cs="宋体"/>
          <w:sz w:val="18"/>
          <w:szCs w:val="18"/>
          <w:highlight w:val="none"/>
        </w:rPr>
        <w:t>服务的投资者产生的所有融资业务（包含但不限于增资扩股、股权转让、资产转让、债转股、明股实债、债权融资、夹层基金、融资顾问、政府扶持资金等金融业务），完成金额皆计入本次融资总额（以下简称“交易金额”），按本协议约定收费标准计算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hint="eastAsia" w:ascii="宋体" w:hAnsi="宋体" w:cs="宋体"/>
          <w:sz w:val="18"/>
          <w:szCs w:val="18"/>
          <w:highlight w:val="none"/>
          <w:lang w:val="en-US" w:eastAsia="zh-CN"/>
        </w:rPr>
        <w:t>6</w:t>
      </w:r>
      <w:r>
        <w:rPr>
          <w:rFonts w:hint="eastAsia" w:ascii="宋体" w:hAnsi="宋体" w:cs="宋体"/>
          <w:sz w:val="18"/>
          <w:szCs w:val="18"/>
          <w:highlight w:val="none"/>
        </w:rPr>
        <w:t>甲方及其关联方包括但不限于控股股东、子公司等主体均受本协议约束。涉及本协议项下的商业活动均视为乙方向甲方履行本协议约定，且由甲方承担对应责任。甲方不得将乙方对接的投资者的联系方式给其他任何第三方（包括不限于甲方股东等）并达成融资交易，否则甲方应按交易金额的3%（百分之3）向乙方支付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4.</w:t>
      </w:r>
      <w:r>
        <w:rPr>
          <w:rFonts w:hint="eastAsia" w:ascii="宋体" w:hAnsi="宋体" w:cs="宋体"/>
          <w:sz w:val="18"/>
          <w:szCs w:val="18"/>
          <w:highlight w:val="none"/>
          <w:lang w:val="en-US" w:eastAsia="zh-CN"/>
        </w:rPr>
        <w:t>7</w:t>
      </w:r>
      <w:r>
        <w:rPr>
          <w:rFonts w:hint="eastAsia" w:ascii="宋体" w:hAnsi="宋体" w:cs="宋体"/>
          <w:sz w:val="18"/>
          <w:szCs w:val="18"/>
          <w:highlight w:val="none"/>
        </w:rPr>
        <w:t>乙方开展本协议项下相关工作的差旅及相关费用由乙方自行承担，甲方无须向乙方支付财务顾问费外的其他费用。</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乙方责任与义务</w:t>
      </w:r>
    </w:p>
    <w:p>
      <w:pPr>
        <w:spacing w:line="360" w:lineRule="exact"/>
        <w:rPr>
          <w:rFonts w:ascii="宋体" w:hAnsi="宋体" w:cs="宋体"/>
          <w:sz w:val="18"/>
          <w:szCs w:val="18"/>
          <w:highlight w:val="none"/>
        </w:rPr>
      </w:pPr>
      <w:r>
        <w:rPr>
          <w:rFonts w:hint="eastAsia" w:ascii="宋体" w:hAnsi="宋体" w:cs="宋体"/>
          <w:sz w:val="18"/>
          <w:szCs w:val="18"/>
          <w:highlight w:val="none"/>
        </w:rPr>
        <w:t>5.1乙方应根据实际情况采取本协议项下责任与义务范围内部分或全部措施，协助甲方进行融资。</w:t>
      </w:r>
    </w:p>
    <w:p>
      <w:pPr>
        <w:spacing w:line="360" w:lineRule="exact"/>
        <w:rPr>
          <w:rFonts w:ascii="宋体" w:hAnsi="宋体" w:cs="宋体"/>
          <w:sz w:val="18"/>
          <w:szCs w:val="18"/>
          <w:highlight w:val="none"/>
        </w:rPr>
      </w:pPr>
      <w:r>
        <w:rPr>
          <w:rFonts w:hint="eastAsia" w:ascii="宋体" w:hAnsi="宋体" w:cs="宋体"/>
          <w:sz w:val="18"/>
          <w:szCs w:val="18"/>
          <w:highlight w:val="none"/>
        </w:rPr>
        <w:t>5.2乙方保证依本协议而承担的义务是合法有效的义务，乙方履行本协议项下的义务与其依据其它协议或文件而履行的义务并不冲突，同时与法律、法规及有关行政法规亦无任何抵触。</w:t>
      </w:r>
    </w:p>
    <w:p>
      <w:pPr>
        <w:spacing w:line="360" w:lineRule="exact"/>
        <w:rPr>
          <w:rFonts w:ascii="宋体" w:hAnsi="宋体" w:cs="宋体"/>
          <w:sz w:val="18"/>
          <w:szCs w:val="18"/>
          <w:highlight w:val="none"/>
        </w:rPr>
      </w:pPr>
      <w:r>
        <w:rPr>
          <w:rFonts w:hint="eastAsia" w:ascii="宋体" w:hAnsi="宋体" w:cs="宋体"/>
          <w:sz w:val="18"/>
          <w:szCs w:val="18"/>
          <w:highlight w:val="none"/>
        </w:rPr>
        <w:t>5.3乙方应当选派具有实际工作经验、责任心强的业务人员，成立专业项目团队，与甲方人员进行项目对接，协助甲方完成融资事宜。</w:t>
      </w:r>
    </w:p>
    <w:p>
      <w:pPr>
        <w:spacing w:line="360" w:lineRule="exact"/>
        <w:rPr>
          <w:rFonts w:ascii="宋体" w:hAnsi="宋体" w:cs="宋体"/>
          <w:sz w:val="18"/>
          <w:szCs w:val="18"/>
          <w:highlight w:val="none"/>
        </w:rPr>
      </w:pPr>
      <w:r>
        <w:rPr>
          <w:rFonts w:hint="eastAsia" w:ascii="宋体" w:hAnsi="宋体" w:cs="宋体"/>
          <w:sz w:val="18"/>
          <w:szCs w:val="18"/>
          <w:highlight w:val="none"/>
        </w:rPr>
        <w:t>5.4应甲方要求协助甲方在全球范围内寻找、甄选及接洽适合的投资者。</w:t>
      </w:r>
    </w:p>
    <w:p>
      <w:pPr>
        <w:spacing w:line="360" w:lineRule="exact"/>
        <w:rPr>
          <w:rFonts w:ascii="宋体" w:hAnsi="宋体" w:cs="宋体"/>
          <w:sz w:val="18"/>
          <w:szCs w:val="18"/>
          <w:highlight w:val="none"/>
        </w:rPr>
      </w:pPr>
      <w:r>
        <w:rPr>
          <w:rFonts w:hint="eastAsia" w:ascii="宋体" w:hAnsi="宋体" w:cs="宋体"/>
          <w:sz w:val="18"/>
          <w:szCs w:val="18"/>
          <w:highlight w:val="none"/>
        </w:rPr>
        <w:t>5.5应甲方要求协助甲方进行交易前的内部尽职调查，梳理业务及法律合规性，排查交易障碍，同时与甲方合力探讨融资过程的重点环节，包括但不限于：投资亮点梳理、业务规划、资金用途、盈利预测、估值模型及估值区间等。</w:t>
      </w:r>
    </w:p>
    <w:p>
      <w:pPr>
        <w:spacing w:line="360" w:lineRule="exact"/>
        <w:rPr>
          <w:rFonts w:ascii="宋体" w:hAnsi="宋体" w:cs="宋体"/>
          <w:sz w:val="18"/>
          <w:szCs w:val="18"/>
          <w:highlight w:val="none"/>
        </w:rPr>
      </w:pPr>
      <w:r>
        <w:rPr>
          <w:rFonts w:hint="eastAsia" w:ascii="宋体" w:hAnsi="宋体" w:cs="宋体"/>
          <w:sz w:val="18"/>
          <w:szCs w:val="18"/>
          <w:highlight w:val="none"/>
        </w:rPr>
        <w:t>5.6在尽职调查阶段，乙方将协调第三方机构，包括会计师、律师、税务师等协助公司准备所需的相关信息和文件，并根据实际情况决定是否建立线上数据室，该线上数据室是提供公司文件和信息的重要来源。将审阅和分析由潜在投资者根据尽职调查提供的结果报告，针对可能会影响公司估值及交易结构细节条款等方面的问题，提供可能的解决方案以尽量减轻上述问题对交易所造成的影响。</w:t>
      </w:r>
    </w:p>
    <w:p>
      <w:pPr>
        <w:spacing w:line="360" w:lineRule="exact"/>
        <w:rPr>
          <w:rFonts w:ascii="宋体" w:hAnsi="宋体" w:cs="宋体"/>
          <w:sz w:val="18"/>
          <w:szCs w:val="18"/>
          <w:highlight w:val="none"/>
        </w:rPr>
      </w:pPr>
      <w:r>
        <w:rPr>
          <w:rFonts w:hint="eastAsia" w:ascii="宋体" w:hAnsi="宋体" w:cs="宋体"/>
          <w:sz w:val="18"/>
          <w:szCs w:val="18"/>
          <w:highlight w:val="none"/>
        </w:rPr>
        <w:t>5.7应甲方要求协助甲方完善供潜在投资者对公司业务进行评估的商业计划书、资料书及其他各类资料。</w:t>
      </w:r>
    </w:p>
    <w:p>
      <w:pPr>
        <w:spacing w:line="360" w:lineRule="exact"/>
        <w:rPr>
          <w:rFonts w:ascii="宋体" w:hAnsi="宋体" w:cs="宋体"/>
          <w:sz w:val="18"/>
          <w:szCs w:val="18"/>
          <w:highlight w:val="none"/>
        </w:rPr>
      </w:pPr>
      <w:r>
        <w:rPr>
          <w:rFonts w:hint="eastAsia" w:ascii="宋体" w:hAnsi="宋体" w:cs="宋体"/>
          <w:sz w:val="18"/>
          <w:szCs w:val="18"/>
          <w:highlight w:val="none"/>
        </w:rPr>
        <w:t>5.8应甲方要求协助甲方制定谈判策略，协助甲方谈判，争取有利的商务条件。</w:t>
      </w:r>
    </w:p>
    <w:p>
      <w:pPr>
        <w:spacing w:line="360" w:lineRule="exact"/>
        <w:rPr>
          <w:rFonts w:ascii="宋体" w:hAnsi="宋体" w:cs="宋体"/>
          <w:sz w:val="18"/>
          <w:szCs w:val="18"/>
          <w:highlight w:val="none"/>
        </w:rPr>
      </w:pPr>
      <w:r>
        <w:rPr>
          <w:rFonts w:hint="eastAsia" w:ascii="宋体" w:hAnsi="宋体" w:cs="宋体"/>
          <w:sz w:val="18"/>
          <w:szCs w:val="18"/>
          <w:highlight w:val="none"/>
        </w:rPr>
        <w:t>5.9应甲方要求协助甲方根据商务谈判的进展和尽职调查的结果设计和调整合理的交易方案。</w:t>
      </w:r>
    </w:p>
    <w:p>
      <w:pPr>
        <w:spacing w:line="360" w:lineRule="exact"/>
        <w:rPr>
          <w:rFonts w:ascii="宋体" w:hAnsi="宋体" w:cs="宋体"/>
          <w:sz w:val="18"/>
          <w:szCs w:val="18"/>
          <w:highlight w:val="none"/>
        </w:rPr>
      </w:pPr>
      <w:r>
        <w:rPr>
          <w:rFonts w:hint="eastAsia" w:ascii="宋体" w:hAnsi="宋体" w:cs="宋体"/>
          <w:sz w:val="18"/>
          <w:szCs w:val="18"/>
          <w:highlight w:val="none"/>
        </w:rPr>
        <w:t>5.10应甲方要求协助甲方根据相关法律法规的规定配合投资者的尽职调查、信息披露及监管审核流程。</w:t>
      </w:r>
    </w:p>
    <w:p>
      <w:pPr>
        <w:spacing w:line="360" w:lineRule="exact"/>
        <w:rPr>
          <w:rFonts w:ascii="宋体" w:hAnsi="宋体" w:cs="宋体"/>
          <w:sz w:val="18"/>
          <w:szCs w:val="18"/>
          <w:highlight w:val="none"/>
        </w:rPr>
      </w:pPr>
      <w:r>
        <w:rPr>
          <w:rFonts w:hint="eastAsia" w:ascii="宋体" w:hAnsi="宋体" w:cs="宋体"/>
          <w:sz w:val="18"/>
          <w:szCs w:val="18"/>
          <w:highlight w:val="none"/>
        </w:rPr>
        <w:t>5.11应甲方要求协助甲方跟进乙方对接或服务的投资者的上会、后续深度尽调、协议签署等流程。</w:t>
      </w:r>
    </w:p>
    <w:p>
      <w:pPr>
        <w:spacing w:line="360" w:lineRule="exact"/>
        <w:rPr>
          <w:rFonts w:ascii="宋体" w:hAnsi="宋体" w:cs="宋体"/>
          <w:sz w:val="18"/>
          <w:szCs w:val="18"/>
          <w:highlight w:val="none"/>
        </w:rPr>
      </w:pPr>
      <w:r>
        <w:rPr>
          <w:rFonts w:hint="eastAsia" w:ascii="宋体" w:hAnsi="宋体" w:cs="宋体"/>
          <w:sz w:val="18"/>
          <w:szCs w:val="18"/>
          <w:highlight w:val="none"/>
        </w:rPr>
        <w:t>5.12完成尽职调查的潜在投资者将被邀请提交针对融资项目的最终协议。</w:t>
      </w:r>
    </w:p>
    <w:p>
      <w:pPr>
        <w:spacing w:line="360" w:lineRule="exact"/>
        <w:rPr>
          <w:rFonts w:ascii="宋体" w:hAnsi="宋体" w:cs="宋体"/>
          <w:sz w:val="18"/>
          <w:szCs w:val="18"/>
          <w:highlight w:val="none"/>
        </w:rPr>
      </w:pPr>
      <w:r>
        <w:rPr>
          <w:rFonts w:hint="eastAsia" w:ascii="宋体" w:hAnsi="宋体" w:cs="宋体"/>
          <w:sz w:val="18"/>
          <w:szCs w:val="18"/>
          <w:highlight w:val="none"/>
        </w:rPr>
        <w:t>5.13应甲方要求协助甲方选择最终投资者进入到融资项目完成阶段。</w:t>
      </w:r>
    </w:p>
    <w:p>
      <w:pPr>
        <w:spacing w:line="360" w:lineRule="exact"/>
        <w:rPr>
          <w:rFonts w:ascii="宋体" w:hAnsi="宋体" w:cs="宋体"/>
          <w:sz w:val="18"/>
          <w:szCs w:val="18"/>
          <w:highlight w:val="none"/>
        </w:rPr>
      </w:pPr>
      <w:r>
        <w:rPr>
          <w:rFonts w:hint="eastAsia" w:ascii="宋体" w:hAnsi="宋体" w:cs="宋体"/>
          <w:sz w:val="18"/>
          <w:szCs w:val="18"/>
          <w:highlight w:val="none"/>
        </w:rPr>
        <w:t>5.14及时回复公司有关融资项目的咨询并提供相关建议，如交易结构、交易进度等其他与完成融资项目有关的事宜。</w:t>
      </w:r>
    </w:p>
    <w:p>
      <w:pPr>
        <w:spacing w:line="360" w:lineRule="exact"/>
        <w:rPr>
          <w:rFonts w:ascii="宋体" w:hAnsi="宋体" w:cs="宋体"/>
          <w:sz w:val="18"/>
          <w:szCs w:val="18"/>
          <w:highlight w:val="none"/>
        </w:rPr>
      </w:pPr>
      <w:r>
        <w:rPr>
          <w:rFonts w:hint="eastAsia" w:ascii="宋体" w:hAnsi="宋体" w:cs="宋体"/>
          <w:sz w:val="18"/>
          <w:szCs w:val="18"/>
          <w:highlight w:val="none"/>
        </w:rPr>
        <w:t>5.15除双方明确书面同意的情形外，乙方将不予提供涉及税务、法律、会计及其它专业或技术咨询或服务事项的意见，不承担相应的法律责任。</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6.1本协议项下有关财务顾问费的认定及计算仅与乙方为甲方对接或服务的投资者与甲方的交易金额进行挂钩，甲方不得以任何理由和借口克扣财务顾问费。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6.2根据甲方与乙方对接或服务的投资者达成的共识，无论最终的交易方案是否与原有设定的交易方案相同，交易完成后，甲方均应按照以下方式向乙方支付财务顾问费（本协议所述财务顾问费均为含税金额）：</w:t>
      </w:r>
    </w:p>
    <w:p>
      <w:pPr>
        <w:spacing w:line="360" w:lineRule="exact"/>
        <w:rPr>
          <w:rFonts w:ascii="宋体" w:hAnsi="宋体" w:cs="宋体"/>
          <w:sz w:val="18"/>
          <w:szCs w:val="18"/>
          <w:highlight w:val="none"/>
        </w:rPr>
      </w:pPr>
      <w:r>
        <w:rPr>
          <w:rFonts w:ascii="宋体" w:hAnsi="宋体" w:cs="宋体"/>
          <w:sz w:val="18"/>
          <w:szCs w:val="18"/>
          <w:highlight w:val="none"/>
        </w:rPr>
        <w:t>6</w:t>
      </w:r>
      <w:r>
        <w:rPr>
          <w:rFonts w:hint="eastAsia" w:ascii="宋体" w:hAnsi="宋体" w:cs="宋体"/>
          <w:sz w:val="18"/>
          <w:szCs w:val="18"/>
          <w:highlight w:val="none"/>
        </w:rPr>
        <w:t>.</w:t>
      </w:r>
      <w:r>
        <w:rPr>
          <w:rFonts w:ascii="宋体" w:hAnsi="宋体" w:cs="宋体"/>
          <w:sz w:val="18"/>
          <w:szCs w:val="18"/>
          <w:highlight w:val="none"/>
        </w:rPr>
        <w:t>2</w:t>
      </w:r>
      <w:r>
        <w:rPr>
          <w:rFonts w:hint="eastAsia" w:ascii="宋体" w:hAnsi="宋体" w:cs="宋体"/>
          <w:sz w:val="18"/>
          <w:szCs w:val="18"/>
          <w:highlight w:val="none"/>
        </w:rPr>
        <w:t>.</w:t>
      </w:r>
      <w:r>
        <w:rPr>
          <w:rFonts w:ascii="宋体" w:hAnsi="宋体" w:cs="宋体"/>
          <w:sz w:val="18"/>
          <w:szCs w:val="18"/>
          <w:highlight w:val="none"/>
        </w:rPr>
        <w:t xml:space="preserve">1 </w:t>
      </w:r>
      <w:r>
        <w:rPr>
          <w:rFonts w:hint="eastAsia" w:ascii="宋体" w:hAnsi="宋体" w:cs="宋体"/>
          <w:sz w:val="18"/>
          <w:szCs w:val="18"/>
          <w:highlight w:val="none"/>
        </w:rPr>
        <w:t>对于乙方对接的投资者，如果该等投资者最终与甲方达成交易，甲方应在收到该等投资者相关款项之后5个工作日向乙方支付财务顾问费，财务顾问费为该等投资者与甲方交易金额的3%（百分之三）。若该等投资者的交易款项分批次给付，则该部分交易款项所对应财务顾问费也将分批次支付。</w:t>
      </w:r>
    </w:p>
    <w:p>
      <w:pPr>
        <w:spacing w:line="360" w:lineRule="exact"/>
        <w:rPr>
          <w:rFonts w:ascii="宋体" w:hAnsi="宋体" w:cs="宋体"/>
          <w:sz w:val="18"/>
          <w:szCs w:val="18"/>
          <w:highlight w:val="none"/>
        </w:rPr>
      </w:pPr>
      <w:r>
        <w:rPr>
          <w:rFonts w:hint="eastAsia" w:ascii="宋体" w:hAnsi="宋体" w:cs="宋体"/>
          <w:sz w:val="18"/>
          <w:szCs w:val="18"/>
          <w:highlight w:val="none"/>
        </w:rPr>
        <w:t>6.2.2 若乙方对接的投资者为产业投资方，且与甲方达成交易的，除上述财务顾问费外，甲方同意额外向乙方支付该交易金额的1%作为给到乙方的奖励；若乙方对接的投资者与甲方交易的条款获得甲方认可，除上述财务顾问费外，甲方也同意额外向乙方支付该交易金额的1%作为给到乙方的奖励。即除财务顾问费外，甲方最多可以支付乙方对接的投资者与甲方交易金额的2%作为给到乙方的奖励。</w:t>
      </w:r>
    </w:p>
    <w:p>
      <w:pPr>
        <w:spacing w:line="360" w:lineRule="exact"/>
        <w:rPr>
          <w:rFonts w:ascii="宋体" w:hAnsi="宋体" w:cs="宋体"/>
          <w:sz w:val="18"/>
          <w:szCs w:val="18"/>
          <w:highlight w:val="none"/>
        </w:rPr>
      </w:pPr>
      <w:r>
        <w:rPr>
          <w:rFonts w:hint="eastAsia" w:ascii="宋体" w:hAnsi="宋体" w:cs="宋体"/>
          <w:sz w:val="18"/>
          <w:szCs w:val="18"/>
          <w:highlight w:val="none"/>
        </w:rPr>
        <w:t>6.3乙方对接的投资者包括不限于乙方为甲方对接的通过微信、面谈等形式与甲方建立沟通或联系的投资者（拟向甲方投资的法人、单位、机构、自然人或其他组织）、及/或该等投资者的关联方、及/或该等投资者或关联方指定或转介绍的其他投资者等。</w:t>
      </w:r>
    </w:p>
    <w:p>
      <w:pPr>
        <w:spacing w:line="360" w:lineRule="exact"/>
        <w:rPr>
          <w:rFonts w:ascii="宋体" w:hAnsi="宋体" w:cs="宋体"/>
          <w:sz w:val="18"/>
          <w:szCs w:val="18"/>
          <w:highlight w:val="none"/>
        </w:rPr>
      </w:pPr>
      <w:r>
        <w:rPr>
          <w:rFonts w:ascii="宋体" w:hAnsi="宋体" w:cs="宋体"/>
          <w:sz w:val="18"/>
          <w:szCs w:val="18"/>
          <w:highlight w:val="none"/>
        </w:rPr>
        <w:t>6.4</w:t>
      </w:r>
      <w:r>
        <w:rPr>
          <w:rFonts w:hint="eastAsia" w:ascii="宋体" w:hAnsi="宋体" w:cs="宋体"/>
          <w:sz w:val="18"/>
          <w:szCs w:val="18"/>
          <w:highlight w:val="none"/>
        </w:rPr>
        <w:t>财务顾问费应以人民币结算，如交易金额为外币，则甲方以收到交易款项当日的汇率折算人民币向乙方支付财务顾问费；如交易含非货币资产</w:t>
      </w:r>
      <w:r>
        <w:rPr>
          <w:rFonts w:ascii="宋体" w:hAnsi="宋体" w:cs="宋体"/>
          <w:sz w:val="18"/>
          <w:szCs w:val="18"/>
          <w:highlight w:val="none"/>
        </w:rPr>
        <w:t>，</w:t>
      </w:r>
      <w:r>
        <w:rPr>
          <w:rFonts w:hint="eastAsia" w:ascii="宋体" w:hAnsi="宋体" w:cs="宋体"/>
          <w:sz w:val="18"/>
          <w:szCs w:val="18"/>
          <w:highlight w:val="none"/>
        </w:rPr>
        <w:t>则甲方应按照达成交易当日的市场公允价值向乙方支付财务顾问费。</w:t>
      </w:r>
    </w:p>
    <w:p>
      <w:pPr>
        <w:spacing w:line="360" w:lineRule="exact"/>
        <w:rPr>
          <w:rFonts w:ascii="宋体" w:hAnsi="宋体" w:cs="宋体"/>
          <w:sz w:val="18"/>
          <w:szCs w:val="18"/>
          <w:highlight w:val="none"/>
        </w:rPr>
      </w:pPr>
      <w:r>
        <w:rPr>
          <w:rFonts w:hint="eastAsia" w:ascii="宋体" w:hAnsi="宋体" w:cs="宋体"/>
          <w:sz w:val="18"/>
          <w:szCs w:val="18"/>
          <w:highlight w:val="none"/>
        </w:rPr>
        <w:t>6.</w:t>
      </w:r>
      <w:r>
        <w:rPr>
          <w:rFonts w:ascii="宋体" w:hAnsi="宋体" w:cs="宋体"/>
          <w:sz w:val="18"/>
          <w:szCs w:val="18"/>
          <w:highlight w:val="none"/>
        </w:rPr>
        <w:t>5</w:t>
      </w:r>
      <w:r>
        <w:rPr>
          <w:rFonts w:hint="eastAsia" w:ascii="宋体" w:hAnsi="宋体" w:cs="宋体"/>
          <w:sz w:val="18"/>
          <w:szCs w:val="18"/>
          <w:highlight w:val="none"/>
        </w:rPr>
        <w:t>如甲方未按照本协议约定如期足额支付财务顾问费，应向乙方按日支付相当于应付款项万分之五的违约滞纳金，直至乙方收到全部款项为止。</w:t>
      </w:r>
    </w:p>
    <w:p>
      <w:pPr>
        <w:spacing w:line="360" w:lineRule="exact"/>
        <w:rPr>
          <w:rFonts w:ascii="宋体" w:hAnsi="宋体" w:cs="宋体"/>
          <w:sz w:val="18"/>
          <w:szCs w:val="18"/>
          <w:highlight w:val="none"/>
        </w:rPr>
      </w:pPr>
      <w:r>
        <w:rPr>
          <w:rFonts w:ascii="宋体" w:hAnsi="宋体" w:cs="宋体"/>
          <w:sz w:val="18"/>
          <w:szCs w:val="18"/>
          <w:highlight w:val="none"/>
        </w:rPr>
        <w:t>6.6合作期间，甲方未履行告知义务，且与乙方对接</w:t>
      </w:r>
      <w:r>
        <w:rPr>
          <w:rFonts w:hint="eastAsia" w:ascii="宋体" w:hAnsi="宋体" w:cs="宋体"/>
          <w:sz w:val="18"/>
          <w:szCs w:val="18"/>
          <w:highlight w:val="none"/>
        </w:rPr>
        <w:t>且服务的投资者达成交易的，甲方应以对应的交易金额为基数按本协议约定支付财务顾问费，并按全部财务顾问费的百分之十支付违约金。</w:t>
      </w:r>
    </w:p>
    <w:p>
      <w:pPr>
        <w:spacing w:line="360" w:lineRule="exact"/>
        <w:rPr>
          <w:rFonts w:ascii="宋体" w:hAnsi="宋体" w:cs="宋体"/>
          <w:sz w:val="18"/>
          <w:szCs w:val="18"/>
          <w:highlight w:val="none"/>
        </w:rPr>
      </w:pPr>
      <w:r>
        <w:rPr>
          <w:rFonts w:hint="eastAsia" w:ascii="宋体" w:hAnsi="宋体" w:cs="宋体"/>
          <w:sz w:val="18"/>
          <w:szCs w:val="18"/>
          <w:highlight w:val="none"/>
        </w:rPr>
        <w:t>6.</w:t>
      </w:r>
      <w:r>
        <w:rPr>
          <w:rFonts w:ascii="宋体" w:hAnsi="宋体" w:cs="宋体"/>
          <w:sz w:val="18"/>
          <w:szCs w:val="18"/>
          <w:highlight w:val="none"/>
        </w:rPr>
        <w:t>7</w:t>
      </w:r>
      <w:r>
        <w:rPr>
          <w:rFonts w:hint="eastAsia" w:ascii="宋体" w:hAnsi="宋体" w:cs="宋体"/>
          <w:sz w:val="18"/>
          <w:szCs w:val="18"/>
          <w:highlight w:val="none"/>
        </w:rPr>
        <w:t>在本协议终止后12个月内，甲方如果达成符合如下情况的融资或收购合并交易协议：协议下的投资者或买方是在乙方的聘任期内或由乙方对接与甲方及目标公司接触的，或乙方提供服务有协助或参与相关谈判的，乙方仍有权在交易完成后收取本协议规定的全部财务顾问费，甲方应当自其全部交易金额到账并进入可支取状态后，或者并购完成之日（以较晚者为准）起十个工作日内一次性将财务顾问费支付至乙方指定的账户。</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委托</w:t>
      </w:r>
    </w:p>
    <w:p>
      <w:pPr>
        <w:spacing w:line="360" w:lineRule="exact"/>
        <w:rPr>
          <w:rFonts w:ascii="宋体" w:hAnsi="宋体" w:cs="宋体"/>
          <w:sz w:val="18"/>
          <w:szCs w:val="18"/>
          <w:highlight w:val="none"/>
        </w:rPr>
      </w:pPr>
      <w:r>
        <w:rPr>
          <w:rFonts w:hint="eastAsia" w:ascii="宋体" w:hAnsi="宋体" w:cs="宋体"/>
          <w:sz w:val="18"/>
          <w:szCs w:val="18"/>
          <w:highlight w:val="none"/>
        </w:rPr>
        <w:t>本协议一方未经协议另一方的书面同意不得将本协议项下的权利和义务全部或部分转让给本协议以外的第三方，甲方或者乙方控制的其它主体除外。</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保密义务</w:t>
      </w:r>
    </w:p>
    <w:p>
      <w:pPr>
        <w:spacing w:line="360" w:lineRule="exact"/>
        <w:rPr>
          <w:rFonts w:ascii="宋体" w:hAnsi="宋体" w:cs="宋体"/>
          <w:sz w:val="18"/>
          <w:szCs w:val="18"/>
          <w:highlight w:val="none"/>
        </w:rPr>
      </w:pPr>
      <w:r>
        <w:rPr>
          <w:rFonts w:hint="eastAsia" w:ascii="宋体" w:hAnsi="宋体" w:cs="宋体"/>
          <w:sz w:val="18"/>
          <w:szCs w:val="18"/>
          <w:highlight w:val="none"/>
        </w:rPr>
        <w:t>8.1除根据有关法律、法规、中国证券监督管理委员会及交易所的有关规定，履行相关申报审批手续和信息披露义务及本协议约定外，双方不得以任何形式向与本次融资无关的任何第三方披露与本次融资有关的任何信息。</w:t>
      </w:r>
    </w:p>
    <w:p>
      <w:pPr>
        <w:spacing w:line="360" w:lineRule="exact"/>
        <w:rPr>
          <w:rFonts w:ascii="宋体" w:hAnsi="宋体" w:cs="宋体"/>
          <w:sz w:val="18"/>
          <w:szCs w:val="18"/>
          <w:highlight w:val="none"/>
        </w:rPr>
      </w:pPr>
      <w:r>
        <w:rPr>
          <w:rFonts w:hint="eastAsia" w:ascii="宋体" w:hAnsi="宋体" w:cs="宋体"/>
          <w:sz w:val="18"/>
          <w:szCs w:val="18"/>
          <w:highlight w:val="none"/>
        </w:rPr>
        <w:t>8.2乙方应承担保密的义务，非经甲方书面同意，在任何条件下不得向任何无关的第三方透露与本次财务顾问工作相关的一切内容及有关业务资料以及乙方在履行本协议过程中知悉的公司商业秘密，但进行必要工作而向其雇员作必要的披露除外，但雇员承担不低于乙方的保密责任，且乙方就雇员责任承担连带责任。乙方为本次合作之目的，向潜在投资者进行的保密信息披露，不应被视为违反本协议保密义务的规定，但前提是该投资者已与甲方签署了保密协议。乙方不得恶意利用合作中取得的公司的任何内幕信息，且乙方不得有损公司商誉或其他利益的任何行为。</w:t>
      </w:r>
    </w:p>
    <w:p>
      <w:pPr>
        <w:spacing w:line="360" w:lineRule="exact"/>
        <w:rPr>
          <w:rFonts w:ascii="宋体" w:hAnsi="宋体" w:cs="宋体"/>
          <w:sz w:val="18"/>
          <w:szCs w:val="18"/>
          <w:highlight w:val="none"/>
        </w:rPr>
      </w:pPr>
      <w:r>
        <w:rPr>
          <w:rFonts w:hint="eastAsia" w:ascii="宋体" w:hAnsi="宋体" w:cs="宋体"/>
          <w:sz w:val="18"/>
          <w:szCs w:val="18"/>
          <w:highlight w:val="none"/>
        </w:rPr>
        <w:t>8.3甲方应对其在履行本协议过程中所获得或知悉的乙方的商业秘密承担保密责任，且不得有损害乙方商誉或其他利益的任何行为。在未取得乙方书面同意的情况下，甲方不得擅自向第三方披露或不当地使用乙方为本次财务顾问工作所提供或出具的任何书面和口头的意见、文件和资料、投资者信息（包括名称、联系人、联系方式等）。甲方为进行必要工作而向公司关联方及其董事、管理人员、雇员、财务/专业顾问、律师和会计师、潜在投资者作必要的披露，不应被视为违反本协议保密义务的规定，但前提是甲方应确保前述人士遵守本协议项下的保密义务，如同其为本协议的当事方一样。</w:t>
      </w:r>
    </w:p>
    <w:p>
      <w:pPr>
        <w:spacing w:line="360" w:lineRule="exact"/>
        <w:rPr>
          <w:rFonts w:ascii="宋体" w:hAnsi="宋体" w:cs="宋体"/>
          <w:sz w:val="18"/>
          <w:szCs w:val="18"/>
          <w:highlight w:val="none"/>
        </w:rPr>
      </w:pPr>
      <w:r>
        <w:rPr>
          <w:rFonts w:hint="eastAsia" w:ascii="宋体" w:hAnsi="宋体" w:cs="宋体"/>
          <w:sz w:val="18"/>
          <w:szCs w:val="18"/>
          <w:highlight w:val="none"/>
        </w:rPr>
        <w:t>8.4上述保密义务在本协议有效期内以及本协议终止后两年内有效，违反上述保密义务给对方造成损失的，须负责给予对方赔偿及承担相应法律责任。</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违约责任</w:t>
      </w:r>
    </w:p>
    <w:p>
      <w:pPr>
        <w:spacing w:line="360" w:lineRule="exact"/>
        <w:rPr>
          <w:rFonts w:ascii="宋体" w:hAnsi="宋体" w:cs="宋体"/>
          <w:sz w:val="18"/>
          <w:szCs w:val="18"/>
          <w:highlight w:val="none"/>
        </w:rPr>
      </w:pPr>
      <w:r>
        <w:rPr>
          <w:rFonts w:hint="eastAsia" w:ascii="宋体" w:hAnsi="宋体" w:cs="宋体"/>
          <w:sz w:val="18"/>
          <w:szCs w:val="18"/>
          <w:highlight w:val="none"/>
        </w:rPr>
        <w:t>如果任何一方有违反本协议约定行为的，则首先协商，协商不成的，则违约方向守约方支付应付财务顾问费的百分之十作为违约金。如果违约金不足以弥补损失的，则违约方继续承担赔偿损失的责任。赔偿范围包括但不限于守约方的损失及为实现诉权支付的一切合理费用。</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不可抗力</w:t>
      </w:r>
    </w:p>
    <w:p>
      <w:pPr>
        <w:spacing w:line="360" w:lineRule="exact"/>
        <w:rPr>
          <w:rFonts w:ascii="宋体" w:hAnsi="宋体" w:cs="宋体"/>
          <w:sz w:val="18"/>
          <w:szCs w:val="18"/>
          <w:highlight w:val="none"/>
        </w:rPr>
      </w:pPr>
      <w:r>
        <w:rPr>
          <w:rFonts w:hint="eastAsia" w:ascii="宋体" w:hAnsi="宋体" w:cs="宋体"/>
          <w:sz w:val="18"/>
          <w:szCs w:val="18"/>
          <w:highlight w:val="none"/>
        </w:rPr>
        <w:t>10.1不可抗力包括任何不可预见、不可避免并且不能克服的客观情况，包括但不限于：国家政策法规的重大变化、地震、水灾、传染性疾病、国际制裁以及战争等情形，或这种客观情况已经或可能将会对本协议的一方或双方的业务状况、财务状况、公司前景或本协议的履行产生重大实质性不利影响的不可抗力事件。</w:t>
      </w:r>
    </w:p>
    <w:p>
      <w:pPr>
        <w:spacing w:line="360" w:lineRule="exact"/>
        <w:rPr>
          <w:rFonts w:ascii="宋体" w:hAnsi="宋体" w:cs="宋体"/>
          <w:sz w:val="18"/>
          <w:szCs w:val="18"/>
          <w:highlight w:val="none"/>
        </w:rPr>
      </w:pPr>
      <w:r>
        <w:rPr>
          <w:rFonts w:hint="eastAsia" w:ascii="宋体" w:hAnsi="宋体" w:cs="宋体"/>
          <w:sz w:val="18"/>
          <w:szCs w:val="18"/>
          <w:highlight w:val="none"/>
        </w:rPr>
        <w:t>10.2如果上述不可抗力事件的发生严重影响一方履行其在本协议项下的义务，则在不可抗力造成的延误期内中止履行不视为违约。宣称发生不可抗力事件的一方应迅速书面通知本协议他方，并在其后的十五天内提供证明不可抗力事件发生及其持续的足够证据。</w:t>
      </w:r>
    </w:p>
    <w:p>
      <w:pPr>
        <w:spacing w:line="360" w:lineRule="exact"/>
        <w:rPr>
          <w:rFonts w:ascii="宋体" w:hAnsi="宋体" w:cs="宋体"/>
          <w:sz w:val="18"/>
          <w:szCs w:val="18"/>
          <w:highlight w:val="none"/>
        </w:rPr>
      </w:pPr>
      <w:r>
        <w:rPr>
          <w:rFonts w:hint="eastAsia" w:ascii="宋体" w:hAnsi="宋体" w:cs="宋体"/>
          <w:sz w:val="18"/>
          <w:szCs w:val="18"/>
          <w:highlight w:val="none"/>
        </w:rPr>
        <w:t>10.3如果发生不可抗力事件，本协议双方应立即互相协商，以找到公平的解决办法，并且应尽一切合理努力将不可抗力事件的后果减小到最低限度，否则，未采取合理努力方应就扩大的损失对另一方承担相应的赔偿责任。如不可抗力事件的发生或后果对本协议的履行造成重大妨碍，并且本协议双方未找到公平的解决办法，则经协商一致同意，本协议可终止。</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法律适用和争议解决</w:t>
      </w:r>
    </w:p>
    <w:p>
      <w:pPr>
        <w:spacing w:line="360" w:lineRule="exact"/>
        <w:rPr>
          <w:rFonts w:ascii="宋体" w:hAnsi="宋体" w:cs="宋体"/>
          <w:sz w:val="18"/>
          <w:szCs w:val="18"/>
          <w:highlight w:val="none"/>
        </w:rPr>
      </w:pPr>
      <w:r>
        <w:rPr>
          <w:rFonts w:hint="eastAsia" w:ascii="宋体" w:hAnsi="宋体" w:cs="宋体"/>
          <w:sz w:val="18"/>
          <w:szCs w:val="18"/>
          <w:highlight w:val="none"/>
        </w:rPr>
        <w:t>11.1本协议受中华人民共和国法律管辖与解释。</w:t>
      </w:r>
    </w:p>
    <w:p>
      <w:pPr>
        <w:spacing w:line="360" w:lineRule="exact"/>
        <w:rPr>
          <w:rFonts w:ascii="宋体" w:hAnsi="宋体" w:cs="宋体"/>
          <w:sz w:val="18"/>
          <w:szCs w:val="18"/>
          <w:highlight w:val="none"/>
        </w:rPr>
      </w:pPr>
      <w:r>
        <w:rPr>
          <w:rFonts w:hint="eastAsia" w:ascii="宋体" w:hAnsi="宋体" w:cs="宋体"/>
          <w:sz w:val="18"/>
          <w:szCs w:val="18"/>
          <w:highlight w:val="none"/>
        </w:rPr>
        <w:t>11.2凡因本协议所发生的或与之相关的任何争议，应首先由双方友好协商解决。如自一方提出协商，三十日内双方协商不能解决或一方不愿通过协商解决的，任何一方均可向原告所在地的人民法院提起诉讼。</w:t>
      </w:r>
    </w:p>
    <w:p>
      <w:pPr>
        <w:pStyle w:val="14"/>
        <w:numPr>
          <w:ilvl w:val="0"/>
          <w:numId w:val="2"/>
        </w:numPr>
        <w:spacing w:line="360" w:lineRule="exact"/>
        <w:ind w:firstLineChars="0"/>
        <w:rPr>
          <w:rFonts w:ascii="宋体" w:hAnsi="宋体" w:cs="宋体"/>
          <w:b/>
          <w:bCs/>
          <w:sz w:val="18"/>
          <w:szCs w:val="18"/>
          <w:highlight w:val="none"/>
        </w:rPr>
      </w:pPr>
      <w:r>
        <w:rPr>
          <w:rFonts w:hint="eastAsia" w:ascii="宋体" w:hAnsi="宋体" w:cs="宋体"/>
          <w:b/>
          <w:bCs/>
          <w:sz w:val="18"/>
          <w:szCs w:val="18"/>
          <w:highlight w:val="none"/>
        </w:rPr>
        <w:t>生效及其他</w:t>
      </w:r>
    </w:p>
    <w:p>
      <w:pPr>
        <w:spacing w:line="360" w:lineRule="exact"/>
        <w:rPr>
          <w:rFonts w:ascii="宋体" w:hAnsi="宋体" w:cs="宋体"/>
          <w:sz w:val="18"/>
          <w:szCs w:val="18"/>
          <w:highlight w:val="none"/>
        </w:rPr>
      </w:pPr>
      <w:r>
        <w:rPr>
          <w:rFonts w:hint="eastAsia" w:ascii="宋体" w:hAnsi="宋体" w:cs="宋体"/>
          <w:sz w:val="18"/>
          <w:szCs w:val="18"/>
          <w:highlight w:val="none"/>
        </w:rPr>
        <w:t>12.1本协议自甲乙方双方法定代表人（或授权代表）签字或盖章或提供实际服务开始（实际服务包括但不限于乙方协助甲方和投资者通过电话、微信、面谈等形式建立沟通或联系）之日起生效。</w:t>
      </w:r>
    </w:p>
    <w:p>
      <w:pPr>
        <w:spacing w:line="360" w:lineRule="exact"/>
        <w:rPr>
          <w:rFonts w:ascii="宋体" w:hAnsi="宋体" w:cs="宋体"/>
          <w:sz w:val="18"/>
          <w:szCs w:val="18"/>
          <w:highlight w:val="none"/>
        </w:rPr>
      </w:pPr>
      <w:r>
        <w:rPr>
          <w:rFonts w:hint="eastAsia" w:ascii="宋体" w:hAnsi="宋体" w:cs="宋体"/>
          <w:sz w:val="18"/>
          <w:szCs w:val="18"/>
          <w:highlight w:val="none"/>
        </w:rPr>
        <w:t>12.2本协议一式贰份，双方各执壹份，具有同等法律效力。</w:t>
      </w:r>
    </w:p>
    <w:p>
      <w:pPr>
        <w:spacing w:line="360" w:lineRule="exact"/>
        <w:rPr>
          <w:rFonts w:ascii="宋体" w:hAnsi="宋体" w:cs="宋体"/>
          <w:sz w:val="18"/>
          <w:szCs w:val="18"/>
          <w:highlight w:val="none"/>
        </w:rPr>
      </w:pPr>
      <w:r>
        <w:rPr>
          <w:rFonts w:hint="eastAsia" w:ascii="宋体" w:hAnsi="宋体" w:cs="宋体"/>
          <w:sz w:val="18"/>
          <w:szCs w:val="18"/>
          <w:highlight w:val="none"/>
        </w:rPr>
        <w:t>12.4本协议未尽事宜经双方协商一致后，双方可另行签订补充协议或以确认函形式予以确定，所签补充协议和确认函与本协议不一致的，以所签补充协议和确认函为准。</w:t>
      </w:r>
    </w:p>
    <w:p>
      <w:pPr>
        <w:spacing w:line="360" w:lineRule="exact"/>
        <w:rPr>
          <w:rFonts w:ascii="宋体" w:hAnsi="宋体" w:cs="宋体"/>
          <w:sz w:val="18"/>
          <w:szCs w:val="18"/>
          <w:highlight w:val="none"/>
        </w:rPr>
      </w:pPr>
      <w:r>
        <w:rPr>
          <w:rFonts w:hint="eastAsia" w:ascii="宋体" w:hAnsi="宋体" w:cs="宋体"/>
          <w:sz w:val="18"/>
          <w:szCs w:val="18"/>
          <w:highlight w:val="none"/>
        </w:rPr>
        <w:t>12.5如乙方成功帮助甲方完成本轮融资，则乙方在协议终止后有权在同等条件下优先与甲方续约或签署新的财务顾问协议，具体条款下一轮融资时双方另行协商。</w:t>
      </w:r>
    </w:p>
    <w:p>
      <w:pPr>
        <w:spacing w:line="360" w:lineRule="exact"/>
        <w:rPr>
          <w:rFonts w:ascii="宋体" w:hAnsi="宋体" w:cs="宋体"/>
          <w:sz w:val="18"/>
          <w:szCs w:val="18"/>
          <w:highlight w:val="none"/>
        </w:rPr>
      </w:pPr>
      <w:r>
        <w:rPr>
          <w:rFonts w:hint="eastAsia" w:ascii="宋体" w:hAnsi="宋体" w:cs="宋体"/>
          <w:sz w:val="18"/>
          <w:szCs w:val="18"/>
          <w:highlight w:val="none"/>
        </w:rPr>
        <w:t>12.6本协议中的标题仅为方便阅读而设，在任何情况下不得对标题作出影响具体条款内容的解释。</w:t>
      </w:r>
    </w:p>
    <w:p>
      <w:pPr>
        <w:spacing w:line="360" w:lineRule="exact"/>
        <w:rPr>
          <w:rFonts w:ascii="宋体" w:hAnsi="宋体" w:cs="宋体"/>
          <w:sz w:val="18"/>
          <w:szCs w:val="18"/>
          <w:highlight w:val="none"/>
        </w:rPr>
      </w:pPr>
      <w:r>
        <w:rPr>
          <w:rFonts w:hint="eastAsia" w:ascii="宋体" w:hAnsi="宋体" w:cs="宋体"/>
          <w:sz w:val="18"/>
          <w:szCs w:val="18"/>
          <w:highlight w:val="none"/>
        </w:rPr>
        <w:t>12.7如本协议的任何条款由于不符合法律法规的规定而无效，并不因此导致整个协议的无效。双方可根据协议的本意重新达成有关约定。</w:t>
      </w:r>
    </w:p>
    <w:p>
      <w:pPr>
        <w:spacing w:line="360" w:lineRule="exact"/>
        <w:rPr>
          <w:rFonts w:ascii="宋体" w:hAnsi="宋体" w:cs="宋体"/>
          <w:sz w:val="18"/>
          <w:szCs w:val="18"/>
          <w:highlight w:val="none"/>
        </w:rPr>
      </w:pPr>
      <w:r>
        <w:rPr>
          <w:rFonts w:hint="eastAsia" w:ascii="宋体" w:hAnsi="宋体" w:cs="宋体"/>
          <w:sz w:val="18"/>
          <w:szCs w:val="18"/>
          <w:highlight w:val="none"/>
        </w:rPr>
        <w:t>12.8本协议变更、解除或者终止后，协议中的排他性条款、争议条款、违约规定条款仍然对双方具有法律约束力。</w:t>
      </w:r>
    </w:p>
    <w:p>
      <w:pPr>
        <w:rPr>
          <w:rFonts w:ascii="宋体" w:hAnsi="宋体" w:cs="宋体"/>
          <w:sz w:val="18"/>
          <w:szCs w:val="18"/>
          <w:highlight w:val="none"/>
        </w:rPr>
      </w:pPr>
      <w:r>
        <w:rPr>
          <w:rFonts w:hint="eastAsia" w:ascii="宋体" w:hAnsi="宋体" w:cs="宋体"/>
          <w:sz w:val="18"/>
          <w:szCs w:val="18"/>
          <w:highlight w:val="none"/>
        </w:rPr>
        <w:br w:type="page"/>
      </w:r>
    </w:p>
    <w:p>
      <w:pPr>
        <w:pStyle w:val="2"/>
        <w:spacing w:after="150" w:afterAutospacing="0"/>
        <w:rPr>
          <w:rFonts w:ascii="宋体" w:hAnsi="宋体" w:cs="宋体"/>
          <w:b w:val="0"/>
          <w:sz w:val="18"/>
          <w:szCs w:val="18"/>
          <w:highlight w:val="none"/>
        </w:rPr>
      </w:pPr>
      <w:r>
        <w:rPr>
          <w:rFonts w:hint="eastAsia" w:ascii="宋体" w:hAnsi="宋体" w:cs="宋体"/>
          <w:b w:val="0"/>
          <w:sz w:val="18"/>
          <w:szCs w:val="18"/>
          <w:highlight w:val="none"/>
        </w:rPr>
        <w:t>【</w:t>
      </w:r>
      <w:r>
        <w:rPr>
          <w:highlight w:val="none"/>
        </w:rPr>
        <w:fldChar w:fldCharType="begin"/>
      </w:r>
      <w:r>
        <w:rPr>
          <w:highlight w:val="none"/>
        </w:rPr>
        <w:instrText xml:space="preserve"> HYPERLINK "http://www.baidu.com/link?url=aR85yDhEV4zTr8TEjos00xCN703YJuciYSXgq1Vl9Cuz8DSsYgkhLIGkCfvA6IPZ6ZL8HqV8-0jkQellVoSCsq" \t "https://www.baidu.com/_blank" </w:instrText>
      </w:r>
      <w:r>
        <w:rPr>
          <w:highlight w:val="none"/>
        </w:rPr>
        <w:fldChar w:fldCharType="separate"/>
      </w:r>
      <w:r>
        <w:rPr>
          <w:rFonts w:hint="eastAsia" w:ascii="宋体" w:hAnsi="宋体" w:cs="宋体"/>
          <w:b w:val="0"/>
          <w:sz w:val="18"/>
          <w:szCs w:val="18"/>
          <w:highlight w:val="none"/>
        </w:rPr>
        <w:t>本页无正文 为签字盖章页</w:t>
      </w:r>
      <w:r>
        <w:rPr>
          <w:rFonts w:hint="eastAsia" w:ascii="宋体" w:hAnsi="宋体" w:cs="宋体"/>
          <w:b w:val="0"/>
          <w:sz w:val="18"/>
          <w:szCs w:val="18"/>
          <w:highlight w:val="none"/>
        </w:rPr>
        <w:fldChar w:fldCharType="end"/>
      </w:r>
      <w:r>
        <w:rPr>
          <w:rFonts w:hint="eastAsia" w:ascii="宋体" w:hAnsi="宋体" w:cs="宋体"/>
          <w:b w:val="0"/>
          <w:sz w:val="18"/>
          <w:szCs w:val="18"/>
          <w:highlight w:val="none"/>
        </w:rPr>
        <w:t>】</w:t>
      </w:r>
    </w:p>
    <w:p>
      <w:pPr>
        <w:pStyle w:val="2"/>
        <w:spacing w:after="150" w:afterAutospacing="0"/>
        <w:rPr>
          <w:rFonts w:ascii="宋体" w:hAnsi="宋体" w:cs="宋体"/>
          <w:b w:val="0"/>
          <w:sz w:val="18"/>
          <w:szCs w:val="18"/>
          <w:highlight w:val="none"/>
        </w:rPr>
      </w:pPr>
    </w:p>
    <w:p>
      <w:pPr>
        <w:pStyle w:val="2"/>
        <w:spacing w:after="150" w:afterAutospacing="0"/>
        <w:rPr>
          <w:rFonts w:ascii="宋体" w:hAnsi="宋体" w:cs="宋体"/>
          <w:b w:val="0"/>
          <w:sz w:val="18"/>
          <w:szCs w:val="18"/>
          <w:highlight w:val="none"/>
        </w:rPr>
      </w:pPr>
    </w:p>
    <w:p>
      <w:pPr>
        <w:pStyle w:val="2"/>
        <w:spacing w:after="150" w:afterAutospacing="0"/>
        <w:rPr>
          <w:rFonts w:ascii="宋体" w:hAnsi="宋体" w:cs="宋体"/>
          <w:b w:val="0"/>
          <w:bCs w:val="0"/>
          <w:color w:val="FFFFFF"/>
          <w:sz w:val="18"/>
          <w:szCs w:val="18"/>
          <w:highlight w:val="none"/>
        </w:rPr>
      </w:pPr>
      <w:r>
        <w:rPr>
          <w:rFonts w:hint="eastAsia" w:ascii="宋体" w:hAnsi="宋体" w:cs="宋体"/>
          <w:b w:val="0"/>
          <w:sz w:val="18"/>
          <w:szCs w:val="18"/>
          <w:highlight w:val="none"/>
        </w:rPr>
        <w:t>甲方（盖章）：河北光华荣昌汽车部件有限公司</w:t>
      </w:r>
    </w:p>
    <w:p>
      <w:pPr>
        <w:rPr>
          <w:rFonts w:ascii="宋体" w:hAnsi="宋体" w:cs="宋体"/>
          <w:sz w:val="18"/>
          <w:szCs w:val="18"/>
          <w:highlight w:val="none"/>
        </w:rPr>
      </w:pPr>
      <w:r>
        <w:rPr>
          <w:rFonts w:hint="eastAsia" w:ascii="宋体" w:hAnsi="宋体" w:cs="宋体"/>
          <w:sz w:val="18"/>
          <w:szCs w:val="18"/>
          <w:highlight w:val="none"/>
        </w:rPr>
        <w:t>法定代表人（签字）：【   赵月强   】</w:t>
      </w:r>
    </w:p>
    <w:p>
      <w:pPr>
        <w:spacing w:beforeLines="50" w:afterLines="50" w:line="400" w:lineRule="exact"/>
        <w:rPr>
          <w:rFonts w:ascii="宋体" w:hAnsi="宋体" w:cs="宋体"/>
          <w:sz w:val="18"/>
          <w:szCs w:val="18"/>
          <w:highlight w:val="none"/>
        </w:rPr>
      </w:pPr>
      <w:r>
        <w:rPr>
          <w:rFonts w:hint="eastAsia" w:ascii="宋体" w:hAnsi="宋体" w:cs="宋体"/>
          <w:sz w:val="18"/>
          <w:szCs w:val="18"/>
          <w:highlight w:val="none"/>
        </w:rPr>
        <w:t xml:space="preserve">2025年【  4  】月【   8   】日 </w:t>
      </w:r>
    </w:p>
    <w:p>
      <w:pPr>
        <w:rPr>
          <w:rFonts w:ascii="宋体" w:hAnsi="宋体" w:cs="宋体"/>
          <w:sz w:val="18"/>
          <w:szCs w:val="18"/>
          <w:highlight w:val="none"/>
        </w:rPr>
      </w:pPr>
      <w:r>
        <w:rPr>
          <w:rFonts w:hint="eastAsia" w:ascii="宋体" w:hAnsi="宋体" w:cs="宋体"/>
          <w:sz w:val="18"/>
          <w:szCs w:val="18"/>
          <w:highlight w:val="none"/>
        </w:rPr>
        <w:t>公司地址：黄骅经济开发区</w:t>
      </w:r>
    </w:p>
    <w:p>
      <w:pPr>
        <w:spacing w:beforeLines="50" w:afterLines="50" w:line="400" w:lineRule="exact"/>
        <w:rPr>
          <w:rFonts w:ascii="宋体" w:hAnsi="宋体" w:cs="宋体"/>
          <w:sz w:val="18"/>
          <w:szCs w:val="18"/>
          <w:highlight w:val="none"/>
        </w:rPr>
      </w:pPr>
    </w:p>
    <w:p>
      <w:pPr>
        <w:spacing w:beforeLines="50" w:afterLines="50" w:line="400" w:lineRule="exact"/>
        <w:rPr>
          <w:rFonts w:ascii="宋体" w:hAnsi="宋体" w:cs="宋体"/>
          <w:sz w:val="18"/>
          <w:szCs w:val="18"/>
          <w:highlight w:val="none"/>
        </w:rPr>
      </w:pPr>
    </w:p>
    <w:p>
      <w:pPr>
        <w:spacing w:beforeLines="50" w:afterLines="50" w:line="400" w:lineRule="exact"/>
        <w:rPr>
          <w:rFonts w:ascii="宋体" w:hAnsi="宋体" w:cs="宋体"/>
          <w:sz w:val="18"/>
          <w:szCs w:val="18"/>
          <w:highlight w:val="none"/>
        </w:rPr>
      </w:pPr>
      <w:r>
        <w:rPr>
          <w:rFonts w:hint="eastAsia" w:ascii="宋体" w:hAnsi="宋体" w:cs="宋体"/>
          <w:sz w:val="18"/>
          <w:szCs w:val="18"/>
          <w:highlight w:val="none"/>
        </w:rPr>
        <w:t>乙方（盖章）：苏州万创财务咨询有限</w:t>
      </w:r>
      <w:bookmarkStart w:id="0" w:name="_Hlk134620745"/>
      <w:r>
        <w:rPr>
          <w:rFonts w:hint="eastAsia" w:ascii="宋体" w:hAnsi="宋体" w:cs="宋体"/>
          <w:sz w:val="18"/>
          <w:szCs w:val="18"/>
          <w:highlight w:val="none"/>
        </w:rPr>
        <w:t>公司</w:t>
      </w:r>
      <w:bookmarkEnd w:id="0"/>
    </w:p>
    <w:p>
      <w:pPr>
        <w:rPr>
          <w:rFonts w:ascii="宋体" w:hAnsi="宋体" w:cs="宋体"/>
          <w:sz w:val="18"/>
          <w:szCs w:val="18"/>
          <w:highlight w:val="none"/>
        </w:rPr>
      </w:pPr>
      <w:r>
        <w:rPr>
          <w:rFonts w:hint="eastAsia" w:ascii="宋体" w:hAnsi="宋体" w:cs="宋体"/>
          <w:sz w:val="18"/>
          <w:szCs w:val="18"/>
          <w:highlight w:val="none"/>
        </w:rPr>
        <w:t>法定代表人（签字）：【耿传虎】</w:t>
      </w:r>
    </w:p>
    <w:p>
      <w:pPr>
        <w:spacing w:beforeLines="50" w:afterLines="50" w:line="400" w:lineRule="exact"/>
        <w:rPr>
          <w:rFonts w:ascii="宋体" w:hAnsi="宋体" w:cs="宋体"/>
          <w:sz w:val="18"/>
          <w:szCs w:val="18"/>
          <w:highlight w:val="none"/>
        </w:rPr>
      </w:pPr>
      <w:r>
        <w:rPr>
          <w:rFonts w:hint="eastAsia" w:ascii="宋体" w:hAnsi="宋体" w:cs="宋体"/>
          <w:sz w:val="18"/>
          <w:szCs w:val="18"/>
          <w:highlight w:val="none"/>
        </w:rPr>
        <w:t xml:space="preserve">2025年【  4  】月【   8  】日 </w:t>
      </w:r>
    </w:p>
    <w:p>
      <w:pPr>
        <w:rPr>
          <w:rFonts w:ascii="宋体" w:hAnsi="宋体" w:cs="宋体"/>
          <w:sz w:val="18"/>
          <w:szCs w:val="18"/>
          <w:highlight w:val="none"/>
        </w:rPr>
      </w:pPr>
      <w:r>
        <w:rPr>
          <w:rFonts w:hint="eastAsia" w:ascii="宋体" w:hAnsi="宋体" w:cs="宋体"/>
          <w:sz w:val="18"/>
          <w:szCs w:val="18"/>
          <w:highlight w:val="none"/>
        </w:rPr>
        <w:t>公司地址：中国(江苏)自由贸易试验区苏州片区苏州工业园区苏州大道西9号苏州国际财富广场2幢2901室</w:t>
      </w:r>
    </w:p>
    <w:p>
      <w:pPr>
        <w:spacing w:line="360" w:lineRule="exact"/>
        <w:rPr>
          <w:rFonts w:ascii="宋体" w:hAnsi="宋体" w:cs="宋体"/>
          <w:sz w:val="18"/>
          <w:szCs w:val="18"/>
          <w:highlight w:val="none"/>
        </w:rPr>
      </w:pPr>
    </w:p>
    <w:p>
      <w:pPr>
        <w:ind w:firstLine="480" w:firstLineChars="200"/>
        <w:rPr>
          <w:rFonts w:ascii="宋体" w:hAnsi="宋体" w:cs="宋体"/>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儷宋 Pro">
    <w:panose1 w:val="02020300000000000000"/>
    <w:charset w:val="88"/>
    <w:family w:val="auto"/>
    <w:pitch w:val="default"/>
    <w:sig w:usb0="80000001" w:usb1="28091800" w:usb2="00000016" w:usb3="00000000" w:csb0="001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
    </w:sdtPr>
    <w:sdtContent>
      <w:sdt>
        <w:sdtPr>
          <w:id w:val="8"/>
        </w:sdtPr>
        <w:sdtContent>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0" w:firstLineChars="3000"/>
    </w:pPr>
    <w:r>
      <w:drawing>
        <wp:anchor distT="0" distB="0" distL="114300" distR="114300" simplePos="0" relativeHeight="251659264" behindDoc="0" locked="0" layoutInCell="1" allowOverlap="1">
          <wp:simplePos x="0" y="0"/>
          <wp:positionH relativeFrom="column">
            <wp:posOffset>0</wp:posOffset>
          </wp:positionH>
          <wp:positionV relativeFrom="paragraph">
            <wp:posOffset>-213360</wp:posOffset>
          </wp:positionV>
          <wp:extent cx="981075" cy="383540"/>
          <wp:effectExtent l="0" t="0" r="0" b="0"/>
          <wp:wrapNone/>
          <wp:docPr id="13" name="图片 13" descr="万创投行logo-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万创投行logo-09"/>
                  <pic:cNvPicPr>
                    <a:picLocks noChangeAspect="1"/>
                  </pic:cNvPicPr>
                </pic:nvPicPr>
                <pic:blipFill>
                  <a:blip r:embed="rId1"/>
                  <a:srcRect t="16914" b="23210"/>
                  <a:stretch>
                    <a:fillRect/>
                  </a:stretch>
                </pic:blipFill>
                <pic:spPr>
                  <a:xfrm>
                    <a:off x="0" y="0"/>
                    <a:ext cx="981075" cy="383540"/>
                  </a:xfrm>
                  <a:prstGeom prst="rect">
                    <a:avLst/>
                  </a:prstGeom>
                </pic:spPr>
              </pic:pic>
            </a:graphicData>
          </a:graphic>
        </wp:anchor>
      </w:drawing>
    </w:r>
    <w:r>
      <w:rPr>
        <w:rFonts w:hint="eastAsia"/>
      </w:rPr>
      <w:t>合同编号：WYWRZB2025031333</w:t>
    </w:r>
  </w:p>
  <w:p>
    <w:pPr>
      <w:pStyle w:val="5"/>
      <w:ind w:firstLine="5400" w:firstLineChars="3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B3203"/>
    <w:multiLevelType w:val="multilevel"/>
    <w:tmpl w:val="475B3203"/>
    <w:lvl w:ilvl="0" w:tentative="0">
      <w:start w:val="1"/>
      <w:numFmt w:val="none"/>
      <w:pStyle w:val="13"/>
      <w:suff w:val="nothing"/>
      <w:lvlText w:val=""/>
      <w:lvlJc w:val="left"/>
      <w:pPr>
        <w:ind w:left="770" w:firstLine="0"/>
      </w:pPr>
    </w:lvl>
    <w:lvl w:ilvl="1" w:tentative="0">
      <w:start w:val="1"/>
      <w:numFmt w:val="none"/>
      <w:lvlText w:val="5.1"/>
      <w:lvlJc w:val="left"/>
      <w:pPr>
        <w:tabs>
          <w:tab w:val="left" w:pos="2341"/>
        </w:tabs>
        <w:ind w:left="2341" w:hanging="851"/>
      </w:pPr>
      <w:rPr>
        <w:rFonts w:hint="default"/>
      </w:rPr>
    </w:lvl>
    <w:lvl w:ilvl="2" w:tentative="0">
      <w:start w:val="1"/>
      <w:numFmt w:val="none"/>
      <w:suff w:val="nothing"/>
      <w:lvlText w:val=""/>
      <w:lvlJc w:val="left"/>
      <w:pPr>
        <w:ind w:left="2210" w:firstLine="0"/>
      </w:pPr>
    </w:lvl>
    <w:lvl w:ilvl="3" w:tentative="0">
      <w:start w:val="1"/>
      <w:numFmt w:val="none"/>
      <w:suff w:val="nothing"/>
      <w:lvlText w:val=""/>
      <w:lvlJc w:val="left"/>
      <w:pPr>
        <w:ind w:left="2930" w:firstLine="0"/>
      </w:pPr>
    </w:lvl>
    <w:lvl w:ilvl="4" w:tentative="0">
      <w:start w:val="1"/>
      <w:numFmt w:val="none"/>
      <w:suff w:val="nothing"/>
      <w:lvlText w:val=""/>
      <w:lvlJc w:val="left"/>
      <w:pPr>
        <w:ind w:left="3650" w:firstLine="0"/>
      </w:pPr>
    </w:lvl>
    <w:lvl w:ilvl="5" w:tentative="0">
      <w:start w:val="1"/>
      <w:numFmt w:val="none"/>
      <w:suff w:val="nothing"/>
      <w:lvlText w:val=""/>
      <w:lvlJc w:val="left"/>
      <w:pPr>
        <w:ind w:left="4370" w:firstLine="0"/>
      </w:pPr>
    </w:lvl>
    <w:lvl w:ilvl="6" w:tentative="0">
      <w:start w:val="1"/>
      <w:numFmt w:val="none"/>
      <w:suff w:val="nothing"/>
      <w:lvlText w:val=""/>
      <w:lvlJc w:val="left"/>
      <w:pPr>
        <w:ind w:left="5090" w:firstLine="0"/>
      </w:pPr>
    </w:lvl>
    <w:lvl w:ilvl="7" w:tentative="0">
      <w:start w:val="1"/>
      <w:numFmt w:val="none"/>
      <w:suff w:val="nothing"/>
      <w:lvlText w:val=""/>
      <w:lvlJc w:val="left"/>
      <w:pPr>
        <w:ind w:left="5810" w:firstLine="0"/>
      </w:pPr>
    </w:lvl>
    <w:lvl w:ilvl="8" w:tentative="0">
      <w:start w:val="1"/>
      <w:numFmt w:val="none"/>
      <w:suff w:val="nothing"/>
      <w:lvlText w:val=""/>
      <w:lvlJc w:val="left"/>
      <w:pPr>
        <w:ind w:left="6530" w:firstLine="0"/>
      </w:pPr>
    </w:lvl>
  </w:abstractNum>
  <w:abstractNum w:abstractNumId="1">
    <w:nsid w:val="6AF91840"/>
    <w:multiLevelType w:val="multilevel"/>
    <w:tmpl w:val="6AF91840"/>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44530C"/>
    <w:rsid w:val="00006397"/>
    <w:rsid w:val="0012076A"/>
    <w:rsid w:val="0012090D"/>
    <w:rsid w:val="001575A4"/>
    <w:rsid w:val="00162438"/>
    <w:rsid w:val="001D3B08"/>
    <w:rsid w:val="00213022"/>
    <w:rsid w:val="00270191"/>
    <w:rsid w:val="00287C16"/>
    <w:rsid w:val="00290D47"/>
    <w:rsid w:val="002B4D03"/>
    <w:rsid w:val="002F3828"/>
    <w:rsid w:val="00322053"/>
    <w:rsid w:val="003269B7"/>
    <w:rsid w:val="003475D6"/>
    <w:rsid w:val="00372DE9"/>
    <w:rsid w:val="00382962"/>
    <w:rsid w:val="0039238D"/>
    <w:rsid w:val="003A6575"/>
    <w:rsid w:val="003C50A8"/>
    <w:rsid w:val="003F0FB1"/>
    <w:rsid w:val="004070CB"/>
    <w:rsid w:val="00420DE4"/>
    <w:rsid w:val="0044530C"/>
    <w:rsid w:val="00453684"/>
    <w:rsid w:val="00460135"/>
    <w:rsid w:val="00473EEB"/>
    <w:rsid w:val="0047656D"/>
    <w:rsid w:val="00477CB4"/>
    <w:rsid w:val="004D5CA0"/>
    <w:rsid w:val="004E51E5"/>
    <w:rsid w:val="004F505C"/>
    <w:rsid w:val="004F76E9"/>
    <w:rsid w:val="0051378C"/>
    <w:rsid w:val="005A525A"/>
    <w:rsid w:val="005A57CA"/>
    <w:rsid w:val="005A6672"/>
    <w:rsid w:val="005D2A86"/>
    <w:rsid w:val="005E4371"/>
    <w:rsid w:val="005F3E2F"/>
    <w:rsid w:val="0060162E"/>
    <w:rsid w:val="00605999"/>
    <w:rsid w:val="00610E84"/>
    <w:rsid w:val="00621D19"/>
    <w:rsid w:val="006435EE"/>
    <w:rsid w:val="00665044"/>
    <w:rsid w:val="00665E57"/>
    <w:rsid w:val="006743D4"/>
    <w:rsid w:val="00682502"/>
    <w:rsid w:val="006C1D95"/>
    <w:rsid w:val="006F0437"/>
    <w:rsid w:val="006F5F9B"/>
    <w:rsid w:val="00750AED"/>
    <w:rsid w:val="00755EE7"/>
    <w:rsid w:val="007E66B5"/>
    <w:rsid w:val="008052BF"/>
    <w:rsid w:val="00831F17"/>
    <w:rsid w:val="00841C9B"/>
    <w:rsid w:val="00844C36"/>
    <w:rsid w:val="00876C6A"/>
    <w:rsid w:val="00897190"/>
    <w:rsid w:val="00953897"/>
    <w:rsid w:val="009953D2"/>
    <w:rsid w:val="00997E67"/>
    <w:rsid w:val="009A6D70"/>
    <w:rsid w:val="009B43D6"/>
    <w:rsid w:val="009E2699"/>
    <w:rsid w:val="009F7EB0"/>
    <w:rsid w:val="00A25FD8"/>
    <w:rsid w:val="00A3020F"/>
    <w:rsid w:val="00A44531"/>
    <w:rsid w:val="00A7436A"/>
    <w:rsid w:val="00A8644E"/>
    <w:rsid w:val="00AB4450"/>
    <w:rsid w:val="00B17FFB"/>
    <w:rsid w:val="00B20598"/>
    <w:rsid w:val="00B312F6"/>
    <w:rsid w:val="00B34994"/>
    <w:rsid w:val="00B7497B"/>
    <w:rsid w:val="00BA33E1"/>
    <w:rsid w:val="00BC304E"/>
    <w:rsid w:val="00BE5A3D"/>
    <w:rsid w:val="00C127E1"/>
    <w:rsid w:val="00C17961"/>
    <w:rsid w:val="00C409BF"/>
    <w:rsid w:val="00C4213B"/>
    <w:rsid w:val="00C4449E"/>
    <w:rsid w:val="00C87434"/>
    <w:rsid w:val="00CC50B0"/>
    <w:rsid w:val="00CD7335"/>
    <w:rsid w:val="00CF5E2C"/>
    <w:rsid w:val="00D87749"/>
    <w:rsid w:val="00DB26E4"/>
    <w:rsid w:val="00DF7EAB"/>
    <w:rsid w:val="00E00125"/>
    <w:rsid w:val="00E86D5C"/>
    <w:rsid w:val="00E93786"/>
    <w:rsid w:val="00EA3B64"/>
    <w:rsid w:val="00EC057A"/>
    <w:rsid w:val="00EC75D1"/>
    <w:rsid w:val="00EC783A"/>
    <w:rsid w:val="00F02F77"/>
    <w:rsid w:val="00F371A9"/>
    <w:rsid w:val="00F52624"/>
    <w:rsid w:val="00FB4795"/>
    <w:rsid w:val="00FE70E0"/>
    <w:rsid w:val="064C78EC"/>
    <w:rsid w:val="0FD3E0DA"/>
    <w:rsid w:val="12474552"/>
    <w:rsid w:val="17F2B3C4"/>
    <w:rsid w:val="27DEA82D"/>
    <w:rsid w:val="2B1E5096"/>
    <w:rsid w:val="340853AA"/>
    <w:rsid w:val="357711B3"/>
    <w:rsid w:val="36974E72"/>
    <w:rsid w:val="37EF0B94"/>
    <w:rsid w:val="38043383"/>
    <w:rsid w:val="3ADF546A"/>
    <w:rsid w:val="3BFBFD91"/>
    <w:rsid w:val="3BFDC43B"/>
    <w:rsid w:val="3FDF0157"/>
    <w:rsid w:val="3FF7A498"/>
    <w:rsid w:val="4FAE6334"/>
    <w:rsid w:val="548965A6"/>
    <w:rsid w:val="5CEBF312"/>
    <w:rsid w:val="5DF7B422"/>
    <w:rsid w:val="5EFFFA71"/>
    <w:rsid w:val="5F6F426A"/>
    <w:rsid w:val="5F975418"/>
    <w:rsid w:val="5FAB4926"/>
    <w:rsid w:val="5FFDBA4A"/>
    <w:rsid w:val="65FFAC26"/>
    <w:rsid w:val="6DF753DF"/>
    <w:rsid w:val="6DFEBA27"/>
    <w:rsid w:val="6FF71C90"/>
    <w:rsid w:val="717F432D"/>
    <w:rsid w:val="774E20C9"/>
    <w:rsid w:val="77FF31E2"/>
    <w:rsid w:val="7AD90EC3"/>
    <w:rsid w:val="7DBEF1DB"/>
    <w:rsid w:val="7DC47D09"/>
    <w:rsid w:val="7DDF3506"/>
    <w:rsid w:val="7EBD6EE8"/>
    <w:rsid w:val="7EDF3519"/>
    <w:rsid w:val="7EFE3F52"/>
    <w:rsid w:val="7F2D6168"/>
    <w:rsid w:val="7F551F3E"/>
    <w:rsid w:val="7F77C1F0"/>
    <w:rsid w:val="7F77C633"/>
    <w:rsid w:val="7F799F2D"/>
    <w:rsid w:val="7F8F2838"/>
    <w:rsid w:val="7FCEE76A"/>
    <w:rsid w:val="7FF71DB1"/>
    <w:rsid w:val="94CFFC18"/>
    <w:rsid w:val="9FC8D33A"/>
    <w:rsid w:val="A3DFEC39"/>
    <w:rsid w:val="B6BE2A9D"/>
    <w:rsid w:val="B72D3E4F"/>
    <w:rsid w:val="BBFF5001"/>
    <w:rsid w:val="BF724128"/>
    <w:rsid w:val="C3CEC149"/>
    <w:rsid w:val="CAF8AC8D"/>
    <w:rsid w:val="CFEFA856"/>
    <w:rsid w:val="D7FF9CBB"/>
    <w:rsid w:val="DBEF1707"/>
    <w:rsid w:val="DBF15820"/>
    <w:rsid w:val="DDBDE9BE"/>
    <w:rsid w:val="E2EC9D0D"/>
    <w:rsid w:val="EBDE54BF"/>
    <w:rsid w:val="ED69B773"/>
    <w:rsid w:val="EFDED8A3"/>
    <w:rsid w:val="EFF2F1D0"/>
    <w:rsid w:val="F3BF205D"/>
    <w:rsid w:val="F5EFFFC3"/>
    <w:rsid w:val="F7FB6584"/>
    <w:rsid w:val="F9FEA9A5"/>
    <w:rsid w:val="FB6CF3DB"/>
    <w:rsid w:val="FBCB167D"/>
    <w:rsid w:val="FBEDC97B"/>
    <w:rsid w:val="FDEF0462"/>
    <w:rsid w:val="FDF5931F"/>
    <w:rsid w:val="FE69649D"/>
    <w:rsid w:val="FF363C44"/>
    <w:rsid w:val="FF8BEFEC"/>
    <w:rsid w:val="FF97C7B7"/>
    <w:rsid w:val="FFC78E71"/>
    <w:rsid w:val="FFDA0172"/>
    <w:rsid w:val="FFDBCA78"/>
    <w:rsid w:val="FFF9CE43"/>
    <w:rsid w:val="FFFF9A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4"/>
      <w:szCs w:val="24"/>
      <w:lang w:val="en-US" w:eastAsia="zh-CN" w:bidi="ar-SA"/>
    </w:rPr>
  </w:style>
  <w:style w:type="paragraph" w:styleId="2">
    <w:name w:val="heading 3"/>
    <w:basedOn w:val="1"/>
    <w:next w:val="1"/>
    <w:link w:val="15"/>
    <w:qFormat/>
    <w:uiPriority w:val="9"/>
    <w:pPr>
      <w:spacing w:before="100" w:beforeAutospacing="1" w:after="100" w:afterAutospacing="1"/>
      <w:outlineLvl w:val="2"/>
    </w:pPr>
    <w:rPr>
      <w:b/>
      <w:bCs/>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style>
  <w:style w:type="paragraph" w:styleId="4">
    <w:name w:val="Balloon Text"/>
    <w:basedOn w:val="1"/>
    <w:link w:val="16"/>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annotation subject"/>
    <w:basedOn w:val="3"/>
    <w:next w:val="3"/>
    <w:link w:val="19"/>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AODocTxt"/>
    <w:basedOn w:val="1"/>
    <w:qFormat/>
    <w:uiPriority w:val="0"/>
    <w:pPr>
      <w:numPr>
        <w:ilvl w:val="0"/>
        <w:numId w:val="1"/>
      </w:numPr>
      <w:spacing w:before="240" w:line="260" w:lineRule="atLeast"/>
      <w:jc w:val="both"/>
    </w:pPr>
    <w:rPr>
      <w:sz w:val="22"/>
      <w:szCs w:val="20"/>
    </w:rPr>
  </w:style>
  <w:style w:type="paragraph" w:customStyle="1" w:styleId="14">
    <w:name w:val="列出段落1"/>
    <w:basedOn w:val="1"/>
    <w:qFormat/>
    <w:uiPriority w:val="34"/>
    <w:pPr>
      <w:ind w:firstLine="420" w:firstLineChars="200"/>
    </w:pPr>
  </w:style>
  <w:style w:type="character" w:customStyle="1" w:styleId="15">
    <w:name w:val="标题 3 Char"/>
    <w:basedOn w:val="9"/>
    <w:link w:val="2"/>
    <w:qFormat/>
    <w:uiPriority w:val="9"/>
    <w:rPr>
      <w:rFonts w:ascii="Times New Roman" w:hAnsi="Times New Roman" w:eastAsia="宋体" w:cs="Times New Roman"/>
      <w:b/>
      <w:bCs/>
      <w:sz w:val="27"/>
      <w:szCs w:val="27"/>
    </w:rPr>
  </w:style>
  <w:style w:type="character" w:customStyle="1" w:styleId="16">
    <w:name w:val="批注框文本 Char"/>
    <w:basedOn w:val="9"/>
    <w:link w:val="4"/>
    <w:semiHidden/>
    <w:uiPriority w:val="99"/>
    <w:rPr>
      <w:kern w:val="2"/>
      <w:sz w:val="18"/>
      <w:szCs w:val="18"/>
    </w:rPr>
  </w:style>
  <w:style w:type="paragraph" w:customStyle="1" w:styleId="17">
    <w:name w:val="修订1"/>
    <w:hidden/>
    <w:unhideWhenUsed/>
    <w:uiPriority w:val="99"/>
    <w:rPr>
      <w:rFonts w:ascii="Times New Roman" w:hAnsi="Times New Roman" w:eastAsia="宋体" w:cs="Times New Roman"/>
      <w:kern w:val="2"/>
      <w:sz w:val="24"/>
      <w:szCs w:val="24"/>
      <w:lang w:val="en-US" w:eastAsia="zh-CN" w:bidi="ar-SA"/>
    </w:rPr>
  </w:style>
  <w:style w:type="character" w:customStyle="1" w:styleId="18">
    <w:name w:val="批注文字 Char"/>
    <w:basedOn w:val="9"/>
    <w:link w:val="3"/>
    <w:semiHidden/>
    <w:uiPriority w:val="99"/>
    <w:rPr>
      <w:kern w:val="2"/>
      <w:sz w:val="24"/>
      <w:szCs w:val="24"/>
    </w:rPr>
  </w:style>
  <w:style w:type="character" w:customStyle="1" w:styleId="19">
    <w:name w:val="批注主题 Char"/>
    <w:basedOn w:val="18"/>
    <w:link w:val="7"/>
    <w:semiHidden/>
    <w:uiPriority w:val="99"/>
    <w:rPr>
      <w:b/>
      <w:bCs/>
      <w:kern w:val="2"/>
      <w:sz w:val="24"/>
      <w:szCs w:val="24"/>
    </w:rPr>
  </w:style>
  <w:style w:type="paragraph" w:customStyle="1" w:styleId="20">
    <w:name w:val="修订2"/>
    <w:hidden/>
    <w:unhideWhenUsed/>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956</Words>
  <Characters>5450</Characters>
  <Lines>45</Lines>
  <Paragraphs>12</Paragraphs>
  <TotalTime>21</TotalTime>
  <ScaleCrop>false</ScaleCrop>
  <LinksUpToDate>false</LinksUpToDate>
  <CharactersWithSpaces>6394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2025-04-09T17:33:00Z</dcterms:created>
  <dc:creator>Duan</dc:creator>
  <cp:lastModifiedBy>Kim-金</cp:lastModifiedBy>
  <cp:lastPrinted>2023-05-22T23:15:00Z</cp:lastPrinted>
  <dcterms:modified xsi:type="dcterms:W3CDTF">2025-04-09T10:54:44Z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C5EAAE82614082FA32DFF5676145D35E_43</vt:lpwstr>
  </property>
</Properties>
</file>