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spacing w:line="360" w:lineRule="auto"/>
        <w:jc w:val="center"/>
        <w:rPr>
          <w:rFonts w:cs="宋体" w:asciiTheme="minorEastAsia" w:hAnsiTheme="minorEastAsia" w:eastAsiaTheme="minorEastAsia"/>
          <w:b/>
          <w:bCs/>
          <w:sz w:val="32"/>
          <w:szCs w:val="32"/>
        </w:rPr>
      </w:pPr>
      <w:bookmarkStart w:id="3" w:name="_GoBack"/>
      <w:bookmarkEnd w:id="3"/>
      <w:r>
        <w:rPr>
          <w:rFonts w:hint="eastAsia" w:cs="宋体" w:asciiTheme="minorEastAsia" w:hAnsiTheme="minorEastAsia" w:eastAsiaTheme="minorEastAsia"/>
          <w:b/>
          <w:bCs/>
          <w:sz w:val="32"/>
          <w:szCs w:val="32"/>
        </w:rPr>
        <w:t>年度采购合同</w:t>
      </w:r>
    </w:p>
    <w:p>
      <w:pPr>
        <w:pStyle w:val="22"/>
        <w:kinsoku w:val="0"/>
        <w:spacing w:line="360" w:lineRule="auto"/>
        <w:jc w:val="left"/>
        <w:rPr>
          <w:rFonts w:hint="default" w:cs="宋体" w:asciiTheme="minorEastAsia" w:hAnsiTheme="minorEastAsia" w:eastAsiaTheme="minorEastAsia"/>
          <w:lang w:val="en-US" w:eastAsia="zh-CN"/>
        </w:rPr>
      </w:pPr>
      <w:r>
        <w:rPr>
          <w:rFonts w:cs="宋体" w:asciiTheme="minorEastAsia" w:hAnsiTheme="minorEastAsia" w:eastAsiaTheme="minorEastAsia"/>
        </w:rPr>
        <w:t xml:space="preserve"> </w:t>
      </w:r>
      <w:r>
        <w:rPr>
          <w:rFonts w:hint="default" w:eastAsia="PMingLiU" w:cs="宋体" w:asciiTheme="minorEastAsia" w:hAnsiTheme="minorEastAsia"/>
          <w:lang w:eastAsia="zh-TW"/>
        </w:rPr>
        <w:t xml:space="preserve">                                       </w:t>
      </w:r>
      <w:r>
        <w:rPr>
          <w:rFonts w:cs="宋体" w:asciiTheme="minorEastAsia" w:hAnsiTheme="minorEastAsia" w:eastAsiaTheme="minorEastAsia"/>
        </w:rPr>
        <w:t>合同编号：</w:t>
      </w:r>
      <w:r>
        <w:rPr>
          <w:rFonts w:hint="eastAsia" w:cs="宋体" w:asciiTheme="minorEastAsia" w:hAnsiTheme="minorEastAsia" w:eastAsiaTheme="minorEastAsia"/>
          <w:lang w:val="en-US" w:eastAsia="zh-CN"/>
        </w:rPr>
        <w:t>GHNC-2025-0182-1</w:t>
      </w:r>
    </w:p>
    <w:p>
      <w:pPr>
        <w:kinsoku w:val="0"/>
        <w:spacing w:line="360" w:lineRule="auto"/>
        <w:ind w:right="840" w:firstLine="4620" w:firstLineChars="2200"/>
        <w:jc w:val="left"/>
        <w:rPr>
          <w:rFonts w:cs="宋体" w:asciiTheme="minorEastAsia" w:hAnsiTheme="minorEastAsia" w:eastAsiaTheme="minorEastAsia"/>
          <w:lang w:val="en-US"/>
        </w:rPr>
      </w:pPr>
      <w:r>
        <w:rPr>
          <w:rFonts w:hint="eastAsia" w:cs="宋体" w:asciiTheme="minorEastAsia" w:hAnsiTheme="minorEastAsia" w:eastAsiaTheme="minorEastAsia"/>
          <w:lang w:val="en-US"/>
        </w:rPr>
        <w:t>签订时间：2</w:t>
      </w:r>
      <w:r>
        <w:rPr>
          <w:rFonts w:cs="宋体" w:asciiTheme="minorEastAsia" w:hAnsiTheme="minorEastAsia" w:eastAsiaTheme="minorEastAsia"/>
          <w:lang w:val="en-US"/>
        </w:rPr>
        <w:t>02</w:t>
      </w:r>
      <w:r>
        <w:rPr>
          <w:rFonts w:hint="eastAsia" w:cs="宋体" w:asciiTheme="minorEastAsia" w:hAnsiTheme="minorEastAsia" w:eastAsiaTheme="minorEastAsia"/>
          <w:lang w:val="en-US" w:eastAsia="zh-CN"/>
        </w:rPr>
        <w:t>5</w:t>
      </w:r>
      <w:r>
        <w:rPr>
          <w:rFonts w:hint="eastAsia" w:cs="宋体" w:asciiTheme="minorEastAsia" w:hAnsiTheme="minorEastAsia" w:eastAsiaTheme="minorEastAsia"/>
          <w:lang w:val="en-US"/>
        </w:rPr>
        <w:t>年</w:t>
      </w:r>
      <w:r>
        <w:rPr>
          <w:rFonts w:hint="eastAsia" w:cs="宋体" w:asciiTheme="minorEastAsia" w:hAnsiTheme="minorEastAsia" w:eastAsiaTheme="minorEastAsia"/>
          <w:lang w:val="en-US" w:eastAsia="zh-CN"/>
        </w:rPr>
        <w:t>1</w:t>
      </w:r>
      <w:r>
        <w:rPr>
          <w:rFonts w:hint="eastAsia" w:cs="宋体" w:asciiTheme="minorEastAsia" w:hAnsiTheme="minorEastAsia" w:eastAsiaTheme="minorEastAsia"/>
          <w:lang w:val="en-US"/>
        </w:rPr>
        <w:t>月</w:t>
      </w:r>
      <w:r>
        <w:rPr>
          <w:rFonts w:hint="eastAsia" w:cs="宋体" w:asciiTheme="minorEastAsia" w:hAnsiTheme="minorEastAsia" w:eastAsiaTheme="minorEastAsia"/>
          <w:lang w:val="en-US" w:eastAsia="zh-CN"/>
        </w:rPr>
        <w:t>1</w:t>
      </w:r>
      <w:r>
        <w:rPr>
          <w:rFonts w:hint="eastAsia" w:cs="宋体" w:asciiTheme="minorEastAsia" w:hAnsiTheme="minorEastAsia" w:eastAsiaTheme="minorEastAsia"/>
          <w:lang w:val="en-US"/>
        </w:rPr>
        <w:t>日</w:t>
      </w:r>
    </w:p>
    <w:p>
      <w:pPr>
        <w:kinsoku w:val="0"/>
        <w:spacing w:line="360" w:lineRule="auto"/>
        <w:ind w:right="840"/>
        <w:jc w:val="left"/>
        <w:rPr>
          <w:rFonts w:hint="eastAsia" w:cs="宋体" w:asciiTheme="minorEastAsia" w:hAnsiTheme="minorEastAsia" w:eastAsiaTheme="minorEastAsia"/>
          <w:b/>
          <w:bCs/>
          <w:lang w:val="en-US" w:eastAsia="zh-CN"/>
        </w:rPr>
      </w:pPr>
      <w:r>
        <w:rPr>
          <w:rFonts w:hint="eastAsia" w:cs="宋体" w:asciiTheme="minorEastAsia" w:hAnsiTheme="minorEastAsia" w:eastAsiaTheme="minorEastAsia"/>
          <w:b/>
          <w:bCs/>
          <w:lang w:val="en-US"/>
        </w:rPr>
        <w:t>甲方：</w:t>
      </w:r>
      <w:r>
        <w:rPr>
          <w:rFonts w:hint="eastAsia" w:cs="宋体" w:asciiTheme="minorEastAsia" w:hAnsiTheme="minorEastAsia" w:eastAsiaTheme="minorEastAsia"/>
          <w:b/>
          <w:bCs/>
          <w:lang w:val="en-US" w:eastAsia="zh-CN"/>
        </w:rPr>
        <w:t>贵州壁虎新能源汽车有限公司</w:t>
      </w:r>
    </w:p>
    <w:p>
      <w:pPr>
        <w:kinsoku w:val="0"/>
        <w:spacing w:line="360" w:lineRule="auto"/>
        <w:ind w:right="840"/>
        <w:jc w:val="left"/>
        <w:rPr>
          <w:rFonts w:hint="eastAsia" w:cs="宋体" w:asciiTheme="minorEastAsia" w:hAnsiTheme="minorEastAsia" w:eastAsiaTheme="minorEastAsia"/>
          <w:b/>
          <w:bCs/>
          <w:lang w:val="en-US" w:eastAsia="zh-CN"/>
        </w:rPr>
      </w:pPr>
      <w:r>
        <w:rPr>
          <w:rFonts w:hint="eastAsia" w:cs="宋体" w:asciiTheme="minorEastAsia" w:hAnsiTheme="minorEastAsia" w:eastAsiaTheme="minorEastAsia"/>
          <w:b/>
          <w:bCs/>
          <w:lang w:val="en-US"/>
        </w:rPr>
        <w:t>乙方：</w:t>
      </w:r>
      <w:r>
        <w:rPr>
          <w:rFonts w:hint="eastAsia" w:ascii="宋体" w:hAnsi="宋体" w:eastAsia="宋体"/>
          <w:b/>
        </w:rPr>
        <w:t>湖南光华荣昌汽车部件有限公司</w:t>
      </w:r>
    </w:p>
    <w:p>
      <w:pPr>
        <w:spacing w:line="360" w:lineRule="auto"/>
        <w:rPr>
          <w:rFonts w:cs="宋体" w:asciiTheme="minorEastAsia" w:hAnsiTheme="minorEastAsia" w:eastAsiaTheme="minorEastAsia"/>
          <w:b/>
          <w:bCs/>
          <w:lang w:eastAsia="zh-TW"/>
        </w:rPr>
      </w:pPr>
      <w:r>
        <w:rPr>
          <w:rFonts w:hint="eastAsia" w:cs="宋体" w:asciiTheme="minorEastAsia" w:hAnsiTheme="minorEastAsia" w:eastAsiaTheme="minorEastAsia"/>
          <w:b/>
          <w:bCs/>
          <w:lang w:eastAsia="zh-TW"/>
        </w:rPr>
        <w:t>1.合同履行期</w:t>
      </w:r>
    </w:p>
    <w:p>
      <w:pPr>
        <w:spacing w:line="360" w:lineRule="auto"/>
        <w:rPr>
          <w:rFonts w:eastAsia="PMingLiU" w:cs="宋体" w:asciiTheme="minorEastAsia" w:hAnsiTheme="minorEastAsia"/>
          <w:lang w:eastAsia="zh-TW"/>
        </w:rPr>
      </w:pPr>
      <w:r>
        <w:rPr>
          <w:rFonts w:hint="eastAsia" w:cs="宋体" w:asciiTheme="minorEastAsia" w:hAnsiTheme="minorEastAsia" w:eastAsiaTheme="minorEastAsia"/>
          <w:lang w:eastAsia="zh-TW"/>
        </w:rPr>
        <w:t>1.1本合同履行期自20</w:t>
      </w:r>
      <w:r>
        <w:rPr>
          <w:rFonts w:eastAsia="PMingLiU" w:cs="宋体" w:asciiTheme="minorEastAsia" w:hAnsiTheme="minorEastAsia"/>
          <w:lang w:eastAsia="zh-TW"/>
        </w:rPr>
        <w:t>2</w:t>
      </w:r>
      <w:r>
        <w:rPr>
          <w:rFonts w:hint="eastAsia" w:eastAsia="宋体" w:cs="宋体" w:asciiTheme="minorEastAsia" w:hAnsiTheme="minorEastAsia"/>
          <w:lang w:val="en-US" w:eastAsia="zh-CN"/>
        </w:rPr>
        <w:t>5</w:t>
      </w:r>
      <w:r>
        <w:rPr>
          <w:rFonts w:hint="eastAsia" w:cs="宋体" w:asciiTheme="minorEastAsia" w:hAnsiTheme="minorEastAsia" w:eastAsiaTheme="minorEastAsia"/>
          <w:lang w:eastAsia="zh-TW"/>
        </w:rPr>
        <w:t>年</w:t>
      </w:r>
      <w:r>
        <w:rPr>
          <w:rFonts w:hint="eastAsia" w:cs="宋体" w:asciiTheme="minorEastAsia" w:hAnsiTheme="minorEastAsia" w:eastAsiaTheme="minorEastAsia"/>
        </w:rPr>
        <w:t>0</w:t>
      </w:r>
      <w:r>
        <w:rPr>
          <w:rFonts w:hint="eastAsia" w:cs="宋体" w:asciiTheme="minorEastAsia" w:hAnsiTheme="minorEastAsia" w:eastAsiaTheme="minorEastAsia"/>
          <w:lang w:val="en-US" w:eastAsia="zh-CN"/>
        </w:rPr>
        <w:t>1</w:t>
      </w:r>
      <w:r>
        <w:rPr>
          <w:rFonts w:hint="eastAsia" w:cs="宋体" w:asciiTheme="minorEastAsia" w:hAnsiTheme="minorEastAsia" w:eastAsiaTheme="minorEastAsia"/>
          <w:lang w:eastAsia="zh-TW"/>
        </w:rPr>
        <w:t>月</w:t>
      </w:r>
      <w:r>
        <w:rPr>
          <w:rFonts w:hint="eastAsia" w:cs="宋体" w:asciiTheme="minorEastAsia" w:hAnsiTheme="minorEastAsia" w:eastAsiaTheme="minorEastAsia"/>
        </w:rPr>
        <w:t>0</w:t>
      </w:r>
      <w:r>
        <w:rPr>
          <w:rFonts w:hint="eastAsia" w:cs="宋体" w:asciiTheme="minorEastAsia" w:hAnsiTheme="minorEastAsia" w:eastAsiaTheme="minorEastAsia"/>
          <w:lang w:val="en-US" w:eastAsia="zh-CN"/>
        </w:rPr>
        <w:t>1</w:t>
      </w:r>
      <w:r>
        <w:rPr>
          <w:rFonts w:hint="eastAsia" w:cs="宋体" w:asciiTheme="minorEastAsia" w:hAnsiTheme="minorEastAsia" w:eastAsiaTheme="minorEastAsia"/>
          <w:lang w:eastAsia="zh-TW"/>
        </w:rPr>
        <w:t>日至20</w:t>
      </w:r>
      <w:r>
        <w:rPr>
          <w:rFonts w:eastAsia="PMingLiU" w:cs="宋体" w:asciiTheme="minorEastAsia" w:hAnsiTheme="minorEastAsia"/>
          <w:lang w:eastAsia="zh-TW"/>
        </w:rPr>
        <w:t>2</w:t>
      </w:r>
      <w:r>
        <w:rPr>
          <w:rFonts w:hint="eastAsia" w:eastAsia="宋体" w:cs="宋体" w:asciiTheme="minorEastAsia" w:hAnsiTheme="minorEastAsia"/>
          <w:lang w:val="en-US" w:eastAsia="zh-CN"/>
        </w:rPr>
        <w:t>5</w:t>
      </w:r>
      <w:r>
        <w:rPr>
          <w:rFonts w:hint="eastAsia" w:cs="宋体" w:asciiTheme="minorEastAsia" w:hAnsiTheme="minorEastAsia" w:eastAsiaTheme="minorEastAsia"/>
          <w:lang w:eastAsia="zh-TW"/>
        </w:rPr>
        <w:t>年12月31日。</w:t>
      </w:r>
    </w:p>
    <w:p>
      <w:pPr>
        <w:spacing w:line="360" w:lineRule="auto"/>
        <w:rPr>
          <w:rFonts w:cs="宋体" w:asciiTheme="minorEastAsia" w:hAnsiTheme="minorEastAsia" w:eastAsiaTheme="minorEastAsia"/>
        </w:rPr>
      </w:pPr>
      <w:r>
        <w:rPr>
          <w:rFonts w:hint="eastAsia" w:cs="宋体" w:asciiTheme="minorEastAsia" w:hAnsiTheme="minorEastAsia" w:eastAsiaTheme="minorEastAsia"/>
          <w:b/>
          <w:bCs/>
        </w:rPr>
        <w:t>2.标的</w:t>
      </w:r>
      <w:r>
        <w:rPr>
          <w:rFonts w:hint="eastAsia" w:cs="宋体" w:asciiTheme="minorEastAsia" w:hAnsiTheme="minorEastAsia" w:eastAsiaTheme="minorEastAsia"/>
          <w:b/>
          <w:bCs/>
          <w:lang w:val="en-US"/>
        </w:rPr>
        <w:t>物</w:t>
      </w:r>
      <w:r>
        <w:rPr>
          <w:rFonts w:hint="eastAsia" w:cs="宋体" w:asciiTheme="minorEastAsia" w:hAnsiTheme="minorEastAsia" w:eastAsiaTheme="minorEastAsia"/>
          <w:b/>
          <w:bCs/>
        </w:rPr>
        <w:t>与价格</w:t>
      </w:r>
    </w:p>
    <w:p>
      <w:pPr>
        <w:spacing w:line="360" w:lineRule="auto"/>
        <w:rPr>
          <w:rFonts w:cs="宋体" w:asciiTheme="minorEastAsia" w:hAnsiTheme="minorEastAsia" w:eastAsiaTheme="minorEastAsia"/>
        </w:rPr>
      </w:pPr>
      <w:r>
        <w:rPr>
          <w:rFonts w:hint="eastAsia" w:cs="宋体" w:asciiTheme="minorEastAsia" w:hAnsiTheme="minorEastAsia" w:eastAsiaTheme="minorEastAsia"/>
        </w:rPr>
        <w:t>2.1甲方与乙方针对</w:t>
      </w:r>
      <w:r>
        <w:rPr>
          <w:rFonts w:hint="eastAsia" w:cs="宋体" w:asciiTheme="minorEastAsia" w:hAnsiTheme="minorEastAsia" w:eastAsiaTheme="minorEastAsia"/>
          <w:lang w:val="en-US"/>
        </w:rPr>
        <w:t>附表</w:t>
      </w:r>
      <w:r>
        <w:rPr>
          <w:rFonts w:hint="eastAsia" w:cs="宋体" w:asciiTheme="minorEastAsia" w:hAnsiTheme="minorEastAsia" w:eastAsiaTheme="minorEastAsia"/>
        </w:rPr>
        <w:t>产品达成正式批量供货关系，同时甲方、乙方经认真测算、分析后，本着互惠互利的原则，对</w:t>
      </w:r>
      <w:r>
        <w:rPr>
          <w:rFonts w:hint="eastAsia" w:cs="宋体" w:asciiTheme="minorEastAsia" w:hAnsiTheme="minorEastAsia" w:eastAsiaTheme="minorEastAsia"/>
          <w:lang w:val="en-US"/>
        </w:rPr>
        <w:t>附表</w:t>
      </w:r>
      <w:r>
        <w:rPr>
          <w:rFonts w:hint="eastAsia" w:cs="宋体" w:asciiTheme="minorEastAsia" w:hAnsiTheme="minorEastAsia" w:eastAsiaTheme="minorEastAsia"/>
        </w:rPr>
        <w:t>批量供货产品的</w:t>
      </w:r>
      <w:r>
        <w:rPr>
          <w:rFonts w:hint="eastAsia" w:cs="宋体" w:asciiTheme="minorEastAsia" w:hAnsiTheme="minorEastAsia" w:eastAsiaTheme="minorEastAsia"/>
          <w:lang w:val="en-US"/>
        </w:rPr>
        <w:t>价格</w:t>
      </w:r>
      <w:r>
        <w:rPr>
          <w:rFonts w:hint="eastAsia" w:cs="宋体" w:asciiTheme="minorEastAsia" w:hAnsiTheme="minorEastAsia" w:eastAsiaTheme="minorEastAsia"/>
        </w:rPr>
        <w:t>达成一致。产品单价为固定不变</w:t>
      </w:r>
      <w:r>
        <w:rPr>
          <w:rFonts w:hint="eastAsia" w:cs="宋体" w:asciiTheme="minorEastAsia" w:hAnsiTheme="minorEastAsia" w:eastAsiaTheme="minorEastAsia"/>
          <w:lang w:val="en-US"/>
        </w:rPr>
        <w:t>单价</w:t>
      </w:r>
      <w:r>
        <w:rPr>
          <w:rFonts w:hint="eastAsia" w:cs="宋体" w:asciiTheme="minorEastAsia" w:hAnsiTheme="minorEastAsia" w:eastAsiaTheme="minorEastAsia"/>
        </w:rPr>
        <w:t>，若根据实际需要变动，须经双方协商一致签订书面补充协议。</w:t>
      </w:r>
      <w:r>
        <w:rPr>
          <w:rFonts w:hint="eastAsia" w:cs="宋体" w:asciiTheme="minorEastAsia" w:hAnsiTheme="minorEastAsia" w:eastAsiaTheme="minorEastAsia"/>
          <w:lang w:val="en-US"/>
        </w:rPr>
        <w:t>产品及</w:t>
      </w:r>
      <w:r>
        <w:rPr>
          <w:rFonts w:hint="eastAsia" w:cs="宋体" w:asciiTheme="minorEastAsia" w:hAnsiTheme="minorEastAsia" w:eastAsiaTheme="minorEastAsia"/>
        </w:rPr>
        <w:t>价款规定具体见附表。</w:t>
      </w:r>
    </w:p>
    <w:p>
      <w:pPr>
        <w:spacing w:line="360" w:lineRule="auto"/>
        <w:rPr>
          <w:rFonts w:asciiTheme="minorEastAsia" w:hAnsiTheme="minorEastAsia" w:eastAsiaTheme="minorEastAsia"/>
          <w:lang w:val="en-US"/>
        </w:rPr>
      </w:pPr>
      <w:r>
        <w:rPr>
          <w:rFonts w:hint="eastAsia" w:cs="宋体" w:asciiTheme="minorEastAsia" w:hAnsiTheme="minorEastAsia" w:eastAsiaTheme="minorEastAsia"/>
          <w:lang w:val="en-US"/>
        </w:rPr>
        <w:t>2.2附表产品单价</w:t>
      </w:r>
      <w:r>
        <w:rPr>
          <w:rFonts w:hint="eastAsia" w:cs="宋体" w:asciiTheme="minorEastAsia" w:hAnsiTheme="minorEastAsia" w:eastAsiaTheme="minorEastAsia"/>
        </w:rPr>
        <w:t>一律不含</w:t>
      </w:r>
      <w:r>
        <w:rPr>
          <w:rFonts w:hint="eastAsia" w:asciiTheme="minorEastAsia" w:hAnsiTheme="minorEastAsia" w:eastAsiaTheme="minorEastAsia"/>
          <w:lang w:val="en-US"/>
        </w:rPr>
        <w:t>增值税【增值税税率为13%；当国家税率政策调整时,依据最新税率政策自执行日起自动执行（即含税单价=未税单价*（1+税率）】。</w:t>
      </w:r>
    </w:p>
    <w:p>
      <w:pPr>
        <w:spacing w:line="360" w:lineRule="auto"/>
        <w:rPr>
          <w:rFonts w:eastAsia="PMingLiU" w:cs="宋体" w:asciiTheme="minorEastAsia" w:hAnsiTheme="minorEastAsia"/>
          <w:lang w:eastAsia="zh-TW"/>
        </w:rPr>
      </w:pPr>
      <w:r>
        <w:rPr>
          <w:rFonts w:hint="eastAsia" w:asciiTheme="minorEastAsia" w:hAnsiTheme="minorEastAsia" w:eastAsiaTheme="minorEastAsia"/>
          <w:lang w:val="en-US"/>
        </w:rPr>
        <w:t>2</w:t>
      </w:r>
      <w:r>
        <w:rPr>
          <w:rFonts w:asciiTheme="minorEastAsia" w:hAnsiTheme="minorEastAsia" w:eastAsiaTheme="minorEastAsia"/>
          <w:lang w:val="en-US"/>
        </w:rPr>
        <w:t>.3</w:t>
      </w:r>
      <w:r>
        <w:rPr>
          <w:rFonts w:hint="eastAsia" w:asciiTheme="minorEastAsia" w:hAnsiTheme="minorEastAsia" w:eastAsiaTheme="minorEastAsia"/>
          <w:lang w:val="en-US"/>
        </w:rPr>
        <w:t>生产及售后共用件，按同一单价执行。结算数量累计小于或者等于摊销数量时，结算单价为“到厂（含模摊）”；结算数量累计大于摊销数量时，超出摊销数量的结算单价为“到厂（不含模摊）”。</w:t>
      </w:r>
    </w:p>
    <w:p>
      <w:pPr>
        <w:numPr>
          <w:ilvl w:val="255"/>
          <w:numId w:val="0"/>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2.</w:t>
      </w:r>
      <w:r>
        <w:rPr>
          <w:rFonts w:cs="宋体" w:asciiTheme="minorEastAsia" w:hAnsiTheme="minorEastAsia" w:eastAsiaTheme="minorEastAsia"/>
          <w:lang w:val="en-US"/>
        </w:rPr>
        <w:t>4</w:t>
      </w:r>
      <w:r>
        <w:rPr>
          <w:rFonts w:hint="eastAsia" w:cs="宋体" w:asciiTheme="minorEastAsia" w:hAnsiTheme="minorEastAsia" w:eastAsiaTheme="minorEastAsia"/>
          <w:lang w:val="en-US"/>
        </w:rPr>
        <w:t>附表单价包含了本协议项下除税金外产品所产生的材料、人工、运输、保险、装卸等一切费用，乙方不得额外要求甲方另行支付其他任何费用。</w:t>
      </w:r>
    </w:p>
    <w:p>
      <w:pPr>
        <w:numPr>
          <w:ilvl w:val="255"/>
          <w:numId w:val="0"/>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2.</w:t>
      </w:r>
      <w:r>
        <w:rPr>
          <w:rFonts w:cs="宋体" w:asciiTheme="minorEastAsia" w:hAnsiTheme="minorEastAsia" w:eastAsiaTheme="minorEastAsia"/>
          <w:lang w:val="en-US"/>
        </w:rPr>
        <w:t>5</w:t>
      </w:r>
      <w:r>
        <w:rPr>
          <w:rFonts w:hint="eastAsia" w:cs="宋体" w:asciiTheme="minorEastAsia" w:hAnsiTheme="minorEastAsia" w:eastAsiaTheme="minorEastAsia"/>
          <w:lang w:val="en-US"/>
        </w:rPr>
        <w:t>合同签订完成后，甲方向乙方下达订单，乙方不得拒绝。除另有约定外，甲方给与乙方不低于【3</w:t>
      </w:r>
      <w:r>
        <w:rPr>
          <w:rFonts w:cs="宋体" w:asciiTheme="minorEastAsia" w:hAnsiTheme="minorEastAsia" w:eastAsiaTheme="minorEastAsia"/>
          <w:lang w:val="en-US"/>
        </w:rPr>
        <w:t>0</w:t>
      </w:r>
      <w:r>
        <w:rPr>
          <w:rFonts w:hint="eastAsia" w:cs="宋体" w:asciiTheme="minorEastAsia" w:hAnsiTheme="minorEastAsia" w:eastAsiaTheme="minorEastAsia"/>
          <w:lang w:val="en-US"/>
        </w:rPr>
        <w:t>】天的备货期（从发送订单之日起计算至交付之日）。因特殊情况需要调整交付日期的，双方可另行协商，按协商确认的结果执行（邮件确认或者订单确认）。甲方采用邮件（包括但不限于电子邮件）或在线查询等方式将订单发送至乙方，乙方应在收到甲方订单后及时回执。甲方订单发出2个工作日后视为送达，未回执的，不影响订单效力，并视为乙方全部接受订单。乙方对订单内容有异议的须在甲方订单发出后</w:t>
      </w:r>
      <w:r>
        <w:rPr>
          <w:rFonts w:cs="宋体" w:asciiTheme="minorEastAsia" w:hAnsiTheme="minorEastAsia" w:eastAsiaTheme="minorEastAsia"/>
          <w:lang w:val="en-US"/>
        </w:rPr>
        <w:t>2</w:t>
      </w:r>
      <w:r>
        <w:rPr>
          <w:rFonts w:hint="eastAsia" w:cs="宋体" w:asciiTheme="minorEastAsia" w:hAnsiTheme="minorEastAsia" w:eastAsiaTheme="minorEastAsia"/>
          <w:lang w:val="en-US"/>
        </w:rPr>
        <w:t>个工作日内书面告知甲方。未在规定时间提出异议的，视为乙方全部接受订单。甲方认为乙方的异议成立的，双方就异议内容另行协商；甲方认为乙方的异议不成立的，则按照订单执行。甲方在审查乙方异议内容是否成立期间不停止订单的执行，除非订单内容超过了本合同约定范围，否则，因异议修改或拒绝订单的行为视为违约，给甲方造成的损失由乙方全额承担。</w:t>
      </w:r>
    </w:p>
    <w:p>
      <w:pPr>
        <w:numPr>
          <w:ilvl w:val="255"/>
          <w:numId w:val="0"/>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2.</w:t>
      </w:r>
      <w:r>
        <w:rPr>
          <w:rFonts w:cs="宋体" w:asciiTheme="minorEastAsia" w:hAnsiTheme="minorEastAsia" w:eastAsiaTheme="minorEastAsia"/>
          <w:lang w:val="en-US"/>
        </w:rPr>
        <w:t>6</w:t>
      </w:r>
      <w:r>
        <w:rPr>
          <w:rFonts w:hint="eastAsia" w:cs="宋体" w:asciiTheme="minorEastAsia" w:hAnsiTheme="minorEastAsia" w:eastAsiaTheme="minorEastAsia"/>
          <w:lang w:val="en-US"/>
        </w:rPr>
        <w:t xml:space="preserve"> 甲方因生产计划调整等原因（包括但不限于）需调整订单的，可在订单送达后十五个工作日内按照第2.</w:t>
      </w:r>
      <w:r>
        <w:rPr>
          <w:rFonts w:cs="宋体" w:asciiTheme="minorEastAsia" w:hAnsiTheme="minorEastAsia" w:eastAsiaTheme="minorEastAsia"/>
          <w:lang w:val="en-US"/>
        </w:rPr>
        <w:t>5</w:t>
      </w:r>
      <w:r>
        <w:rPr>
          <w:rFonts w:hint="eastAsia" w:cs="宋体" w:asciiTheme="minorEastAsia" w:hAnsiTheme="minorEastAsia" w:eastAsiaTheme="minorEastAsia"/>
          <w:lang w:val="en-US"/>
        </w:rPr>
        <w:t>条约定方式发送新订单对原订单进行调整，但调整幅度应控制在原订单量±20%范围内，甲方必须在新订单中注明原订单编号及同步废止日期，买卖双方对订单的接受、认可或异议均按第2.</w:t>
      </w:r>
      <w:r>
        <w:rPr>
          <w:rFonts w:cs="宋体" w:asciiTheme="minorEastAsia" w:hAnsiTheme="minorEastAsia" w:eastAsiaTheme="minorEastAsia"/>
          <w:lang w:val="en-US"/>
        </w:rPr>
        <w:t>5</w:t>
      </w:r>
      <w:r>
        <w:rPr>
          <w:rFonts w:hint="eastAsia" w:cs="宋体" w:asciiTheme="minorEastAsia" w:hAnsiTheme="minorEastAsia" w:eastAsiaTheme="minorEastAsia"/>
          <w:lang w:val="en-US"/>
        </w:rPr>
        <w:t>条约定执行。</w:t>
      </w:r>
    </w:p>
    <w:p>
      <w:pPr>
        <w:numPr>
          <w:ilvl w:val="255"/>
          <w:numId w:val="0"/>
        </w:numPr>
        <w:spacing w:line="360" w:lineRule="auto"/>
        <w:rPr>
          <w:rFonts w:cs="宋体" w:asciiTheme="minorEastAsia" w:hAnsiTheme="minorEastAsia" w:eastAsiaTheme="minorEastAsia"/>
          <w:color w:val="auto"/>
          <w:lang w:val="en-US"/>
        </w:rPr>
      </w:pPr>
      <w:r>
        <w:rPr>
          <w:rFonts w:hint="eastAsia" w:cs="宋体" w:asciiTheme="minorEastAsia" w:hAnsiTheme="minorEastAsia" w:eastAsiaTheme="minorEastAsia"/>
          <w:color w:val="auto"/>
          <w:lang w:val="en-US"/>
        </w:rPr>
        <w:t>2.7结算和付款：入库结算</w:t>
      </w:r>
      <w:r>
        <w:rPr>
          <w:rFonts w:hint="eastAsia" w:cs="宋体" w:asciiTheme="minorEastAsia" w:hAnsiTheme="minorEastAsia" w:eastAsiaTheme="minorEastAsia"/>
          <w:color w:val="auto"/>
          <w:lang w:val="en-US" w:eastAsia="zh-CN"/>
        </w:rPr>
        <w:t>，</w:t>
      </w:r>
      <w:r>
        <w:rPr>
          <w:rFonts w:hint="eastAsia" w:cs="宋体" w:asciiTheme="minorEastAsia" w:hAnsiTheme="minorEastAsia" w:eastAsiaTheme="minorEastAsia"/>
          <w:color w:val="auto"/>
          <w:lang w:val="en-US"/>
        </w:rPr>
        <w:t>甲方在乙方供货后的次月5个工作日内，根据上月验收合格入库的数量作为乙方上月供货的结算数量。乙方根据结算数量向甲方开具合法有效的增值税专用发票。甲方收到发票后的【</w:t>
      </w:r>
      <w:r>
        <w:rPr>
          <w:rFonts w:hint="eastAsia" w:cs="宋体" w:asciiTheme="minorEastAsia" w:hAnsiTheme="minorEastAsia" w:eastAsiaTheme="minorEastAsia"/>
          <w:color w:val="auto"/>
          <w:lang w:val="en-US" w:eastAsia="zh-CN"/>
        </w:rPr>
        <w:t>3</w:t>
      </w:r>
      <w:r>
        <w:rPr>
          <w:rFonts w:cs="宋体" w:asciiTheme="minorEastAsia" w:hAnsiTheme="minorEastAsia" w:eastAsiaTheme="minorEastAsia"/>
          <w:color w:val="auto"/>
          <w:lang w:val="en-US"/>
        </w:rPr>
        <w:t>0</w:t>
      </w:r>
      <w:r>
        <w:rPr>
          <w:rFonts w:hint="eastAsia" w:cs="宋体" w:asciiTheme="minorEastAsia" w:hAnsiTheme="minorEastAsia" w:eastAsiaTheme="minorEastAsia"/>
          <w:color w:val="auto"/>
          <w:lang w:val="en-US"/>
        </w:rPr>
        <w:t>】日内以【电汇/银行承兑】的方式支付结算货款。</w:t>
      </w:r>
    </w:p>
    <w:p>
      <w:pPr>
        <w:numPr>
          <w:ilvl w:val="255"/>
          <w:numId w:val="0"/>
        </w:numPr>
        <w:spacing w:line="360" w:lineRule="auto"/>
        <w:rPr>
          <w:rFonts w:cs="宋体" w:asciiTheme="minorEastAsia" w:hAnsiTheme="minorEastAsia" w:eastAsiaTheme="minorEastAsia"/>
          <w:lang w:val="en-US"/>
        </w:rPr>
      </w:pPr>
      <w:r>
        <w:rPr>
          <w:rFonts w:cs="宋体" w:asciiTheme="minorEastAsia" w:hAnsiTheme="minorEastAsia" w:eastAsiaTheme="minorEastAsia"/>
          <w:lang w:val="en-US"/>
        </w:rPr>
        <w:t>2.8</w:t>
      </w:r>
      <w:r>
        <w:rPr>
          <w:rFonts w:hint="eastAsia" w:cs="宋体" w:asciiTheme="minorEastAsia" w:hAnsiTheme="minorEastAsia" w:eastAsiaTheme="minorEastAsia"/>
          <w:lang w:val="en-US"/>
        </w:rPr>
        <w:t>本合同终止后，甲方将在终止后一个月内完成结算，甲方有权将超过结算数量的货物按约定价格退回乙方。运输费等退还费用（若有）由乙方承担。</w:t>
      </w:r>
    </w:p>
    <w:p>
      <w:pPr>
        <w:numPr>
          <w:ilvl w:val="255"/>
          <w:numId w:val="0"/>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b/>
          <w:bCs/>
          <w:lang w:val="en-US"/>
        </w:rPr>
        <w:t>3.质量保证金预留约定</w:t>
      </w:r>
    </w:p>
    <w:p>
      <w:pPr>
        <w:numPr>
          <w:ilvl w:val="255"/>
          <w:numId w:val="0"/>
        </w:numPr>
        <w:spacing w:line="360" w:lineRule="auto"/>
        <w:rPr>
          <w:rFonts w:cs="宋体" w:asciiTheme="minorEastAsia" w:hAnsiTheme="minorEastAsia" w:eastAsiaTheme="minorEastAsia"/>
          <w:lang w:val="en-US"/>
        </w:rPr>
      </w:pPr>
      <w:r>
        <w:rPr>
          <w:rFonts w:cs="宋体" w:asciiTheme="minorEastAsia" w:hAnsiTheme="minorEastAsia" w:eastAsiaTheme="minorEastAsia"/>
          <w:lang w:val="en-US"/>
        </w:rPr>
        <w:t>3.1</w:t>
      </w:r>
      <w:r>
        <w:rPr>
          <w:rFonts w:hint="eastAsia" w:cs="宋体" w:asciiTheme="minorEastAsia" w:hAnsiTheme="minorEastAsia" w:eastAsiaTheme="minorEastAsia"/>
          <w:lang w:val="en-US"/>
        </w:rPr>
        <w:t>对于停供（质量停供或自然停供）的产品，甲方有权不再向乙方发出采购订单要求供货，如订单已经发出，甲方有权单方面解除该笔订单，货款已支付的，甲方有权要求乙方返还甲方针对该笔订单已经支付的全部款项；货款暂未支付的，甲方无需再进行付款。同时，为实现停供产品后续质保期限内的“质保”服务，乙方同意甲方可预留部分货款作为质量保证金，预留期限至所有产品质保期届满之日。质保期限结束后，甲方扣除属于乙方责任的赔偿金额后，向乙方支付结算预留质保金的余额。质保金不足以赔偿甲方损失的，乙方继续赔偿。</w:t>
      </w:r>
    </w:p>
    <w:p>
      <w:pPr>
        <w:numPr>
          <w:ilvl w:val="255"/>
          <w:numId w:val="0"/>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3</w:t>
      </w:r>
      <w:r>
        <w:rPr>
          <w:rFonts w:cs="宋体" w:asciiTheme="minorEastAsia" w:hAnsiTheme="minorEastAsia" w:eastAsiaTheme="minorEastAsia"/>
          <w:lang w:val="en-US"/>
        </w:rPr>
        <w:t>.2</w:t>
      </w:r>
      <w:r>
        <w:rPr>
          <w:rFonts w:hint="eastAsia" w:cs="宋体" w:asciiTheme="minorEastAsia" w:hAnsiTheme="minorEastAsia" w:eastAsiaTheme="minorEastAsia"/>
          <w:lang w:val="en-US"/>
        </w:rPr>
        <w:t>质量停供、自然停供</w:t>
      </w:r>
    </w:p>
    <w:p>
      <w:pPr>
        <w:numPr>
          <w:ilvl w:val="255"/>
          <w:numId w:val="0"/>
        </w:numPr>
        <w:spacing w:line="360" w:lineRule="auto"/>
        <w:rPr>
          <w:rFonts w:cs="宋体" w:asciiTheme="minorEastAsia" w:hAnsiTheme="minorEastAsia" w:eastAsiaTheme="minorEastAsia"/>
          <w:lang w:val="en-US"/>
        </w:rPr>
      </w:pPr>
      <w:bookmarkStart w:id="0" w:name="_Hlk131689878"/>
      <w:r>
        <w:rPr>
          <w:rFonts w:hint="eastAsia" w:cs="宋体" w:asciiTheme="minorEastAsia" w:hAnsiTheme="minorEastAsia" w:eastAsiaTheme="minorEastAsia"/>
          <w:lang w:val="en-US"/>
        </w:rPr>
        <w:t>3</w:t>
      </w:r>
      <w:r>
        <w:rPr>
          <w:rFonts w:cs="宋体" w:asciiTheme="minorEastAsia" w:hAnsiTheme="minorEastAsia" w:eastAsiaTheme="minorEastAsia"/>
          <w:lang w:val="en-US"/>
        </w:rPr>
        <w:t>.2.1质量停供</w:t>
      </w:r>
      <w:bookmarkEnd w:id="0"/>
      <w:r>
        <w:rPr>
          <w:rFonts w:cs="宋体" w:asciiTheme="minorEastAsia" w:hAnsiTheme="minorEastAsia" w:eastAsiaTheme="minorEastAsia"/>
          <w:lang w:val="en-US"/>
        </w:rPr>
        <w:t>系指由于乙方供货质量问题，甲方书面要求乙方停止供货的情形。质量停供的起算时间以甲方编制的</w:t>
      </w:r>
      <w:r>
        <w:rPr>
          <w:rFonts w:hint="eastAsia" w:cs="宋体" w:asciiTheme="minorEastAsia" w:hAnsiTheme="minorEastAsia" w:eastAsiaTheme="minorEastAsia"/>
          <w:lang w:val="en-US"/>
        </w:rPr>
        <w:t>《</w:t>
      </w:r>
      <w:r>
        <w:rPr>
          <w:rFonts w:cs="宋体" w:asciiTheme="minorEastAsia" w:hAnsiTheme="minorEastAsia" w:eastAsiaTheme="minorEastAsia"/>
          <w:lang w:val="en-US"/>
        </w:rPr>
        <w:t>产品停用通知单</w:t>
      </w:r>
      <w:r>
        <w:rPr>
          <w:rFonts w:hint="eastAsia" w:cs="宋体" w:asciiTheme="minorEastAsia" w:hAnsiTheme="minorEastAsia" w:eastAsiaTheme="minorEastAsia"/>
          <w:lang w:val="en-US"/>
        </w:rPr>
        <w:t>》</w:t>
      </w:r>
      <w:r>
        <w:rPr>
          <w:rFonts w:cs="宋体" w:asciiTheme="minorEastAsia" w:hAnsiTheme="minorEastAsia" w:eastAsiaTheme="minorEastAsia"/>
          <w:lang w:val="en-US"/>
        </w:rPr>
        <w:t>发至乙方之日起算</w:t>
      </w:r>
      <w:r>
        <w:rPr>
          <w:rFonts w:hint="eastAsia" w:cs="宋体" w:asciiTheme="minorEastAsia" w:hAnsiTheme="minorEastAsia" w:eastAsiaTheme="minorEastAsia"/>
          <w:lang w:val="en-US"/>
        </w:rPr>
        <w:t>。</w:t>
      </w:r>
    </w:p>
    <w:p>
      <w:pPr>
        <w:numPr>
          <w:ilvl w:val="255"/>
          <w:numId w:val="0"/>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3</w:t>
      </w:r>
      <w:r>
        <w:rPr>
          <w:rFonts w:cs="宋体" w:asciiTheme="minorEastAsia" w:hAnsiTheme="minorEastAsia" w:eastAsiaTheme="minorEastAsia"/>
          <w:lang w:val="en-US"/>
        </w:rPr>
        <w:t>.</w:t>
      </w:r>
      <w:r>
        <w:rPr>
          <w:rFonts w:hint="eastAsia" w:cs="宋体" w:asciiTheme="minorEastAsia" w:hAnsiTheme="minorEastAsia" w:eastAsiaTheme="minorEastAsia"/>
          <w:lang w:val="en-US"/>
        </w:rPr>
        <w:t>2</w:t>
      </w:r>
      <w:r>
        <w:rPr>
          <w:rFonts w:cs="宋体" w:asciiTheme="minorEastAsia" w:hAnsiTheme="minorEastAsia" w:eastAsiaTheme="minorEastAsia"/>
          <w:lang w:val="en-US"/>
        </w:rPr>
        <w:t>.</w:t>
      </w:r>
      <w:r>
        <w:rPr>
          <w:rFonts w:hint="eastAsia" w:cs="宋体" w:asciiTheme="minorEastAsia" w:hAnsiTheme="minorEastAsia" w:eastAsiaTheme="minorEastAsia"/>
          <w:lang w:val="en-US"/>
        </w:rPr>
        <w:t>2</w:t>
      </w:r>
      <w:r>
        <w:rPr>
          <w:rFonts w:cs="宋体" w:asciiTheme="minorEastAsia" w:hAnsiTheme="minorEastAsia" w:eastAsiaTheme="minorEastAsia"/>
          <w:lang w:val="en-US"/>
        </w:rPr>
        <w:t>自然停供系指质量停供以外的其他形式的停止供货的情形</w:t>
      </w:r>
      <w:r>
        <w:rPr>
          <w:rFonts w:hint="eastAsia" w:cs="宋体" w:asciiTheme="minorEastAsia" w:hAnsiTheme="minorEastAsia" w:eastAsiaTheme="minorEastAsia"/>
          <w:lang w:val="en-US"/>
        </w:rPr>
        <w:t>，</w:t>
      </w:r>
      <w:r>
        <w:rPr>
          <w:rFonts w:hint="eastAsia" w:cs="宋体" w:asciiTheme="minorEastAsia" w:hAnsiTheme="minorEastAsia" w:eastAsiaTheme="minorEastAsia"/>
        </w:rPr>
        <w:t>包括但不限于车辆停产等</w:t>
      </w:r>
      <w:r>
        <w:rPr>
          <w:rFonts w:cs="宋体" w:asciiTheme="minorEastAsia" w:hAnsiTheme="minorEastAsia" w:eastAsiaTheme="minorEastAsia"/>
          <w:lang w:val="en-US"/>
        </w:rPr>
        <w:t>。自然停供的起算时间以最后一次订单涉及的乙方产品入库的时间起算。</w:t>
      </w:r>
    </w:p>
    <w:p>
      <w:pPr>
        <w:numPr>
          <w:ilvl w:val="255"/>
          <w:numId w:val="0"/>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3</w:t>
      </w:r>
      <w:r>
        <w:rPr>
          <w:rFonts w:cs="宋体" w:asciiTheme="minorEastAsia" w:hAnsiTheme="minorEastAsia" w:eastAsiaTheme="minorEastAsia"/>
          <w:lang w:val="en-US"/>
        </w:rPr>
        <w:t>.3</w:t>
      </w:r>
      <w:r>
        <w:rPr>
          <w:rFonts w:hint="eastAsia" w:cs="宋体" w:asciiTheme="minorEastAsia" w:hAnsiTheme="minorEastAsia" w:eastAsiaTheme="minorEastAsia"/>
          <w:lang w:val="en-US"/>
        </w:rPr>
        <w:t>停供产品预留质保金的数额计算方式：</w:t>
      </w:r>
    </w:p>
    <w:p>
      <w:pPr>
        <w:numPr>
          <w:ilvl w:val="255"/>
          <w:numId w:val="0"/>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1）按照最近三年质量索赔总金额的五倍计算；</w:t>
      </w:r>
    </w:p>
    <w:p>
      <w:pPr>
        <w:numPr>
          <w:ilvl w:val="255"/>
          <w:numId w:val="0"/>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2）按照停供前12个月供货总额的5%计算；供货不足12个月的，按实际供货总额的5%计算。</w:t>
      </w:r>
    </w:p>
    <w:p>
      <w:pPr>
        <w:numPr>
          <w:ilvl w:val="255"/>
          <w:numId w:val="0"/>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 xml:space="preserve">    上述两种预留质保金数额的计算方式由甲方选择适用其中一种，货款不足预留质保金的，由乙方补足。</w:t>
      </w:r>
    </w:p>
    <w:p>
      <w:pPr>
        <w:numPr>
          <w:ilvl w:val="255"/>
          <w:numId w:val="0"/>
        </w:numPr>
        <w:spacing w:line="360" w:lineRule="auto"/>
        <w:rPr>
          <w:rFonts w:cs="宋体" w:asciiTheme="minorEastAsia" w:hAnsiTheme="minorEastAsia" w:eastAsiaTheme="minorEastAsia"/>
          <w:lang w:val="en-US" w:eastAsia="zh-TW"/>
        </w:rPr>
      </w:pPr>
      <w:r>
        <w:rPr>
          <w:rFonts w:cs="宋体" w:asciiTheme="minorEastAsia" w:hAnsiTheme="minorEastAsia" w:eastAsiaTheme="minorEastAsia"/>
          <w:lang w:val="en-US" w:eastAsia="zh-TW"/>
        </w:rPr>
        <w:t>3.4</w:t>
      </w:r>
      <w:r>
        <w:rPr>
          <w:rFonts w:hint="eastAsia" w:cs="宋体" w:asciiTheme="minorEastAsia" w:hAnsiTheme="minorEastAsia" w:eastAsiaTheme="minorEastAsia"/>
          <w:lang w:val="en-US" w:eastAsia="zh-TW"/>
        </w:rPr>
        <w:t>其它未尽事宜按照国家三包法规执行。</w:t>
      </w:r>
    </w:p>
    <w:p>
      <w:pPr>
        <w:numPr>
          <w:ilvl w:val="255"/>
          <w:numId w:val="0"/>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b/>
          <w:bCs/>
          <w:lang w:val="en-US"/>
        </w:rPr>
        <w:t>4.运输、包装、交货及验收</w:t>
      </w:r>
    </w:p>
    <w:p>
      <w:pPr>
        <w:numPr>
          <w:ilvl w:val="255"/>
          <w:numId w:val="0"/>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4.1 乙方负责运输的，由乙方支付相关费用，产品在途期间毁损、灭失的风险由乙方承担。</w:t>
      </w:r>
    </w:p>
    <w:p>
      <w:pPr>
        <w:numPr>
          <w:ilvl w:val="255"/>
          <w:numId w:val="0"/>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4.2产品包装需满足货物运输、装卸、存储安全所需的包装条件并附装箱清单,</w:t>
      </w:r>
      <w:r>
        <w:rPr>
          <w:rFonts w:hint="eastAsia" w:cs="宋体" w:asciiTheme="minorEastAsia" w:hAnsiTheme="minorEastAsia" w:eastAsiaTheme="minorEastAsia"/>
          <w:color w:val="auto"/>
          <w:lang w:val="en-US"/>
        </w:rPr>
        <w:t xml:space="preserve"> 售后件（除生产共用件）需按照指定包装规格并满足售后服务需求的条件下包装，</w:t>
      </w:r>
      <w:r>
        <w:rPr>
          <w:rFonts w:hint="eastAsia" w:cs="宋体" w:asciiTheme="minorEastAsia" w:hAnsiTheme="minorEastAsia" w:eastAsiaTheme="minorEastAsia"/>
          <w:lang w:val="en-US"/>
        </w:rPr>
        <w:t>其包装费用由乙方承担。</w:t>
      </w:r>
    </w:p>
    <w:p>
      <w:pPr>
        <w:numPr>
          <w:ilvl w:val="255"/>
          <w:numId w:val="0"/>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4.3交货时间、地点：甲方订单指定时间</w:t>
      </w:r>
      <w:r>
        <w:rPr>
          <w:rFonts w:hint="eastAsia" w:cs="宋体" w:asciiTheme="minorEastAsia" w:hAnsiTheme="minorEastAsia" w:eastAsiaTheme="minorEastAsia"/>
          <w:lang w:val="en-US" w:eastAsia="zh-CN"/>
        </w:rPr>
        <w:t>，</w:t>
      </w:r>
      <w:r>
        <w:rPr>
          <w:rFonts w:hint="eastAsia" w:cs="宋体" w:asciiTheme="minorEastAsia" w:hAnsiTheme="minorEastAsia" w:eastAsiaTheme="minorEastAsia"/>
          <w:lang w:val="en-US"/>
        </w:rPr>
        <w:t>地点</w:t>
      </w:r>
      <w:r>
        <w:rPr>
          <w:rFonts w:hint="eastAsia" w:cs="宋体" w:asciiTheme="minorEastAsia" w:hAnsiTheme="minorEastAsia" w:eastAsiaTheme="minorEastAsia"/>
          <w:lang w:val="en-US" w:eastAsia="zh-CN"/>
        </w:rPr>
        <w:t>为江西省南昌市南昌县小蓝经济开发区金沙大道江铃控股东门(南昌江铃）/贵州省贵安新区湖磊北路17号(贵州长江）//重庆市九龙坡区协兴村1号（庆铃汽车）</w:t>
      </w:r>
      <w:r>
        <w:rPr>
          <w:rFonts w:hint="eastAsia" w:cs="宋体" w:asciiTheme="minorEastAsia" w:hAnsiTheme="minorEastAsia" w:eastAsiaTheme="minorEastAsia"/>
          <w:lang w:val="en-US"/>
        </w:rPr>
        <w:t>。</w:t>
      </w:r>
    </w:p>
    <w:p>
      <w:pPr>
        <w:numPr>
          <w:ilvl w:val="255"/>
          <w:numId w:val="0"/>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4.</w:t>
      </w:r>
      <w:r>
        <w:rPr>
          <w:rFonts w:cs="宋体" w:asciiTheme="minorEastAsia" w:hAnsiTheme="minorEastAsia" w:eastAsiaTheme="minorEastAsia"/>
          <w:lang w:val="en-US"/>
        </w:rPr>
        <w:t>4</w:t>
      </w:r>
      <w:r>
        <w:rPr>
          <w:rFonts w:hint="eastAsia" w:cs="宋体" w:asciiTheme="minorEastAsia" w:hAnsiTheme="minorEastAsia" w:eastAsiaTheme="minorEastAsia"/>
          <w:lang w:val="en-US"/>
        </w:rPr>
        <w:t xml:space="preserve"> 产品到达甲方指定地后，经甲方人员进行验收合格后方能入库。甲方的验收人员，仅限于按提货单数据与产品标识的对照，检查装货的数目，检查清晰可见的外部包装运输损坏。此外甲方没有其他检验义务。乙方不因甲方的初步检验而免除其应承担的其他义务或产品责任。</w:t>
      </w:r>
    </w:p>
    <w:p>
      <w:pPr>
        <w:numPr>
          <w:ilvl w:val="255"/>
          <w:numId w:val="0"/>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4.</w:t>
      </w:r>
      <w:r>
        <w:rPr>
          <w:rFonts w:cs="宋体" w:asciiTheme="minorEastAsia" w:hAnsiTheme="minorEastAsia" w:eastAsiaTheme="minorEastAsia"/>
          <w:lang w:val="en-US"/>
        </w:rPr>
        <w:t>5</w:t>
      </w:r>
      <w:r>
        <w:rPr>
          <w:rFonts w:hint="eastAsia" w:cs="宋体" w:asciiTheme="minorEastAsia" w:hAnsiTheme="minorEastAsia" w:eastAsiaTheme="minorEastAsia"/>
          <w:lang w:val="en-US"/>
        </w:rPr>
        <w:t>产品在验收过程中以及入库后发现质量问题或与合同/订单要求不符，乙方应无条件更换，乙方不更换的，甲方有权拒绝接收或者要求退还/扣除质量问题产品相关货款并承担本合同或《质量协议》约定的赔偿责任，由此产生的费用及给甲方造成的损失由乙方承担。</w:t>
      </w:r>
    </w:p>
    <w:p>
      <w:pPr>
        <w:spacing w:line="360" w:lineRule="auto"/>
        <w:rPr>
          <w:rFonts w:cs="宋体" w:asciiTheme="minorEastAsia" w:hAnsiTheme="minorEastAsia" w:eastAsiaTheme="minorEastAsia"/>
          <w:b/>
          <w:bCs/>
        </w:rPr>
      </w:pPr>
      <w:bookmarkStart w:id="1" w:name="_Hlk88663127"/>
      <w:r>
        <w:rPr>
          <w:rFonts w:hint="eastAsia" w:cs="宋体" w:asciiTheme="minorEastAsia" w:hAnsiTheme="minorEastAsia" w:eastAsiaTheme="minorEastAsia"/>
          <w:b/>
          <w:bCs/>
        </w:rPr>
        <w:t>5.违约责任及违约金支付</w:t>
      </w:r>
    </w:p>
    <w:p>
      <w:pPr>
        <w:spacing w:line="360" w:lineRule="auto"/>
        <w:rPr>
          <w:rFonts w:cs="宋体" w:asciiTheme="minorEastAsia" w:hAnsiTheme="minorEastAsia" w:eastAsiaTheme="minorEastAsia"/>
          <w:lang w:val="en-US"/>
        </w:rPr>
      </w:pPr>
      <w:bookmarkStart w:id="2" w:name="_Hlk88665548"/>
      <w:r>
        <w:rPr>
          <w:rFonts w:eastAsia="PMingLiU" w:cs="宋体" w:asciiTheme="minorEastAsia" w:hAnsiTheme="minorEastAsia"/>
          <w:lang w:eastAsia="zh-TW"/>
        </w:rPr>
        <w:t>5.1</w:t>
      </w:r>
      <w:r>
        <w:rPr>
          <w:rFonts w:hint="eastAsia" w:cs="宋体" w:asciiTheme="minorEastAsia" w:hAnsiTheme="minorEastAsia" w:eastAsiaTheme="minorEastAsia"/>
        </w:rPr>
        <w:t>乙方未能按照双方签订的《年度采购合同》及</w:t>
      </w:r>
      <w:r>
        <w:rPr>
          <w:rFonts w:hint="eastAsia" w:cs="宋体" w:asciiTheme="minorEastAsia" w:hAnsiTheme="minorEastAsia" w:eastAsiaTheme="minorEastAsia"/>
          <w:lang w:val="en-US"/>
        </w:rPr>
        <w:t>订单、</w:t>
      </w:r>
      <w:r>
        <w:rPr>
          <w:rFonts w:hint="eastAsia" w:cs="宋体" w:asciiTheme="minorEastAsia" w:hAnsiTheme="minorEastAsia" w:eastAsiaTheme="minorEastAsia"/>
        </w:rPr>
        <w:t>相关附件中的约定数量、日期、地点交</w:t>
      </w:r>
      <w:r>
        <w:rPr>
          <w:rFonts w:hint="eastAsia" w:cs="宋体" w:asciiTheme="minorEastAsia" w:hAnsiTheme="minorEastAsia" w:eastAsiaTheme="minorEastAsia"/>
          <w:lang w:val="en-US"/>
        </w:rPr>
        <w:t>付</w:t>
      </w:r>
      <w:r>
        <w:rPr>
          <w:rFonts w:hint="eastAsia" w:cs="宋体" w:asciiTheme="minorEastAsia" w:hAnsiTheme="minorEastAsia" w:eastAsiaTheme="minorEastAsia"/>
        </w:rPr>
        <w:t>合格产品至甲方，则每逾期</w:t>
      </w:r>
      <w:r>
        <w:rPr>
          <w:rFonts w:hint="eastAsia" w:cs="宋体" w:asciiTheme="minorEastAsia" w:hAnsiTheme="minorEastAsia" w:eastAsiaTheme="minorEastAsia"/>
          <w:lang w:val="en-US"/>
        </w:rPr>
        <w:t>（包括因漏发补发、质量更换等造成的逾期）</w:t>
      </w:r>
      <w:r>
        <w:rPr>
          <w:rFonts w:hint="eastAsia" w:cs="宋体" w:asciiTheme="minorEastAsia" w:hAnsiTheme="minorEastAsia" w:eastAsiaTheme="minorEastAsia"/>
        </w:rPr>
        <w:t>交</w:t>
      </w:r>
      <w:r>
        <w:rPr>
          <w:rFonts w:hint="eastAsia" w:cs="宋体" w:asciiTheme="minorEastAsia" w:hAnsiTheme="minorEastAsia" w:eastAsiaTheme="minorEastAsia"/>
          <w:lang w:val="en-US"/>
        </w:rPr>
        <w:t>付</w:t>
      </w:r>
      <w:r>
        <w:rPr>
          <w:rFonts w:hint="eastAsia" w:cs="宋体" w:asciiTheme="minorEastAsia" w:hAnsiTheme="minorEastAsia" w:eastAsiaTheme="minorEastAsia"/>
        </w:rPr>
        <w:t>1天以1000元/天的标准向甲方赔偿；乙方逾期交货超过五日的，</w:t>
      </w:r>
      <w:r>
        <w:rPr>
          <w:rFonts w:hint="eastAsia" w:cs="宋体" w:asciiTheme="minorEastAsia" w:hAnsiTheme="minorEastAsia" w:eastAsiaTheme="minorEastAsia"/>
          <w:lang w:val="en-US"/>
        </w:rPr>
        <w:t>除支付前述逾期违约金外，</w:t>
      </w:r>
      <w:r>
        <w:rPr>
          <w:rFonts w:hint="eastAsia" w:cs="宋体" w:asciiTheme="minorEastAsia" w:hAnsiTheme="minorEastAsia" w:eastAsiaTheme="minorEastAsia"/>
        </w:rPr>
        <w:t>甲方有权解除本</w:t>
      </w:r>
      <w:r>
        <w:rPr>
          <w:rFonts w:hint="eastAsia" w:cs="宋体" w:asciiTheme="minorEastAsia" w:hAnsiTheme="minorEastAsia" w:eastAsiaTheme="minorEastAsia"/>
          <w:lang w:val="en-US"/>
        </w:rPr>
        <w:t>合同</w:t>
      </w:r>
      <w:r>
        <w:rPr>
          <w:rFonts w:hint="eastAsia" w:cs="宋体" w:asciiTheme="minorEastAsia" w:hAnsiTheme="minorEastAsia" w:eastAsiaTheme="minorEastAsia"/>
        </w:rPr>
        <w:t>并要求乙方退还甲方已支付的全部款项,</w:t>
      </w:r>
      <w:r>
        <w:rPr>
          <w:rFonts w:hint="eastAsia" w:cs="宋体" w:asciiTheme="minorEastAsia" w:hAnsiTheme="minorEastAsia" w:eastAsiaTheme="minorEastAsia"/>
          <w:lang w:val="en-US"/>
        </w:rPr>
        <w:t>违约金不足以弥补甲方损失的，乙方继续赔偿直至补足甲方损失</w:t>
      </w:r>
      <w:r>
        <w:rPr>
          <w:rFonts w:hint="eastAsia" w:cs="宋体" w:asciiTheme="minorEastAsia" w:hAnsiTheme="minorEastAsia" w:eastAsiaTheme="minorEastAsia"/>
        </w:rPr>
        <w:t>。除非甲方另有书面通知同意此延迟，否则乙方不能免除在约定日期内完成交</w:t>
      </w:r>
      <w:r>
        <w:rPr>
          <w:rFonts w:hint="eastAsia" w:cs="宋体" w:asciiTheme="minorEastAsia" w:hAnsiTheme="minorEastAsia" w:eastAsiaTheme="minorEastAsia"/>
          <w:lang w:val="en-US"/>
        </w:rPr>
        <w:t>付</w:t>
      </w:r>
      <w:r>
        <w:rPr>
          <w:rFonts w:hint="eastAsia" w:cs="宋体" w:asciiTheme="minorEastAsia" w:hAnsiTheme="minorEastAsia" w:eastAsiaTheme="minorEastAsia"/>
        </w:rPr>
        <w:t>合格产品的责任，</w:t>
      </w:r>
      <w:r>
        <w:rPr>
          <w:rFonts w:hint="eastAsia" w:cs="宋体" w:asciiTheme="minorEastAsia" w:hAnsiTheme="minorEastAsia" w:eastAsiaTheme="minorEastAsia"/>
          <w:lang w:val="en-US"/>
        </w:rPr>
        <w:t>以及</w:t>
      </w:r>
      <w:r>
        <w:rPr>
          <w:rFonts w:hint="eastAsia" w:cs="宋体" w:asciiTheme="minorEastAsia" w:hAnsiTheme="minorEastAsia" w:eastAsiaTheme="minorEastAsia"/>
        </w:rPr>
        <w:t>乙方对因延迟而引起的乙方或甲方的任何成本增加所承担的责任。</w:t>
      </w:r>
    </w:p>
    <w:p>
      <w:pPr>
        <w:spacing w:line="360" w:lineRule="auto"/>
        <w:rPr>
          <w:rFonts w:cs="宋体" w:asciiTheme="minorEastAsia" w:hAnsiTheme="minorEastAsia" w:eastAsiaTheme="minorEastAsia"/>
          <w:lang w:val="en-US"/>
        </w:rPr>
      </w:pPr>
      <w:r>
        <w:rPr>
          <w:rFonts w:eastAsia="PMingLiU" w:cs="宋体" w:asciiTheme="minorEastAsia" w:hAnsiTheme="minorEastAsia"/>
          <w:lang w:eastAsia="zh-TW"/>
        </w:rPr>
        <w:t>5</w:t>
      </w:r>
      <w:r>
        <w:rPr>
          <w:rFonts w:hint="eastAsia" w:cs="宋体" w:asciiTheme="minorEastAsia" w:hAnsiTheme="minorEastAsia" w:eastAsiaTheme="minorEastAsia"/>
        </w:rPr>
        <w:t>.</w:t>
      </w:r>
      <w:r>
        <w:rPr>
          <w:rFonts w:eastAsia="PMingLiU" w:cs="宋体" w:asciiTheme="minorEastAsia" w:hAnsiTheme="minorEastAsia"/>
          <w:lang w:eastAsia="zh-TW"/>
        </w:rPr>
        <w:t>2</w:t>
      </w:r>
      <w:r>
        <w:rPr>
          <w:rFonts w:hint="eastAsia" w:cs="宋体" w:asciiTheme="minorEastAsia" w:hAnsiTheme="minorEastAsia" w:eastAsiaTheme="minorEastAsia"/>
          <w:lang w:eastAsia="zh-TW"/>
        </w:rPr>
        <w:t>甲乙双方签订的《质量协议》为本合同附件，与本</w:t>
      </w:r>
      <w:r>
        <w:rPr>
          <w:rFonts w:hint="eastAsia" w:cs="宋体" w:asciiTheme="minorEastAsia" w:hAnsiTheme="minorEastAsia" w:eastAsiaTheme="minorEastAsia"/>
          <w:lang w:val="en-US"/>
        </w:rPr>
        <w:t>合同</w:t>
      </w:r>
      <w:r>
        <w:rPr>
          <w:rFonts w:hint="eastAsia" w:cs="宋体" w:asciiTheme="minorEastAsia" w:hAnsiTheme="minorEastAsia" w:eastAsiaTheme="minorEastAsia"/>
          <w:lang w:eastAsia="zh-TW"/>
        </w:rPr>
        <w:t>具有同等法律效力，但当本合同与《质量协议》不一致时，以《质量协议》为准。</w:t>
      </w:r>
      <w:r>
        <w:rPr>
          <w:rFonts w:hint="eastAsia" w:cs="宋体" w:asciiTheme="minorEastAsia" w:hAnsiTheme="minorEastAsia" w:eastAsiaTheme="minorEastAsia"/>
          <w:lang w:val="en-US"/>
        </w:rPr>
        <w:t>如果乙方的产品存在质量问题，甲方除要求乙方按约定进行赔偿外，还有权解除合同、通知乙方停止供货。</w:t>
      </w:r>
    </w:p>
    <w:p>
      <w:pPr>
        <w:spacing w:line="360" w:lineRule="auto"/>
        <w:rPr>
          <w:rFonts w:cs="宋体" w:asciiTheme="minorEastAsia" w:hAnsiTheme="minorEastAsia" w:eastAsiaTheme="minorEastAsia"/>
        </w:rPr>
      </w:pPr>
      <w:r>
        <w:rPr>
          <w:rFonts w:eastAsia="PMingLiU" w:cs="宋体" w:asciiTheme="minorEastAsia" w:hAnsiTheme="minorEastAsia"/>
          <w:lang w:eastAsia="zh-TW"/>
        </w:rPr>
        <w:t>5</w:t>
      </w:r>
      <w:r>
        <w:rPr>
          <w:rFonts w:hint="eastAsia" w:cs="宋体" w:asciiTheme="minorEastAsia" w:hAnsiTheme="minorEastAsia" w:eastAsiaTheme="minorEastAsia"/>
        </w:rPr>
        <w:t>.</w:t>
      </w:r>
      <w:r>
        <w:rPr>
          <w:rFonts w:eastAsia="PMingLiU" w:cs="宋体" w:asciiTheme="minorEastAsia" w:hAnsiTheme="minorEastAsia"/>
          <w:lang w:eastAsia="zh-TW"/>
        </w:rPr>
        <w:t>3</w:t>
      </w:r>
      <w:r>
        <w:rPr>
          <w:rFonts w:hint="eastAsia" w:cs="宋体" w:asciiTheme="minorEastAsia" w:hAnsiTheme="minorEastAsia" w:eastAsiaTheme="minorEastAsia"/>
        </w:rPr>
        <w:t>乙方向甲方提供的汽车零部件、辅助材料所使用的原材料、包装材料以及生产过程中的物质成份等必须符合国家法规、标准要求</w:t>
      </w:r>
      <w:r>
        <w:rPr>
          <w:rFonts w:hint="eastAsia" w:cs="宋体" w:asciiTheme="minorEastAsia" w:hAnsiTheme="minorEastAsia" w:eastAsiaTheme="minorEastAsia"/>
          <w:lang w:val="en-US"/>
        </w:rPr>
        <w:t>以及约定要求</w:t>
      </w:r>
      <w:r>
        <w:rPr>
          <w:rFonts w:hint="eastAsia" w:cs="宋体" w:asciiTheme="minorEastAsia" w:hAnsiTheme="minorEastAsia" w:eastAsiaTheme="minorEastAsia"/>
        </w:rPr>
        <w:t>，且完成有害物质检验，并确保其达到可回收利用的控制要求。如因甲方或国家相关部门抽检到不合格的,</w:t>
      </w:r>
      <w:r>
        <w:rPr>
          <w:rFonts w:hint="eastAsia" w:cs="宋体" w:asciiTheme="minorEastAsia" w:hAnsiTheme="minorEastAsia" w:eastAsiaTheme="minorEastAsia"/>
          <w:lang w:val="en-US"/>
        </w:rPr>
        <w:t>甲方有权要求乙方承担更换、退款、支付违约金、赔偿损失等违约责任，还有权解除合同、通知乙方停止供货</w:t>
      </w:r>
      <w:r>
        <w:rPr>
          <w:rFonts w:hint="eastAsia" w:cs="宋体" w:asciiTheme="minorEastAsia" w:hAnsiTheme="minorEastAsia" w:eastAsiaTheme="minorEastAsia"/>
        </w:rPr>
        <w:t>。</w:t>
      </w:r>
      <w:bookmarkEnd w:id="2"/>
    </w:p>
    <w:p>
      <w:p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5.</w:t>
      </w:r>
      <w:r>
        <w:rPr>
          <w:rFonts w:cs="宋体" w:asciiTheme="minorEastAsia" w:hAnsiTheme="minorEastAsia" w:eastAsiaTheme="minorEastAsia"/>
          <w:lang w:val="en-US"/>
        </w:rPr>
        <w:t>4</w:t>
      </w:r>
      <w:r>
        <w:rPr>
          <w:rFonts w:hint="eastAsia" w:cs="宋体" w:asciiTheme="minorEastAsia" w:hAnsiTheme="minorEastAsia" w:eastAsiaTheme="minorEastAsia"/>
          <w:lang w:val="en-US"/>
        </w:rPr>
        <w:t xml:space="preserve"> 乙方应当支付给甲方的违约金等赔偿金额，甲方通知乙方后即可在应付货款中直接扣除，不足部分由乙方继续赔偿。</w:t>
      </w:r>
    </w:p>
    <w:p>
      <w:p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5.</w:t>
      </w:r>
      <w:r>
        <w:rPr>
          <w:rFonts w:cs="宋体" w:asciiTheme="minorEastAsia" w:hAnsiTheme="minorEastAsia" w:eastAsiaTheme="minorEastAsia"/>
          <w:lang w:val="en-US"/>
        </w:rPr>
        <w:t>5</w:t>
      </w:r>
      <w:r>
        <w:rPr>
          <w:rFonts w:hint="eastAsia" w:cs="宋体" w:asciiTheme="minorEastAsia" w:hAnsiTheme="minorEastAsia" w:eastAsiaTheme="minorEastAsia"/>
          <w:lang w:val="en-US"/>
        </w:rPr>
        <w:t xml:space="preserve"> 乙方应保证在本合同项下提供给甲方的所有产品不侵犯任何第三方的知识产权或所有权，若乙方违反前述约定，或甲方因使用产品而遭到第三方提出非法利用或侵犯知识产权之指控的，乙方应负责妥善处理并承担甲方全部损失。</w:t>
      </w:r>
    </w:p>
    <w:p>
      <w:p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5.</w:t>
      </w:r>
      <w:r>
        <w:rPr>
          <w:rFonts w:cs="宋体" w:asciiTheme="minorEastAsia" w:hAnsiTheme="minorEastAsia" w:eastAsiaTheme="minorEastAsia"/>
          <w:lang w:val="en-US"/>
        </w:rPr>
        <w:t>6</w:t>
      </w:r>
      <w:r>
        <w:rPr>
          <w:rFonts w:hint="eastAsia" w:cs="宋体" w:asciiTheme="minorEastAsia" w:hAnsiTheme="minorEastAsia" w:eastAsiaTheme="minorEastAsia"/>
          <w:lang w:val="en-US"/>
        </w:rPr>
        <w:t xml:space="preserve"> 未经甲方书面同意，乙方不得以任何理由向第三人提供与本合同项下产品实质相同的复制品或生产与本合同约定的产品实质相同的产品，亦不得将本合同约定的产品转包给其他厂商生产。 </w:t>
      </w:r>
    </w:p>
    <w:bookmarkEnd w:id="1"/>
    <w:p>
      <w:pPr>
        <w:spacing w:line="360" w:lineRule="auto"/>
        <w:rPr>
          <w:rFonts w:cs="宋体" w:asciiTheme="minorEastAsia" w:hAnsiTheme="minorEastAsia" w:eastAsiaTheme="minorEastAsia"/>
          <w:b/>
          <w:bCs/>
          <w:lang w:val="en-US" w:eastAsia="zh-TW"/>
        </w:rPr>
      </w:pPr>
      <w:r>
        <w:rPr>
          <w:rFonts w:hint="eastAsia" w:cs="宋体" w:asciiTheme="minorEastAsia" w:hAnsiTheme="minorEastAsia" w:eastAsiaTheme="minorEastAsia"/>
          <w:b/>
          <w:bCs/>
          <w:lang w:val="en-US"/>
        </w:rPr>
        <w:t>6.其他</w:t>
      </w:r>
    </w:p>
    <w:p>
      <w:pPr>
        <w:spacing w:line="360" w:lineRule="auto"/>
        <w:rPr>
          <w:rFonts w:cs="宋体" w:asciiTheme="minorEastAsia" w:hAnsiTheme="minorEastAsia" w:eastAsiaTheme="minorEastAsia"/>
        </w:rPr>
      </w:pPr>
      <w:r>
        <w:rPr>
          <w:rFonts w:hint="eastAsia" w:cs="宋体" w:asciiTheme="minorEastAsia" w:hAnsiTheme="minorEastAsia" w:eastAsiaTheme="minorEastAsia"/>
          <w:lang w:val="en-US" w:eastAsia="zh-TW"/>
        </w:rPr>
        <w:t>6.</w:t>
      </w:r>
      <w:r>
        <w:rPr>
          <w:rFonts w:hint="eastAsia" w:cs="宋体" w:asciiTheme="minorEastAsia" w:hAnsiTheme="minorEastAsia" w:eastAsiaTheme="minorEastAsia"/>
          <w:lang w:val="en-US"/>
        </w:rPr>
        <w:t>1在本合同的履行过程中，如双方出现意见分歧，应协商解决；协商不成的，应提交到甲方所在地人民法院</w:t>
      </w:r>
      <w:r>
        <w:rPr>
          <w:rFonts w:hint="eastAsia" w:cs="宋体" w:asciiTheme="minorEastAsia" w:hAnsiTheme="minorEastAsia" w:eastAsiaTheme="minorEastAsia"/>
        </w:rPr>
        <w:t>通过诉讼方式解决。</w:t>
      </w:r>
    </w:p>
    <w:p>
      <w:p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6.2 本合同自双方盖章后生效。本合同附件是本合同的重要组成部分，与本合同具有同等法律效力。</w:t>
      </w:r>
    </w:p>
    <w:p>
      <w:pPr>
        <w:spacing w:line="360" w:lineRule="auto"/>
        <w:rPr>
          <w:rFonts w:cs="宋体" w:asciiTheme="minorEastAsia" w:hAnsiTheme="minorEastAsia" w:eastAsiaTheme="minorEastAsia"/>
        </w:rPr>
      </w:pPr>
      <w:r>
        <w:rPr>
          <w:rFonts w:eastAsia="PMingLiU" w:cs="宋体" w:asciiTheme="minorEastAsia" w:hAnsiTheme="minorEastAsia"/>
          <w:lang w:eastAsia="zh-TW"/>
        </w:rPr>
        <w:t>6</w:t>
      </w:r>
      <w:r>
        <w:rPr>
          <w:rFonts w:cs="宋体" w:asciiTheme="minorEastAsia" w:hAnsiTheme="minorEastAsia" w:eastAsiaTheme="minorEastAsia"/>
        </w:rPr>
        <w:t>.3</w:t>
      </w:r>
      <w:r>
        <w:rPr>
          <w:rFonts w:hint="eastAsia" w:cs="宋体" w:asciiTheme="minorEastAsia" w:hAnsiTheme="minorEastAsia" w:eastAsiaTheme="minorEastAsia"/>
        </w:rPr>
        <w:t>如本《年度</w:t>
      </w:r>
      <w:r>
        <w:rPr>
          <w:rFonts w:hint="eastAsia" w:cs="宋体" w:asciiTheme="minorEastAsia" w:hAnsiTheme="minorEastAsia" w:eastAsiaTheme="minorEastAsia"/>
          <w:lang w:val="en-US"/>
        </w:rPr>
        <w:t>采购</w:t>
      </w:r>
      <w:r>
        <w:rPr>
          <w:rFonts w:hint="eastAsia" w:cs="宋体" w:asciiTheme="minorEastAsia" w:hAnsiTheme="minorEastAsia" w:eastAsiaTheme="minorEastAsia"/>
        </w:rPr>
        <w:t>合同》履行期满且买卖双方未签订新的《年度采购合同》，则本《年度采购合同》的履行期顺延六个月执行。</w:t>
      </w:r>
    </w:p>
    <w:p>
      <w:pPr>
        <w:spacing w:line="360" w:lineRule="auto"/>
        <w:rPr>
          <w:rFonts w:cs="宋体" w:asciiTheme="minorEastAsia" w:hAnsiTheme="minorEastAsia" w:eastAsiaTheme="minorEastAsia"/>
        </w:rPr>
      </w:pPr>
      <w:r>
        <w:rPr>
          <w:rFonts w:eastAsia="PMingLiU" w:cs="宋体" w:asciiTheme="minorEastAsia" w:hAnsiTheme="minorEastAsia"/>
          <w:lang w:eastAsia="zh-TW"/>
        </w:rPr>
        <w:t>6</w:t>
      </w:r>
      <w:r>
        <w:rPr>
          <w:rFonts w:cs="宋体" w:asciiTheme="minorEastAsia" w:hAnsiTheme="minorEastAsia" w:eastAsiaTheme="minorEastAsia"/>
        </w:rPr>
        <w:t>.4</w:t>
      </w:r>
      <w:r>
        <w:rPr>
          <w:rFonts w:hint="eastAsia" w:cs="宋体" w:asciiTheme="minorEastAsia" w:hAnsiTheme="minorEastAsia" w:eastAsiaTheme="minorEastAsia"/>
        </w:rPr>
        <w:t>本合同一式四份，甲方执三份，乙方执一份。</w:t>
      </w:r>
    </w:p>
    <w:p>
      <w:pPr>
        <w:spacing w:line="360" w:lineRule="auto"/>
        <w:rPr>
          <w:rFonts w:cs="宋体" w:asciiTheme="minorEastAsia" w:hAnsiTheme="minorEastAsia" w:eastAsiaTheme="minorEastAsia"/>
          <w:b/>
          <w:bCs/>
        </w:rPr>
      </w:pPr>
      <w:r>
        <w:rPr>
          <w:rFonts w:hint="eastAsia" w:cs="宋体" w:asciiTheme="minorEastAsia" w:hAnsiTheme="minorEastAsia" w:eastAsiaTheme="minorEastAsia"/>
          <w:b/>
          <w:bCs/>
        </w:rPr>
        <w:t>附表：</w:t>
      </w:r>
      <w:r>
        <w:rPr>
          <w:rFonts w:hint="eastAsia" w:cs="宋体" w:asciiTheme="minorEastAsia" w:hAnsiTheme="minorEastAsia" w:eastAsiaTheme="minorEastAsia"/>
          <w:b/>
          <w:bCs/>
          <w:lang w:val="en-US"/>
        </w:rPr>
        <w:t>供货产品及</w:t>
      </w:r>
      <w:r>
        <w:rPr>
          <w:rFonts w:hint="eastAsia" w:cs="宋体" w:asciiTheme="minorEastAsia" w:hAnsiTheme="minorEastAsia" w:eastAsiaTheme="minorEastAsia"/>
          <w:b/>
          <w:bCs/>
        </w:rPr>
        <w:t>价款规定</w:t>
      </w:r>
    </w:p>
    <w:p>
      <w:pPr>
        <w:spacing w:line="360" w:lineRule="auto"/>
        <w:rPr>
          <w:rFonts w:cs="宋体" w:asciiTheme="minorEastAsia" w:hAnsiTheme="minorEastAsia" w:eastAsiaTheme="minorEastAsia"/>
          <w:b/>
          <w:bCs/>
        </w:rPr>
      </w:pPr>
      <w:r>
        <w:rPr>
          <w:rFonts w:hint="eastAsia" w:cs="宋体" w:asciiTheme="minorEastAsia" w:hAnsiTheme="minorEastAsia" w:eastAsiaTheme="minorEastAsia"/>
          <w:b/>
          <w:bCs/>
        </w:rPr>
        <w:t>（</w:t>
      </w:r>
      <w:r>
        <w:rPr>
          <w:rFonts w:hint="eastAsia" w:cs="宋体" w:asciiTheme="minorEastAsia" w:hAnsiTheme="minorEastAsia" w:eastAsiaTheme="minorEastAsia"/>
          <w:b/>
          <w:bCs/>
          <w:lang w:val="en-US"/>
        </w:rPr>
        <w:t>以下无正文</w:t>
      </w:r>
      <w:r>
        <w:rPr>
          <w:rFonts w:hint="eastAsia" w:cs="宋体" w:asciiTheme="minorEastAsia" w:hAnsiTheme="minorEastAsia" w:eastAsiaTheme="minorEastAsia"/>
          <w:b/>
          <w:bCs/>
        </w:rPr>
        <w:t>）</w:t>
      </w:r>
    </w:p>
    <w:p>
      <w:pPr>
        <w:spacing w:line="360" w:lineRule="auto"/>
        <w:rPr>
          <w:rFonts w:cs="宋体" w:asciiTheme="minorEastAsia" w:hAnsiTheme="minorEastAsia" w:eastAsiaTheme="minorEastAsia"/>
          <w:b/>
          <w:bCs/>
        </w:rPr>
      </w:pPr>
    </w:p>
    <w:p>
      <w:pPr>
        <w:spacing w:line="360" w:lineRule="auto"/>
        <w:rPr>
          <w:rFonts w:hint="eastAsia" w:ascii="宋体" w:hAnsi="宋体" w:eastAsia="宋体"/>
          <w:b/>
          <w:lang w:eastAsia="zh-CN"/>
        </w:rPr>
      </w:pPr>
      <w:r>
        <w:rPr>
          <w:rFonts w:hint="eastAsia" w:ascii="宋体" w:hAnsi="宋体" w:eastAsia="宋体"/>
          <w:b/>
        </w:rPr>
        <w:t>甲方：</w:t>
      </w:r>
      <w:r>
        <w:rPr>
          <w:rFonts w:hint="eastAsia" w:ascii="宋体" w:hAnsi="宋体" w:eastAsia="宋体"/>
          <w:b/>
          <w:bCs/>
          <w:lang w:eastAsia="zh-CN"/>
        </w:rPr>
        <w:t>贵州壁虎新能源汽车有限公司</w:t>
      </w:r>
      <w:r>
        <w:rPr>
          <w:rFonts w:hint="eastAsia" w:ascii="宋体" w:hAnsi="宋体" w:eastAsia="宋体"/>
          <w:b/>
          <w:bCs/>
        </w:rPr>
        <w:t xml:space="preserve"> </w:t>
      </w:r>
      <w:r>
        <w:rPr>
          <w:rFonts w:ascii="宋体" w:hAnsi="宋体" w:eastAsia="PMingLiU"/>
          <w:b/>
          <w:bCs/>
          <w:lang w:eastAsia="zh-TW"/>
        </w:rPr>
        <w:t xml:space="preserve">        </w:t>
      </w:r>
      <w:r>
        <w:rPr>
          <w:rFonts w:hint="eastAsia" w:ascii="宋体" w:hAnsi="宋体" w:eastAsia="宋体"/>
          <w:b/>
          <w:bCs/>
          <w:lang w:val="en-US" w:eastAsia="zh-CN"/>
        </w:rPr>
        <w:t xml:space="preserve">   </w:t>
      </w:r>
      <w:r>
        <w:rPr>
          <w:rFonts w:hint="eastAsia" w:ascii="宋体" w:hAnsi="宋体" w:eastAsia="宋体"/>
          <w:b/>
        </w:rPr>
        <w:t>乙方：湖南光华荣昌汽车部件有限公司</w:t>
      </w:r>
    </w:p>
    <w:p>
      <w:pPr>
        <w:spacing w:line="360" w:lineRule="auto"/>
        <w:rPr>
          <w:rFonts w:ascii="宋体" w:hAnsi="宋体" w:eastAsia="宋体"/>
          <w:b/>
          <w:lang w:eastAsia="zh-TW"/>
        </w:rPr>
      </w:pPr>
    </w:p>
    <w:p>
      <w:pPr>
        <w:spacing w:line="360" w:lineRule="auto"/>
        <w:rPr>
          <w:rFonts w:ascii="宋体" w:hAnsi="宋体" w:eastAsia="宋体"/>
          <w:b/>
        </w:rPr>
      </w:pPr>
      <w:r>
        <w:rPr>
          <w:rFonts w:hint="eastAsia" w:ascii="宋体" w:hAnsi="宋体" w:eastAsia="宋体"/>
          <w:b/>
        </w:rPr>
        <w:t xml:space="preserve">法人代表或授权代表： </w:t>
      </w:r>
      <w:r>
        <w:rPr>
          <w:rFonts w:ascii="宋体" w:hAnsi="宋体" w:eastAsia="PMingLiU"/>
          <w:b/>
          <w:lang w:eastAsia="zh-TW"/>
        </w:rPr>
        <w:t xml:space="preserve">                        </w:t>
      </w:r>
      <w:r>
        <w:rPr>
          <w:rFonts w:hint="eastAsia" w:ascii="宋体" w:hAnsi="宋体" w:eastAsia="宋体"/>
          <w:b/>
        </w:rPr>
        <w:t>法人代表或授权代表：</w:t>
      </w:r>
    </w:p>
    <w:p>
      <w:pPr>
        <w:spacing w:line="360" w:lineRule="auto"/>
        <w:rPr>
          <w:rFonts w:ascii="宋体" w:hAnsi="宋体" w:eastAsia="PMingLiU"/>
          <w:b/>
          <w:lang w:eastAsia="zh-TW"/>
        </w:rPr>
      </w:pPr>
    </w:p>
    <w:p>
      <w:pPr>
        <w:spacing w:line="360" w:lineRule="auto"/>
        <w:rPr>
          <w:rFonts w:ascii="宋体" w:hAnsi="宋体" w:eastAsia="PMingLiU"/>
          <w:b/>
          <w:bCs/>
          <w:lang w:eastAsia="zh-TW"/>
        </w:rPr>
      </w:pPr>
      <w:r>
        <w:rPr>
          <w:rFonts w:ascii="宋体" w:hAnsi="宋体" w:eastAsia="PMingLiU"/>
          <w:b/>
          <w:bCs/>
          <w:lang w:eastAsia="zh-TW"/>
        </w:rPr>
        <w:br w:type="textWrapping"/>
      </w: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ascii="宋体" w:hAnsi="宋体" w:eastAsia="PMingLiU"/>
          <w:b/>
          <w:bCs/>
          <w:lang w:eastAsia="zh-TW"/>
        </w:rPr>
      </w:pPr>
    </w:p>
    <w:p>
      <w:pPr>
        <w:spacing w:line="360" w:lineRule="auto"/>
        <w:rPr>
          <w:rFonts w:hint="eastAsia" w:cs="宋体" w:asciiTheme="minorEastAsia" w:hAnsiTheme="minorEastAsia" w:eastAsiaTheme="minorEastAsia"/>
          <w:b/>
          <w:bCs/>
        </w:rPr>
      </w:pPr>
      <w:r>
        <w:rPr>
          <w:rFonts w:hint="eastAsia" w:cs="宋体" w:asciiTheme="minorEastAsia" w:hAnsiTheme="minorEastAsia" w:eastAsiaTheme="minorEastAsia"/>
          <w:b/>
          <w:bCs/>
        </w:rPr>
        <w:t>附表：</w:t>
      </w:r>
      <w:r>
        <w:rPr>
          <w:rFonts w:hint="eastAsia" w:cs="宋体" w:asciiTheme="minorEastAsia" w:hAnsiTheme="minorEastAsia" w:eastAsiaTheme="minorEastAsia"/>
          <w:b/>
          <w:bCs/>
          <w:lang w:val="en-US"/>
        </w:rPr>
        <w:t>供货产品及</w:t>
      </w:r>
      <w:r>
        <w:rPr>
          <w:rFonts w:hint="eastAsia" w:cs="宋体" w:asciiTheme="minorEastAsia" w:hAnsiTheme="minorEastAsia" w:eastAsiaTheme="minorEastAsia"/>
          <w:b/>
          <w:bCs/>
        </w:rPr>
        <w:t>价款规定</w:t>
      </w:r>
    </w:p>
    <w:tbl>
      <w:tblPr>
        <w:tblStyle w:val="16"/>
        <w:tblW w:w="10489" w:type="dxa"/>
        <w:tblInd w:w="-8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1724"/>
        <w:gridCol w:w="2041"/>
        <w:gridCol w:w="602"/>
        <w:gridCol w:w="1296"/>
        <w:gridCol w:w="1184"/>
        <w:gridCol w:w="847"/>
        <w:gridCol w:w="847"/>
        <w:gridCol w:w="1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1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零件编号</w:t>
            </w:r>
          </w:p>
        </w:tc>
        <w:tc>
          <w:tcPr>
            <w:tcW w:w="2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零件中文名称</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8"/>
                <w:szCs w:val="18"/>
                <w:u w:val="none"/>
                <w:lang w:val="en-US" w:eastAsia="zh-CN" w:bidi="ar"/>
              </w:rPr>
            </w:pPr>
            <w:r>
              <w:rPr>
                <w:rFonts w:hint="eastAsia" w:ascii="微软雅黑" w:hAnsi="微软雅黑" w:eastAsia="微软雅黑" w:cs="微软雅黑"/>
                <w:b/>
                <w:bCs/>
                <w:i w:val="0"/>
                <w:iCs w:val="0"/>
                <w:color w:val="000000"/>
                <w:kern w:val="0"/>
                <w:sz w:val="18"/>
                <w:szCs w:val="18"/>
                <w:u w:val="none"/>
                <w:lang w:val="en-US" w:eastAsia="zh-CN" w:bidi="ar"/>
              </w:rPr>
              <w:t>计量</w:t>
            </w:r>
          </w:p>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单位</w:t>
            </w:r>
          </w:p>
        </w:tc>
        <w:tc>
          <w:tcPr>
            <w:tcW w:w="33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单价</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摊销</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到厂</w:t>
            </w:r>
            <w:r>
              <w:rPr>
                <w:rFonts w:hint="eastAsia" w:ascii="微软雅黑" w:hAnsi="微软雅黑" w:eastAsia="微软雅黑" w:cs="微软雅黑"/>
                <w:b/>
                <w:bCs/>
                <w:i w:val="0"/>
                <w:iCs w:val="0"/>
                <w:color w:val="000000"/>
                <w:kern w:val="0"/>
                <w:sz w:val="18"/>
                <w:szCs w:val="18"/>
                <w:u w:val="none"/>
                <w:lang w:val="en-US" w:eastAsia="zh-CN" w:bidi="ar"/>
              </w:rPr>
              <w:br w:type="textWrapping"/>
            </w:r>
            <w:r>
              <w:rPr>
                <w:rFonts w:hint="eastAsia" w:ascii="微软雅黑" w:hAnsi="微软雅黑" w:eastAsia="微软雅黑" w:cs="微软雅黑"/>
                <w:b/>
                <w:bCs/>
                <w:i w:val="0"/>
                <w:iCs w:val="0"/>
                <w:color w:val="000000"/>
                <w:kern w:val="0"/>
                <w:sz w:val="18"/>
                <w:szCs w:val="18"/>
                <w:u w:val="none"/>
                <w:lang w:val="en-US" w:eastAsia="zh-CN" w:bidi="ar"/>
              </w:rPr>
              <w:t>（不含模摊）</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到厂</w:t>
            </w:r>
            <w:r>
              <w:rPr>
                <w:rFonts w:hint="eastAsia" w:ascii="微软雅黑" w:hAnsi="微软雅黑" w:eastAsia="微软雅黑" w:cs="微软雅黑"/>
                <w:b/>
                <w:bCs/>
                <w:i w:val="0"/>
                <w:iCs w:val="0"/>
                <w:color w:val="000000"/>
                <w:kern w:val="0"/>
                <w:sz w:val="18"/>
                <w:szCs w:val="18"/>
                <w:u w:val="none"/>
                <w:lang w:val="en-US" w:eastAsia="zh-CN" w:bidi="ar"/>
              </w:rPr>
              <w:br w:type="textWrapping"/>
            </w:r>
            <w:r>
              <w:rPr>
                <w:rFonts w:hint="eastAsia" w:ascii="微软雅黑" w:hAnsi="微软雅黑" w:eastAsia="微软雅黑" w:cs="微软雅黑"/>
                <w:b/>
                <w:bCs/>
                <w:i w:val="0"/>
                <w:iCs w:val="0"/>
                <w:color w:val="000000"/>
                <w:kern w:val="0"/>
                <w:sz w:val="18"/>
                <w:szCs w:val="18"/>
                <w:u w:val="none"/>
                <w:lang w:val="en-US" w:eastAsia="zh-CN" w:bidi="ar"/>
              </w:rPr>
              <w:t>（含模摊）</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运输费</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V48-6800040001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左前座椅装配总成</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400.13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402.98</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20.00 </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10000</w:t>
            </w:r>
          </w:p>
        </w:tc>
        <w:tc>
          <w:tcPr>
            <w:tcW w:w="128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交货地址：</w:t>
            </w:r>
          </w:p>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江西南昌，具体地址详见合同正文第4.3条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V48-6900050001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右前座椅装配总成</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394.22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396.92</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20.00 </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10000</w:t>
            </w:r>
          </w:p>
        </w:tc>
        <w:tc>
          <w:tcPr>
            <w:tcW w:w="12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V48-6900040004</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右前座椅装配总成</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426.55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426.55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20.00 </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12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V48-6800011001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左前座椅左侧大护板</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13.00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12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V48-6800012001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左前座椅右侧大护板</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13.00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12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V48-6900011001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右前座椅右侧大护板</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13.00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12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7</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V48-6800013001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左前座椅左侧小护板</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7.00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7.00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w:t>
            </w:r>
          </w:p>
        </w:tc>
        <w:tc>
          <w:tcPr>
            <w:tcW w:w="12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V48-6800014001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左前座椅右侧小护板</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7.00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7.00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w:t>
            </w:r>
          </w:p>
        </w:tc>
        <w:tc>
          <w:tcPr>
            <w:tcW w:w="12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9</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V48-6900012001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右前座椅左侧小护板</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7.00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7.00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w:t>
            </w:r>
          </w:p>
        </w:tc>
        <w:tc>
          <w:tcPr>
            <w:tcW w:w="128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V48-6800040001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左前座椅装配总成</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420.13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422.98</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40.00 </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10000</w:t>
            </w:r>
          </w:p>
        </w:tc>
        <w:tc>
          <w:tcPr>
            <w:tcW w:w="128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交货地址：</w:t>
            </w:r>
          </w:p>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贵州贵阳、重庆，具体地址详见合同正文第4.3条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V48-6900050001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右前座椅装配总成</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414.22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416.92</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10000</w:t>
            </w:r>
          </w:p>
        </w:tc>
        <w:tc>
          <w:tcPr>
            <w:tcW w:w="12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V48-6900040004</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右前座椅装配总成</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446.55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446.55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12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V48-6800011001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左前座椅左侧大护板</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13.00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12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V48-6800012001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左前座椅右侧大护板</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13.00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12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V48-6900011001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右前座椅右侧大护板</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13.00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13.00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12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7</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V48-6800013001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左前座椅左侧小护板</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7.00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7.00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w:t>
            </w:r>
          </w:p>
        </w:tc>
        <w:tc>
          <w:tcPr>
            <w:tcW w:w="12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V48-6800014001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左前座椅右侧小护板</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7.00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7.00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w:t>
            </w:r>
          </w:p>
        </w:tc>
        <w:tc>
          <w:tcPr>
            <w:tcW w:w="128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9</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V48-6900012001</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右前座椅左侧小护板</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7.00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sz w:val="18"/>
                <w:szCs w:val="18"/>
                <w:u w:val="none"/>
                <w:lang w:val="en-US" w:eastAsia="zh-CN"/>
              </w:rPr>
              <w:t>7.00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w:t>
            </w:r>
          </w:p>
        </w:tc>
        <w:tc>
          <w:tcPr>
            <w:tcW w:w="128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bl>
    <w:p>
      <w:pPr>
        <w:spacing w:line="360" w:lineRule="auto"/>
        <w:rPr>
          <w:rFonts w:hint="eastAsia" w:cs="宋体" w:asciiTheme="minorEastAsia" w:hAnsiTheme="minorEastAsia" w:eastAsiaTheme="minorEastAsia"/>
          <w:lang w:val="en-US" w:eastAsia="zh-CN"/>
        </w:rPr>
      </w:pPr>
    </w:p>
    <w:p>
      <w:p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eastAsia="zh-CN"/>
        </w:rPr>
        <w:t>备注</w:t>
      </w:r>
    </w:p>
    <w:p>
      <w:pPr>
        <w:numPr>
          <w:ilvl w:val="0"/>
          <w:numId w:val="1"/>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计费单位为人民币元；</w:t>
      </w:r>
    </w:p>
    <w:p>
      <w:pPr>
        <w:numPr>
          <w:ilvl w:val="0"/>
          <w:numId w:val="1"/>
        </w:numPr>
        <w:spacing w:line="360" w:lineRule="auto"/>
        <w:rPr>
          <w:rFonts w:cs="宋体" w:asciiTheme="minorEastAsia" w:hAnsiTheme="minorEastAsia" w:eastAsiaTheme="minorEastAsia"/>
          <w:lang w:val="en-US"/>
        </w:rPr>
      </w:pPr>
      <w:r>
        <w:rPr>
          <w:rFonts w:hint="eastAsia" w:cs="宋体" w:asciiTheme="minorEastAsia" w:hAnsiTheme="minorEastAsia" w:eastAsiaTheme="minorEastAsia"/>
          <w:lang w:val="en-US"/>
        </w:rPr>
        <w:t>表中“运输费”为乙方交货至合同约定地点时甲方应支付的运输费用。甲方上门取货的，不支付乙方运输费；甲方通知变更交货地址的，双方另行协商确定运输费。</w:t>
      </w:r>
    </w:p>
    <w:sectPr>
      <w:headerReference r:id="rId4" w:type="first"/>
      <w:footerReference r:id="rId6" w:type="first"/>
      <w:headerReference r:id="rId3" w:type="default"/>
      <w:footerReference r:id="rId5" w:type="default"/>
      <w:pgSz w:w="11900" w:h="16840"/>
      <w:pgMar w:top="1440" w:right="1800" w:bottom="1440" w:left="1800" w:header="851" w:footer="992"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Georgia">
    <w:panose1 w:val="02040502050405020303"/>
    <w:charset w:val="00"/>
    <w:family w:val="roman"/>
    <w:pitch w:val="default"/>
    <w:sig w:usb0="00000287" w:usb1="00000000" w:usb2="00000000" w:usb3="00000000" w:csb0="2000009F" w:csb1="00000000"/>
  </w:font>
  <w:font w:name="PingFang SC Regular">
    <w:altName w:val="Calibri"/>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PingFang SC Regular" w:hAnsi="PingFang SC Regular" w:eastAsia="PingFang SC Regular" w:cs="PingFang SC Regular"/>
        <w:sz w:val="24"/>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uNdSPQAAAABQEAAA8AAAAAAAAAAQAgAAAAIgAAAGRycy9kb3du&#10;cmV2LnhtbFBLAQIUABQAAAAIAIdO4kAT2/znQAIAAHwEAAAOAAAAAAAAAAEAIAAAAB8BAABkcnMv&#10;ZTJvRG9jLnhtbFBLBQYAAAAABgAGAFkBAADRBQAAAAA=&#10;">
              <v:fill on="f" focussize="0,0"/>
              <v:stroke on="f" weight="1pt" miterlimit="4" joinstyle="miter"/>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0"/>
      </w:tabs>
      <w:jc w:val="left"/>
      <w:rPr>
        <w:rFonts w:ascii="PingFang SC Regular" w:hAnsi="PingFang SC Regular" w:eastAsia="PingFang SC Regular" w:cs="PingFang SC Regula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11"/>
                          </w:pPr>
                          <w:r>
                            <w:rPr>
                              <w:lang w:val="en-US"/>
                            </w:rPr>
                            <w:t>1</w:t>
                          </w:r>
                          <w:r>
                            <w:t xml:space="preserve">/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uNdSPQAAAABQEAAA8AAAAAAAAAAQAgAAAAIgAAAGRycy9kb3du&#10;cmV2LnhtbFBLAQIUABQAAAAIAIdO4kBOXUrvQAIAAHwEAAAOAAAAAAAAAAEAIAAAAB8BAABkcnMv&#10;ZTJvRG9jLnhtbFBLBQYAAAAABgAGAFkBAADRBQAAAAA=&#10;">
              <v:fill on="f" focussize="0,0"/>
              <v:stroke on="f" weight="1pt" miterlimit="4" joinstyle="miter"/>
              <v:imagedata o:title=""/>
              <o:lock v:ext="edit" aspectratio="f"/>
              <v:textbox inset="0mm,0mm,0mm,0mm" style="mso-fit-shape-to-text:t;">
                <w:txbxContent>
                  <w:p>
                    <w:pPr>
                      <w:pStyle w:val="11"/>
                    </w:pPr>
                    <w:r>
                      <w:rPr>
                        <w:lang w:val="en-US"/>
                      </w:rPr>
                      <w:t>1</w:t>
                    </w:r>
                    <w:r>
                      <w:t xml:space="preserve">/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宋体" w:hAnsi="宋体" w:eastAsia="宋体" w:cs="宋体"/>
        <w:sz w:val="21"/>
        <w:szCs w:val="21"/>
      </w:rPr>
    </w:pPr>
    <w:r>
      <w:rPr>
        <w:rFonts w:hint="eastAsia" w:ascii="微软雅黑" w:hAnsi="微软雅黑" w:eastAsia="微软雅黑" w:cs="微软雅黑"/>
        <w:sz w:val="21"/>
        <w:szCs w:val="21"/>
        <w:lang w:eastAsia="zh-CN"/>
      </w:rPr>
      <w:t>贵州壁虎新能源汽车有限公司</w:t>
    </w:r>
    <w:r>
      <w:rPr>
        <w:rFonts w:hint="eastAsia" w:ascii="宋体" w:hAnsi="宋体"/>
        <w:sz w:val="21"/>
        <w:szCs w:val="21"/>
      </w:rPr>
      <w:t xml:space="preserve"> </w:t>
    </w:r>
    <w:r>
      <w:rPr>
        <w:rFonts w:hint="eastAsia" w:ascii="宋体" w:hAnsi="宋体"/>
        <w:sz w:val="21"/>
        <w:szCs w:val="21"/>
        <w:lang w:eastAsia="zh-TW"/>
      </w:rPr>
      <w:t xml:space="preserve">                             </w:t>
    </w:r>
    <w:r>
      <w:rPr>
        <w:rFonts w:hint="eastAsia" w:ascii="宋体" w:hAnsi="宋体" w:eastAsia="宋体" w:cs="宋体"/>
        <w:sz w:val="21"/>
        <w:szCs w:val="21"/>
      </w:rPr>
      <w:t>年度采购合同V2.0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宋体" w:hAnsi="宋体" w:eastAsia="PMingLiU"/>
        <w:sz w:val="21"/>
        <w:szCs w:val="21"/>
        <w:lang w:eastAsia="zh-TW"/>
      </w:rPr>
    </w:pPr>
    <w:r>
      <w:rPr>
        <w:rFonts w:hint="eastAsia" w:ascii="微软雅黑" w:hAnsi="微软雅黑" w:eastAsia="微软雅黑" w:cs="微软雅黑"/>
        <w:sz w:val="21"/>
        <w:szCs w:val="21"/>
        <w:lang w:eastAsia="zh-CN"/>
      </w:rPr>
      <w:t>贵州壁虎新能源汽车有限公司</w:t>
    </w:r>
    <w:r>
      <w:rPr>
        <w:rFonts w:hint="eastAsia" w:ascii="宋体" w:hAnsi="宋体"/>
        <w:sz w:val="21"/>
        <w:szCs w:val="21"/>
      </w:rPr>
      <w:t xml:space="preserve"> </w:t>
    </w:r>
    <w:r>
      <w:rPr>
        <w:rFonts w:hint="eastAsia" w:ascii="宋体" w:hAnsi="宋体"/>
        <w:sz w:val="21"/>
        <w:szCs w:val="21"/>
        <w:lang w:eastAsia="zh-TW"/>
      </w:rPr>
      <w:t xml:space="preserve">                             </w:t>
    </w:r>
    <w:r>
      <w:rPr>
        <w:rFonts w:hint="eastAsia" w:ascii="宋体" w:hAnsi="宋体" w:eastAsia="宋体" w:cs="宋体"/>
        <w:sz w:val="21"/>
        <w:szCs w:val="21"/>
      </w:rPr>
      <w:t>年度采购合同</w:t>
    </w:r>
    <w:r>
      <w:rPr>
        <w:rFonts w:hint="eastAsia"/>
        <w:sz w:val="21"/>
        <w:szCs w:val="21"/>
        <w:lang w:eastAsia="zh-TW"/>
      </w:rPr>
      <w:t>V2.0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34350"/>
    <w:multiLevelType w:val="singleLevel"/>
    <w:tmpl w:val="CBA3435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hideSpellingErrors/>
  <w:documentProtection w:edit="trackedChanges" w:formatting="1"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YjhhNjEzNWEwOGEzMGZjMzYyZGNkN2E0NjBhNWYifQ=="/>
  </w:docVars>
  <w:rsids>
    <w:rsidRoot w:val="0053649D"/>
    <w:rsid w:val="000013C4"/>
    <w:rsid w:val="00007085"/>
    <w:rsid w:val="00007FF5"/>
    <w:rsid w:val="00010FD0"/>
    <w:rsid w:val="00017EED"/>
    <w:rsid w:val="0002020F"/>
    <w:rsid w:val="0002160A"/>
    <w:rsid w:val="0002347F"/>
    <w:rsid w:val="00027E75"/>
    <w:rsid w:val="00030B29"/>
    <w:rsid w:val="00031D14"/>
    <w:rsid w:val="0003568B"/>
    <w:rsid w:val="00036000"/>
    <w:rsid w:val="00040337"/>
    <w:rsid w:val="00041053"/>
    <w:rsid w:val="00041D62"/>
    <w:rsid w:val="000424CD"/>
    <w:rsid w:val="00043471"/>
    <w:rsid w:val="00045E1C"/>
    <w:rsid w:val="00052B1E"/>
    <w:rsid w:val="00053805"/>
    <w:rsid w:val="00056048"/>
    <w:rsid w:val="0005661C"/>
    <w:rsid w:val="000579B6"/>
    <w:rsid w:val="00066615"/>
    <w:rsid w:val="0006719B"/>
    <w:rsid w:val="00093054"/>
    <w:rsid w:val="00097C77"/>
    <w:rsid w:val="000A1199"/>
    <w:rsid w:val="000A4276"/>
    <w:rsid w:val="000B659A"/>
    <w:rsid w:val="000C15B5"/>
    <w:rsid w:val="000C3119"/>
    <w:rsid w:val="000C3155"/>
    <w:rsid w:val="000D2EBD"/>
    <w:rsid w:val="000D4CD4"/>
    <w:rsid w:val="000E4F09"/>
    <w:rsid w:val="000F47D9"/>
    <w:rsid w:val="000F5A72"/>
    <w:rsid w:val="001037F1"/>
    <w:rsid w:val="00107432"/>
    <w:rsid w:val="001134B5"/>
    <w:rsid w:val="00121334"/>
    <w:rsid w:val="00127E42"/>
    <w:rsid w:val="00132038"/>
    <w:rsid w:val="0016485C"/>
    <w:rsid w:val="00166FCB"/>
    <w:rsid w:val="00171D2D"/>
    <w:rsid w:val="0017267F"/>
    <w:rsid w:val="00180D17"/>
    <w:rsid w:val="00181A2D"/>
    <w:rsid w:val="00182617"/>
    <w:rsid w:val="00185E96"/>
    <w:rsid w:val="00187106"/>
    <w:rsid w:val="00187861"/>
    <w:rsid w:val="00187C15"/>
    <w:rsid w:val="00195BFC"/>
    <w:rsid w:val="001A088B"/>
    <w:rsid w:val="001A285E"/>
    <w:rsid w:val="001A687D"/>
    <w:rsid w:val="001B7CA1"/>
    <w:rsid w:val="001C2485"/>
    <w:rsid w:val="001C3A85"/>
    <w:rsid w:val="001D5878"/>
    <w:rsid w:val="001D7E2D"/>
    <w:rsid w:val="001E2B44"/>
    <w:rsid w:val="001E5F56"/>
    <w:rsid w:val="001E693B"/>
    <w:rsid w:val="001F10D4"/>
    <w:rsid w:val="001F5F9B"/>
    <w:rsid w:val="00201CF6"/>
    <w:rsid w:val="002031C9"/>
    <w:rsid w:val="00204581"/>
    <w:rsid w:val="0020532E"/>
    <w:rsid w:val="00210D26"/>
    <w:rsid w:val="002121EC"/>
    <w:rsid w:val="00214AD4"/>
    <w:rsid w:val="00220615"/>
    <w:rsid w:val="00221DAE"/>
    <w:rsid w:val="00222511"/>
    <w:rsid w:val="00225060"/>
    <w:rsid w:val="002251AD"/>
    <w:rsid w:val="0023739F"/>
    <w:rsid w:val="00240D75"/>
    <w:rsid w:val="00244BF0"/>
    <w:rsid w:val="00247102"/>
    <w:rsid w:val="0024764B"/>
    <w:rsid w:val="002568A2"/>
    <w:rsid w:val="00263119"/>
    <w:rsid w:val="00263AC8"/>
    <w:rsid w:val="00274A5A"/>
    <w:rsid w:val="00276F98"/>
    <w:rsid w:val="00281673"/>
    <w:rsid w:val="00285487"/>
    <w:rsid w:val="0029320A"/>
    <w:rsid w:val="00296243"/>
    <w:rsid w:val="002B59E1"/>
    <w:rsid w:val="002B757C"/>
    <w:rsid w:val="002C0C26"/>
    <w:rsid w:val="002C24A4"/>
    <w:rsid w:val="002C4AD9"/>
    <w:rsid w:val="002C6AE7"/>
    <w:rsid w:val="002D17FA"/>
    <w:rsid w:val="002D208B"/>
    <w:rsid w:val="002E0E01"/>
    <w:rsid w:val="002E2A1C"/>
    <w:rsid w:val="002E36D2"/>
    <w:rsid w:val="002F0ABB"/>
    <w:rsid w:val="002F523A"/>
    <w:rsid w:val="002F52CD"/>
    <w:rsid w:val="00302553"/>
    <w:rsid w:val="00312871"/>
    <w:rsid w:val="003137E7"/>
    <w:rsid w:val="0031710F"/>
    <w:rsid w:val="00317574"/>
    <w:rsid w:val="003306D1"/>
    <w:rsid w:val="00341A54"/>
    <w:rsid w:val="0034681C"/>
    <w:rsid w:val="00350B19"/>
    <w:rsid w:val="00357E91"/>
    <w:rsid w:val="0037312B"/>
    <w:rsid w:val="003773F9"/>
    <w:rsid w:val="00391B2B"/>
    <w:rsid w:val="00395A8A"/>
    <w:rsid w:val="003A7B04"/>
    <w:rsid w:val="003B3025"/>
    <w:rsid w:val="003B428F"/>
    <w:rsid w:val="003C06EC"/>
    <w:rsid w:val="003C17BE"/>
    <w:rsid w:val="003C7103"/>
    <w:rsid w:val="003D1330"/>
    <w:rsid w:val="003D5D1B"/>
    <w:rsid w:val="003D6AA8"/>
    <w:rsid w:val="003E183C"/>
    <w:rsid w:val="003E3224"/>
    <w:rsid w:val="003E50C8"/>
    <w:rsid w:val="003E759B"/>
    <w:rsid w:val="003E79F4"/>
    <w:rsid w:val="003E7B82"/>
    <w:rsid w:val="003F3600"/>
    <w:rsid w:val="003F3610"/>
    <w:rsid w:val="003F399C"/>
    <w:rsid w:val="00405FAD"/>
    <w:rsid w:val="004112C0"/>
    <w:rsid w:val="00415218"/>
    <w:rsid w:val="00431D8C"/>
    <w:rsid w:val="00433206"/>
    <w:rsid w:val="00435CB3"/>
    <w:rsid w:val="004417CA"/>
    <w:rsid w:val="00441810"/>
    <w:rsid w:val="004441D0"/>
    <w:rsid w:val="00446B9D"/>
    <w:rsid w:val="004510BC"/>
    <w:rsid w:val="00467D68"/>
    <w:rsid w:val="00470178"/>
    <w:rsid w:val="004712B9"/>
    <w:rsid w:val="0048342F"/>
    <w:rsid w:val="00485C31"/>
    <w:rsid w:val="00494076"/>
    <w:rsid w:val="004A1A6A"/>
    <w:rsid w:val="004A2D79"/>
    <w:rsid w:val="004A7A89"/>
    <w:rsid w:val="004B1A52"/>
    <w:rsid w:val="004C04AD"/>
    <w:rsid w:val="004C5948"/>
    <w:rsid w:val="004F29C6"/>
    <w:rsid w:val="004F65BF"/>
    <w:rsid w:val="005003E2"/>
    <w:rsid w:val="00501F29"/>
    <w:rsid w:val="005027F1"/>
    <w:rsid w:val="005047F8"/>
    <w:rsid w:val="005050DB"/>
    <w:rsid w:val="00514A70"/>
    <w:rsid w:val="005170FA"/>
    <w:rsid w:val="00520E93"/>
    <w:rsid w:val="00523958"/>
    <w:rsid w:val="00526E48"/>
    <w:rsid w:val="00534A67"/>
    <w:rsid w:val="0053649D"/>
    <w:rsid w:val="00537765"/>
    <w:rsid w:val="00555F6E"/>
    <w:rsid w:val="00561290"/>
    <w:rsid w:val="00562817"/>
    <w:rsid w:val="00565ADB"/>
    <w:rsid w:val="0056622A"/>
    <w:rsid w:val="00566DB2"/>
    <w:rsid w:val="00567043"/>
    <w:rsid w:val="00580271"/>
    <w:rsid w:val="00591A76"/>
    <w:rsid w:val="00591CB2"/>
    <w:rsid w:val="005A5ED8"/>
    <w:rsid w:val="005B43E3"/>
    <w:rsid w:val="005B480A"/>
    <w:rsid w:val="005D0D24"/>
    <w:rsid w:val="005D1037"/>
    <w:rsid w:val="005D6336"/>
    <w:rsid w:val="005E1890"/>
    <w:rsid w:val="005E40A6"/>
    <w:rsid w:val="005E43E6"/>
    <w:rsid w:val="005E60D4"/>
    <w:rsid w:val="005F5DFA"/>
    <w:rsid w:val="0060215A"/>
    <w:rsid w:val="00602C95"/>
    <w:rsid w:val="00603A0A"/>
    <w:rsid w:val="0060552A"/>
    <w:rsid w:val="00606C02"/>
    <w:rsid w:val="00607D79"/>
    <w:rsid w:val="006144ED"/>
    <w:rsid w:val="00621E58"/>
    <w:rsid w:val="00625AA2"/>
    <w:rsid w:val="00632C39"/>
    <w:rsid w:val="006415E1"/>
    <w:rsid w:val="0065257D"/>
    <w:rsid w:val="006539AF"/>
    <w:rsid w:val="006573AF"/>
    <w:rsid w:val="0067096F"/>
    <w:rsid w:val="00677813"/>
    <w:rsid w:val="0068240A"/>
    <w:rsid w:val="00685138"/>
    <w:rsid w:val="00686F10"/>
    <w:rsid w:val="00687A59"/>
    <w:rsid w:val="00693F92"/>
    <w:rsid w:val="00695AFA"/>
    <w:rsid w:val="0069709D"/>
    <w:rsid w:val="006A0AD5"/>
    <w:rsid w:val="006B1DC0"/>
    <w:rsid w:val="006B593F"/>
    <w:rsid w:val="006C4540"/>
    <w:rsid w:val="006D2020"/>
    <w:rsid w:val="006F3E61"/>
    <w:rsid w:val="006F5B38"/>
    <w:rsid w:val="006F7B05"/>
    <w:rsid w:val="007059AE"/>
    <w:rsid w:val="00710221"/>
    <w:rsid w:val="007124A6"/>
    <w:rsid w:val="007128AA"/>
    <w:rsid w:val="00712CBE"/>
    <w:rsid w:val="00715538"/>
    <w:rsid w:val="00716280"/>
    <w:rsid w:val="00727E45"/>
    <w:rsid w:val="00731961"/>
    <w:rsid w:val="00732007"/>
    <w:rsid w:val="00733E69"/>
    <w:rsid w:val="007356B5"/>
    <w:rsid w:val="00737887"/>
    <w:rsid w:val="0074292B"/>
    <w:rsid w:val="007458B3"/>
    <w:rsid w:val="00745D30"/>
    <w:rsid w:val="00746DDE"/>
    <w:rsid w:val="00752F04"/>
    <w:rsid w:val="007549CC"/>
    <w:rsid w:val="00755FB4"/>
    <w:rsid w:val="00757E62"/>
    <w:rsid w:val="00764266"/>
    <w:rsid w:val="00764F64"/>
    <w:rsid w:val="00765E53"/>
    <w:rsid w:val="007750F3"/>
    <w:rsid w:val="0077691B"/>
    <w:rsid w:val="0078194D"/>
    <w:rsid w:val="00781B24"/>
    <w:rsid w:val="00781FCF"/>
    <w:rsid w:val="00786443"/>
    <w:rsid w:val="00790396"/>
    <w:rsid w:val="0079089B"/>
    <w:rsid w:val="00792ADC"/>
    <w:rsid w:val="007977A9"/>
    <w:rsid w:val="007A1529"/>
    <w:rsid w:val="007A1D69"/>
    <w:rsid w:val="007A4AD8"/>
    <w:rsid w:val="007A4D47"/>
    <w:rsid w:val="007B14ED"/>
    <w:rsid w:val="007B26FA"/>
    <w:rsid w:val="007B2D88"/>
    <w:rsid w:val="007B5368"/>
    <w:rsid w:val="007B5A94"/>
    <w:rsid w:val="007C4A2C"/>
    <w:rsid w:val="007D7577"/>
    <w:rsid w:val="007D759B"/>
    <w:rsid w:val="007E1AF4"/>
    <w:rsid w:val="007E22D5"/>
    <w:rsid w:val="007E2891"/>
    <w:rsid w:val="007E40D9"/>
    <w:rsid w:val="007E7059"/>
    <w:rsid w:val="007E77E7"/>
    <w:rsid w:val="007F5655"/>
    <w:rsid w:val="008044A0"/>
    <w:rsid w:val="0082198A"/>
    <w:rsid w:val="00825612"/>
    <w:rsid w:val="008316E9"/>
    <w:rsid w:val="008367EA"/>
    <w:rsid w:val="00836E54"/>
    <w:rsid w:val="00837B9D"/>
    <w:rsid w:val="00845753"/>
    <w:rsid w:val="00846F65"/>
    <w:rsid w:val="00856EB3"/>
    <w:rsid w:val="008612B5"/>
    <w:rsid w:val="00865D38"/>
    <w:rsid w:val="00867078"/>
    <w:rsid w:val="008738A9"/>
    <w:rsid w:val="00873920"/>
    <w:rsid w:val="00875A06"/>
    <w:rsid w:val="00877EB7"/>
    <w:rsid w:val="00880356"/>
    <w:rsid w:val="008A01DE"/>
    <w:rsid w:val="008A21F7"/>
    <w:rsid w:val="008A2385"/>
    <w:rsid w:val="008A3577"/>
    <w:rsid w:val="008A4FD1"/>
    <w:rsid w:val="008B5B29"/>
    <w:rsid w:val="008B6A9E"/>
    <w:rsid w:val="008D0A2F"/>
    <w:rsid w:val="008D70D1"/>
    <w:rsid w:val="008E001F"/>
    <w:rsid w:val="008E09CF"/>
    <w:rsid w:val="008E0D4A"/>
    <w:rsid w:val="008E3250"/>
    <w:rsid w:val="008E53CF"/>
    <w:rsid w:val="008F1065"/>
    <w:rsid w:val="008F1D23"/>
    <w:rsid w:val="008F232D"/>
    <w:rsid w:val="008F6D60"/>
    <w:rsid w:val="009002E8"/>
    <w:rsid w:val="00927C96"/>
    <w:rsid w:val="00937C2A"/>
    <w:rsid w:val="00941006"/>
    <w:rsid w:val="00947E4C"/>
    <w:rsid w:val="00950AD8"/>
    <w:rsid w:val="00952520"/>
    <w:rsid w:val="00952A7D"/>
    <w:rsid w:val="00957739"/>
    <w:rsid w:val="00957F7F"/>
    <w:rsid w:val="0096119F"/>
    <w:rsid w:val="0096333E"/>
    <w:rsid w:val="00974874"/>
    <w:rsid w:val="00981073"/>
    <w:rsid w:val="00987EB3"/>
    <w:rsid w:val="00992AFD"/>
    <w:rsid w:val="00993F41"/>
    <w:rsid w:val="00996195"/>
    <w:rsid w:val="009A1E5D"/>
    <w:rsid w:val="009A2803"/>
    <w:rsid w:val="009A57DC"/>
    <w:rsid w:val="009A7157"/>
    <w:rsid w:val="009B0522"/>
    <w:rsid w:val="009B1796"/>
    <w:rsid w:val="009B40CB"/>
    <w:rsid w:val="009B4F36"/>
    <w:rsid w:val="009B5B7D"/>
    <w:rsid w:val="009B5EE4"/>
    <w:rsid w:val="009B7B78"/>
    <w:rsid w:val="009C22A2"/>
    <w:rsid w:val="009C536F"/>
    <w:rsid w:val="009C7A0A"/>
    <w:rsid w:val="009D2A78"/>
    <w:rsid w:val="009D305F"/>
    <w:rsid w:val="009E1626"/>
    <w:rsid w:val="009E40FA"/>
    <w:rsid w:val="009F1DAE"/>
    <w:rsid w:val="009F1ECD"/>
    <w:rsid w:val="00A05EEA"/>
    <w:rsid w:val="00A0606B"/>
    <w:rsid w:val="00A15539"/>
    <w:rsid w:val="00A16C72"/>
    <w:rsid w:val="00A21FF2"/>
    <w:rsid w:val="00A22B2B"/>
    <w:rsid w:val="00A23C8B"/>
    <w:rsid w:val="00A24866"/>
    <w:rsid w:val="00A26F9F"/>
    <w:rsid w:val="00A328C1"/>
    <w:rsid w:val="00A47CCF"/>
    <w:rsid w:val="00A5110E"/>
    <w:rsid w:val="00A5255B"/>
    <w:rsid w:val="00A5513D"/>
    <w:rsid w:val="00A567F4"/>
    <w:rsid w:val="00A62494"/>
    <w:rsid w:val="00A708D1"/>
    <w:rsid w:val="00A721EC"/>
    <w:rsid w:val="00A74E78"/>
    <w:rsid w:val="00A90E75"/>
    <w:rsid w:val="00A91773"/>
    <w:rsid w:val="00A95B85"/>
    <w:rsid w:val="00A9778C"/>
    <w:rsid w:val="00AA2D0F"/>
    <w:rsid w:val="00AB5DBF"/>
    <w:rsid w:val="00AB6904"/>
    <w:rsid w:val="00AC3271"/>
    <w:rsid w:val="00AD2126"/>
    <w:rsid w:val="00AD57EA"/>
    <w:rsid w:val="00AD6F9B"/>
    <w:rsid w:val="00AD7962"/>
    <w:rsid w:val="00AE14C0"/>
    <w:rsid w:val="00AF6DBF"/>
    <w:rsid w:val="00B11045"/>
    <w:rsid w:val="00B16F27"/>
    <w:rsid w:val="00B24DF7"/>
    <w:rsid w:val="00B26EA8"/>
    <w:rsid w:val="00B311CC"/>
    <w:rsid w:val="00B349C9"/>
    <w:rsid w:val="00B45948"/>
    <w:rsid w:val="00B61267"/>
    <w:rsid w:val="00B63EE5"/>
    <w:rsid w:val="00B732E6"/>
    <w:rsid w:val="00B73405"/>
    <w:rsid w:val="00B73AD3"/>
    <w:rsid w:val="00B766CA"/>
    <w:rsid w:val="00B848C4"/>
    <w:rsid w:val="00B85D12"/>
    <w:rsid w:val="00B90634"/>
    <w:rsid w:val="00B97586"/>
    <w:rsid w:val="00B9790A"/>
    <w:rsid w:val="00BA7B6B"/>
    <w:rsid w:val="00BB00A2"/>
    <w:rsid w:val="00BB207D"/>
    <w:rsid w:val="00BB3427"/>
    <w:rsid w:val="00BB47C6"/>
    <w:rsid w:val="00BB53C5"/>
    <w:rsid w:val="00BC11F6"/>
    <w:rsid w:val="00BC439B"/>
    <w:rsid w:val="00BC5EC7"/>
    <w:rsid w:val="00BC67B9"/>
    <w:rsid w:val="00BC6CD2"/>
    <w:rsid w:val="00BD25A2"/>
    <w:rsid w:val="00BD5CD2"/>
    <w:rsid w:val="00BE23F8"/>
    <w:rsid w:val="00BE2546"/>
    <w:rsid w:val="00BE2AC2"/>
    <w:rsid w:val="00C10ADC"/>
    <w:rsid w:val="00C113C9"/>
    <w:rsid w:val="00C13E42"/>
    <w:rsid w:val="00C154D4"/>
    <w:rsid w:val="00C1751C"/>
    <w:rsid w:val="00C20C47"/>
    <w:rsid w:val="00C30E06"/>
    <w:rsid w:val="00C321D4"/>
    <w:rsid w:val="00C32916"/>
    <w:rsid w:val="00C4023B"/>
    <w:rsid w:val="00C41330"/>
    <w:rsid w:val="00C41DCD"/>
    <w:rsid w:val="00C70399"/>
    <w:rsid w:val="00C70B7A"/>
    <w:rsid w:val="00C71701"/>
    <w:rsid w:val="00C71E81"/>
    <w:rsid w:val="00C73211"/>
    <w:rsid w:val="00C73A3E"/>
    <w:rsid w:val="00C81EED"/>
    <w:rsid w:val="00CA7B52"/>
    <w:rsid w:val="00CB0A2B"/>
    <w:rsid w:val="00CB5929"/>
    <w:rsid w:val="00CC12EC"/>
    <w:rsid w:val="00CC65B2"/>
    <w:rsid w:val="00CC65F5"/>
    <w:rsid w:val="00CD4B0C"/>
    <w:rsid w:val="00CD4DC3"/>
    <w:rsid w:val="00CD6457"/>
    <w:rsid w:val="00CF2AD5"/>
    <w:rsid w:val="00CF38DB"/>
    <w:rsid w:val="00D019BB"/>
    <w:rsid w:val="00D050E6"/>
    <w:rsid w:val="00D06AFF"/>
    <w:rsid w:val="00D07D4F"/>
    <w:rsid w:val="00D103A4"/>
    <w:rsid w:val="00D1526E"/>
    <w:rsid w:val="00D16E3C"/>
    <w:rsid w:val="00D309DE"/>
    <w:rsid w:val="00D31553"/>
    <w:rsid w:val="00D4231E"/>
    <w:rsid w:val="00D5381B"/>
    <w:rsid w:val="00D560CD"/>
    <w:rsid w:val="00D626E9"/>
    <w:rsid w:val="00D65301"/>
    <w:rsid w:val="00D6567B"/>
    <w:rsid w:val="00D7051D"/>
    <w:rsid w:val="00D7363D"/>
    <w:rsid w:val="00D762A7"/>
    <w:rsid w:val="00D81E30"/>
    <w:rsid w:val="00D85792"/>
    <w:rsid w:val="00D86083"/>
    <w:rsid w:val="00D86DF8"/>
    <w:rsid w:val="00D9574C"/>
    <w:rsid w:val="00DA36DA"/>
    <w:rsid w:val="00DA5582"/>
    <w:rsid w:val="00DA5C0F"/>
    <w:rsid w:val="00DB0023"/>
    <w:rsid w:val="00DB016A"/>
    <w:rsid w:val="00DC07FF"/>
    <w:rsid w:val="00DC3836"/>
    <w:rsid w:val="00DC62D3"/>
    <w:rsid w:val="00DD1853"/>
    <w:rsid w:val="00DD1DCF"/>
    <w:rsid w:val="00DD56DB"/>
    <w:rsid w:val="00DE3458"/>
    <w:rsid w:val="00DE51AB"/>
    <w:rsid w:val="00DE5757"/>
    <w:rsid w:val="00E030FD"/>
    <w:rsid w:val="00E12CA5"/>
    <w:rsid w:val="00E15190"/>
    <w:rsid w:val="00E15C4D"/>
    <w:rsid w:val="00E1712A"/>
    <w:rsid w:val="00E17C42"/>
    <w:rsid w:val="00E20003"/>
    <w:rsid w:val="00E309C8"/>
    <w:rsid w:val="00E31A5D"/>
    <w:rsid w:val="00E333CA"/>
    <w:rsid w:val="00E34FD2"/>
    <w:rsid w:val="00E35547"/>
    <w:rsid w:val="00E432E0"/>
    <w:rsid w:val="00E53883"/>
    <w:rsid w:val="00E60B59"/>
    <w:rsid w:val="00E663D9"/>
    <w:rsid w:val="00E716A2"/>
    <w:rsid w:val="00E739DF"/>
    <w:rsid w:val="00E73A01"/>
    <w:rsid w:val="00E73E2A"/>
    <w:rsid w:val="00E754E3"/>
    <w:rsid w:val="00E778D2"/>
    <w:rsid w:val="00E82CCC"/>
    <w:rsid w:val="00E918D3"/>
    <w:rsid w:val="00E96D63"/>
    <w:rsid w:val="00EA3DED"/>
    <w:rsid w:val="00EA53E5"/>
    <w:rsid w:val="00EB1416"/>
    <w:rsid w:val="00ED3BE6"/>
    <w:rsid w:val="00ED43A5"/>
    <w:rsid w:val="00ED4A59"/>
    <w:rsid w:val="00EE10CC"/>
    <w:rsid w:val="00EE1E61"/>
    <w:rsid w:val="00EE4E16"/>
    <w:rsid w:val="00EF2025"/>
    <w:rsid w:val="00EF5F45"/>
    <w:rsid w:val="00F27E4A"/>
    <w:rsid w:val="00F30E48"/>
    <w:rsid w:val="00F314C2"/>
    <w:rsid w:val="00F320B1"/>
    <w:rsid w:val="00F339C3"/>
    <w:rsid w:val="00F364BE"/>
    <w:rsid w:val="00F3701F"/>
    <w:rsid w:val="00F42799"/>
    <w:rsid w:val="00F45A70"/>
    <w:rsid w:val="00F47334"/>
    <w:rsid w:val="00F5131F"/>
    <w:rsid w:val="00F62D11"/>
    <w:rsid w:val="00F6789F"/>
    <w:rsid w:val="00F73433"/>
    <w:rsid w:val="00F776AA"/>
    <w:rsid w:val="00F84DFE"/>
    <w:rsid w:val="00F87929"/>
    <w:rsid w:val="00F90080"/>
    <w:rsid w:val="00F93B39"/>
    <w:rsid w:val="00F95256"/>
    <w:rsid w:val="00FC02E1"/>
    <w:rsid w:val="00FD16A5"/>
    <w:rsid w:val="00FD1DBA"/>
    <w:rsid w:val="00FE341F"/>
    <w:rsid w:val="00FE3514"/>
    <w:rsid w:val="00FE47F9"/>
    <w:rsid w:val="00FE76E9"/>
    <w:rsid w:val="00FE78E9"/>
    <w:rsid w:val="00FF4008"/>
    <w:rsid w:val="00FF5B86"/>
    <w:rsid w:val="010425F8"/>
    <w:rsid w:val="04561A95"/>
    <w:rsid w:val="05850AAC"/>
    <w:rsid w:val="05DB0FC2"/>
    <w:rsid w:val="084565EA"/>
    <w:rsid w:val="0892494E"/>
    <w:rsid w:val="08DD20DA"/>
    <w:rsid w:val="0A0F782B"/>
    <w:rsid w:val="0ECD6587"/>
    <w:rsid w:val="133367D2"/>
    <w:rsid w:val="14DC7AD2"/>
    <w:rsid w:val="17EF4F1E"/>
    <w:rsid w:val="1842478B"/>
    <w:rsid w:val="18865305"/>
    <w:rsid w:val="195D4291"/>
    <w:rsid w:val="1AC00079"/>
    <w:rsid w:val="1C022671"/>
    <w:rsid w:val="1DB0408D"/>
    <w:rsid w:val="1FF44AE3"/>
    <w:rsid w:val="202D5F7A"/>
    <w:rsid w:val="20B54E9E"/>
    <w:rsid w:val="215F11DB"/>
    <w:rsid w:val="217D4A81"/>
    <w:rsid w:val="21A446A8"/>
    <w:rsid w:val="229E7575"/>
    <w:rsid w:val="22C332B1"/>
    <w:rsid w:val="24322B76"/>
    <w:rsid w:val="24396318"/>
    <w:rsid w:val="24915D92"/>
    <w:rsid w:val="24DF7495"/>
    <w:rsid w:val="24FA356C"/>
    <w:rsid w:val="25962EE1"/>
    <w:rsid w:val="25A4045A"/>
    <w:rsid w:val="2BC52FD9"/>
    <w:rsid w:val="2C2465EB"/>
    <w:rsid w:val="2D18472F"/>
    <w:rsid w:val="2D744A88"/>
    <w:rsid w:val="2E9224EB"/>
    <w:rsid w:val="2EA44365"/>
    <w:rsid w:val="2F746DEB"/>
    <w:rsid w:val="2F887661"/>
    <w:rsid w:val="2FAC17DA"/>
    <w:rsid w:val="303562D0"/>
    <w:rsid w:val="30D003E4"/>
    <w:rsid w:val="314872A3"/>
    <w:rsid w:val="31CD7D06"/>
    <w:rsid w:val="348152C8"/>
    <w:rsid w:val="39F15CAD"/>
    <w:rsid w:val="3C4F50D3"/>
    <w:rsid w:val="3D0271FE"/>
    <w:rsid w:val="42253154"/>
    <w:rsid w:val="437517D0"/>
    <w:rsid w:val="44601867"/>
    <w:rsid w:val="44C87114"/>
    <w:rsid w:val="45E01615"/>
    <w:rsid w:val="45F76003"/>
    <w:rsid w:val="4659490C"/>
    <w:rsid w:val="47CE7B8D"/>
    <w:rsid w:val="4A350B5C"/>
    <w:rsid w:val="4AD16AA7"/>
    <w:rsid w:val="4B9E11B1"/>
    <w:rsid w:val="4C0F26D0"/>
    <w:rsid w:val="4C446F32"/>
    <w:rsid w:val="4D351618"/>
    <w:rsid w:val="4D905256"/>
    <w:rsid w:val="4DBE302C"/>
    <w:rsid w:val="4E671500"/>
    <w:rsid w:val="50F54601"/>
    <w:rsid w:val="51151AF0"/>
    <w:rsid w:val="51C86E63"/>
    <w:rsid w:val="51E36DF4"/>
    <w:rsid w:val="52A5091F"/>
    <w:rsid w:val="52E20223"/>
    <w:rsid w:val="53747838"/>
    <w:rsid w:val="55BF2AFB"/>
    <w:rsid w:val="59CA69B3"/>
    <w:rsid w:val="59E63BC0"/>
    <w:rsid w:val="5F3C655C"/>
    <w:rsid w:val="60724F7A"/>
    <w:rsid w:val="60951DF5"/>
    <w:rsid w:val="60A92A87"/>
    <w:rsid w:val="61E36A7D"/>
    <w:rsid w:val="61F52E76"/>
    <w:rsid w:val="63021EFE"/>
    <w:rsid w:val="64766E02"/>
    <w:rsid w:val="64FC4226"/>
    <w:rsid w:val="65360B37"/>
    <w:rsid w:val="6667518D"/>
    <w:rsid w:val="67D540A6"/>
    <w:rsid w:val="68007BC8"/>
    <w:rsid w:val="683901A5"/>
    <w:rsid w:val="695304B3"/>
    <w:rsid w:val="69DF4B8A"/>
    <w:rsid w:val="6A671843"/>
    <w:rsid w:val="6BF658A6"/>
    <w:rsid w:val="6CC4208E"/>
    <w:rsid w:val="6CD155D4"/>
    <w:rsid w:val="6CE94EE5"/>
    <w:rsid w:val="6D1805E6"/>
    <w:rsid w:val="72DE6B2A"/>
    <w:rsid w:val="73177E21"/>
    <w:rsid w:val="73591694"/>
    <w:rsid w:val="73E93ECF"/>
    <w:rsid w:val="75F66CAB"/>
    <w:rsid w:val="78DE630B"/>
    <w:rsid w:val="7B315060"/>
    <w:rsid w:val="7CF27AE8"/>
    <w:rsid w:val="7E910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zh-TW" w:eastAsia="zh-CN"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5"/>
    <w:unhideWhenUsed/>
    <w:qFormat/>
    <w:uiPriority w:val="99"/>
    <w:pPr>
      <w:jc w:val="left"/>
    </w:pPr>
  </w:style>
  <w:style w:type="paragraph" w:styleId="9">
    <w:name w:val="Date"/>
    <w:basedOn w:val="1"/>
    <w:next w:val="1"/>
    <w:link w:val="44"/>
    <w:semiHidden/>
    <w:unhideWhenUsed/>
    <w:qFormat/>
    <w:uiPriority w:val="99"/>
    <w:pPr>
      <w:ind w:left="100" w:leftChars="2500"/>
    </w:pPr>
  </w:style>
  <w:style w:type="paragraph" w:styleId="10">
    <w:name w:val="Balloon Text"/>
    <w:basedOn w:val="1"/>
    <w:link w:val="28"/>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4">
    <w:name w:val="Title"/>
    <w:basedOn w:val="1"/>
    <w:next w:val="1"/>
    <w:qFormat/>
    <w:uiPriority w:val="10"/>
    <w:pPr>
      <w:keepNext/>
      <w:keepLines/>
      <w:spacing w:before="480" w:after="120"/>
    </w:pPr>
    <w:rPr>
      <w:b/>
      <w:sz w:val="72"/>
      <w:szCs w:val="72"/>
    </w:rPr>
  </w:style>
  <w:style w:type="paragraph" w:styleId="15">
    <w:name w:val="annotation subject"/>
    <w:basedOn w:val="8"/>
    <w:next w:val="8"/>
    <w:link w:val="26"/>
    <w:semiHidden/>
    <w:unhideWhenUsed/>
    <w:qFormat/>
    <w:uiPriority w:val="99"/>
    <w:rPr>
      <w:b/>
      <w:bCs/>
    </w:rPr>
  </w:style>
  <w:style w:type="character" w:styleId="18">
    <w:name w:val="Hyperlink"/>
    <w:qFormat/>
    <w:uiPriority w:val="0"/>
    <w:rPr>
      <w:u w:val="single"/>
    </w:rPr>
  </w:style>
  <w:style w:type="character" w:styleId="19">
    <w:name w:val="annotation reference"/>
    <w:basedOn w:val="17"/>
    <w:semiHidden/>
    <w:unhideWhenUsed/>
    <w:qFormat/>
    <w:uiPriority w:val="99"/>
    <w:rPr>
      <w:sz w:val="21"/>
      <w:szCs w:val="21"/>
    </w:rPr>
  </w:style>
  <w:style w:type="table" w:customStyle="1" w:styleId="20">
    <w:name w:val="Table Normal"/>
    <w:qFormat/>
    <w:uiPriority w:val="0"/>
    <w:tblPr>
      <w:tblCellMar>
        <w:top w:w="0" w:type="dxa"/>
        <w:left w:w="0" w:type="dxa"/>
        <w:bottom w:w="0" w:type="dxa"/>
        <w:right w:w="0" w:type="dxa"/>
      </w:tblCellMar>
    </w:tblPr>
  </w:style>
  <w:style w:type="paragraph" w:customStyle="1" w:styleId="21">
    <w:name w:val="页眉与页脚"/>
    <w:qFormat/>
    <w:uiPriority w:val="0"/>
    <w:pPr>
      <w:widowControl w:val="0"/>
      <w:tabs>
        <w:tab w:val="right" w:pos="9020"/>
      </w:tabs>
      <w:jc w:val="both"/>
    </w:pPr>
    <w:rPr>
      <w:rFonts w:ascii="PingFang SC Regular" w:hAnsi="PingFang SC Regular" w:eastAsia="Arial Unicode MS" w:cs="Arial Unicode MS"/>
      <w:color w:val="000000"/>
      <w:sz w:val="24"/>
      <w:szCs w:val="24"/>
      <w:lang w:val="zh-TW" w:eastAsia="zh-CN" w:bidi="ar-SA"/>
    </w:rPr>
  </w:style>
  <w:style w:type="paragraph" w:styleId="22">
    <w:name w:val="List Paragraph"/>
    <w:qFormat/>
    <w:uiPriority w:val="34"/>
    <w:pPr>
      <w:widowControl w:val="0"/>
      <w:ind w:firstLine="420"/>
      <w:jc w:val="both"/>
    </w:pPr>
    <w:rPr>
      <w:rFonts w:hint="eastAsia" w:ascii="Arial Unicode MS" w:hAnsi="Arial Unicode MS" w:eastAsia="Calibri" w:cs="Arial Unicode MS"/>
      <w:color w:val="000000"/>
      <w:kern w:val="2"/>
      <w:sz w:val="21"/>
      <w:szCs w:val="21"/>
      <w:u w:color="000000"/>
      <w:lang w:val="zh-TW" w:eastAsia="zh-CN" w:bidi="ar-SA"/>
    </w:rPr>
  </w:style>
  <w:style w:type="character" w:customStyle="1" w:styleId="23">
    <w:name w:val="页眉 字符"/>
    <w:basedOn w:val="17"/>
    <w:link w:val="12"/>
    <w:qFormat/>
    <w:uiPriority w:val="0"/>
    <w:rPr>
      <w:rFonts w:ascii="Calibri" w:hAnsi="Calibri" w:eastAsia="Arial Unicode MS" w:cs="Arial Unicode MS"/>
      <w:color w:val="000000"/>
      <w:kern w:val="2"/>
      <w:sz w:val="18"/>
      <w:szCs w:val="18"/>
      <w:u w:color="000000"/>
    </w:rPr>
  </w:style>
  <w:style w:type="character" w:customStyle="1" w:styleId="24">
    <w:name w:val="页脚 字符"/>
    <w:basedOn w:val="17"/>
    <w:link w:val="11"/>
    <w:qFormat/>
    <w:uiPriority w:val="99"/>
    <w:rPr>
      <w:rFonts w:ascii="Calibri" w:hAnsi="Calibri" w:eastAsia="Arial Unicode MS" w:cs="Arial Unicode MS"/>
      <w:color w:val="000000"/>
      <w:kern w:val="2"/>
      <w:sz w:val="18"/>
      <w:szCs w:val="18"/>
      <w:u w:color="000000"/>
    </w:rPr>
  </w:style>
  <w:style w:type="character" w:customStyle="1" w:styleId="25">
    <w:name w:val="批注文字 字符"/>
    <w:basedOn w:val="17"/>
    <w:link w:val="8"/>
    <w:qFormat/>
    <w:uiPriority w:val="99"/>
    <w:rPr>
      <w:rFonts w:ascii="Calibri" w:hAnsi="Calibri" w:eastAsia="Arial Unicode MS" w:cs="Arial Unicode MS"/>
      <w:color w:val="000000"/>
      <w:kern w:val="2"/>
      <w:sz w:val="21"/>
      <w:szCs w:val="21"/>
      <w:u w:color="000000"/>
    </w:rPr>
  </w:style>
  <w:style w:type="character" w:customStyle="1" w:styleId="26">
    <w:name w:val="批注主题 字符"/>
    <w:basedOn w:val="25"/>
    <w:link w:val="15"/>
    <w:semiHidden/>
    <w:qFormat/>
    <w:uiPriority w:val="99"/>
    <w:rPr>
      <w:rFonts w:ascii="Calibri" w:hAnsi="Calibri" w:eastAsia="Arial Unicode MS" w:cs="Arial Unicode MS"/>
      <w:b/>
      <w:bCs/>
      <w:color w:val="000000"/>
      <w:kern w:val="2"/>
      <w:sz w:val="21"/>
      <w:szCs w:val="21"/>
      <w:u w:color="000000"/>
    </w:rPr>
  </w:style>
  <w:style w:type="paragraph" w:customStyle="1" w:styleId="27">
    <w:name w:val="修订1"/>
    <w:hidden/>
    <w:semiHidden/>
    <w:qFormat/>
    <w:uiPriority w:val="99"/>
    <w:pPr>
      <w:widowControl w:val="0"/>
      <w:jc w:val="both"/>
    </w:pPr>
    <w:rPr>
      <w:rFonts w:ascii="Calibri" w:hAnsi="Calibri" w:eastAsia="Arial Unicode MS" w:cs="Arial Unicode MS"/>
      <w:color w:val="000000"/>
      <w:kern w:val="2"/>
      <w:sz w:val="21"/>
      <w:szCs w:val="21"/>
      <w:u w:color="000000"/>
      <w:lang w:val="zh-TW" w:eastAsia="zh-CN" w:bidi="ar-SA"/>
    </w:rPr>
  </w:style>
  <w:style w:type="character" w:customStyle="1" w:styleId="28">
    <w:name w:val="批注框文本 字符"/>
    <w:basedOn w:val="17"/>
    <w:link w:val="10"/>
    <w:semiHidden/>
    <w:qFormat/>
    <w:uiPriority w:val="99"/>
    <w:rPr>
      <w:rFonts w:ascii="Calibri" w:hAnsi="Calibri" w:eastAsia="Arial Unicode MS" w:cs="Arial Unicode MS"/>
      <w:color w:val="000000"/>
      <w:kern w:val="2"/>
      <w:sz w:val="18"/>
      <w:szCs w:val="18"/>
      <w:u w:color="000000"/>
    </w:rPr>
  </w:style>
  <w:style w:type="table" w:customStyle="1" w:styleId="29">
    <w:name w:val="_Style 29"/>
    <w:basedOn w:val="20"/>
    <w:qFormat/>
    <w:uiPriority w:val="0"/>
  </w:style>
  <w:style w:type="table" w:customStyle="1" w:styleId="30">
    <w:name w:val="_Style 30"/>
    <w:basedOn w:val="20"/>
    <w:qFormat/>
    <w:uiPriority w:val="0"/>
  </w:style>
  <w:style w:type="table" w:customStyle="1" w:styleId="31">
    <w:name w:val="_Style 31"/>
    <w:basedOn w:val="20"/>
    <w:qFormat/>
    <w:uiPriority w:val="0"/>
  </w:style>
  <w:style w:type="table" w:customStyle="1" w:styleId="32">
    <w:name w:val="_Style 32"/>
    <w:basedOn w:val="20"/>
    <w:qFormat/>
    <w:uiPriority w:val="0"/>
  </w:style>
  <w:style w:type="table" w:customStyle="1" w:styleId="33">
    <w:name w:val="_Style 33"/>
    <w:basedOn w:val="20"/>
    <w:qFormat/>
    <w:uiPriority w:val="0"/>
  </w:style>
  <w:style w:type="table" w:customStyle="1" w:styleId="34">
    <w:name w:val="_Style 34"/>
    <w:basedOn w:val="20"/>
    <w:qFormat/>
    <w:uiPriority w:val="0"/>
  </w:style>
  <w:style w:type="paragraph" w:customStyle="1" w:styleId="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修订2"/>
    <w:hidden/>
    <w:semiHidden/>
    <w:qFormat/>
    <w:uiPriority w:val="99"/>
    <w:rPr>
      <w:rFonts w:ascii="Calibri" w:hAnsi="Calibri" w:eastAsia="Arial Unicode MS" w:cs="Arial Unicode MS"/>
      <w:color w:val="000000"/>
      <w:kern w:val="2"/>
      <w:sz w:val="21"/>
      <w:szCs w:val="21"/>
      <w:u w:color="000000"/>
      <w:lang w:val="zh-TW" w:eastAsia="zh-CN" w:bidi="ar-SA"/>
    </w:rPr>
  </w:style>
  <w:style w:type="paragraph" w:customStyle="1" w:styleId="37">
    <w:name w:val="无间隔1"/>
    <w:link w:val="38"/>
    <w:qFormat/>
    <w:uiPriority w:val="1"/>
    <w:rPr>
      <w:rFonts w:ascii="Calibri" w:hAnsi="Calibri" w:eastAsia="宋体" w:cs="Times New Roman"/>
      <w:sz w:val="22"/>
      <w:szCs w:val="22"/>
      <w:lang w:val="en-US" w:eastAsia="zh-CN" w:bidi="ar-SA"/>
    </w:rPr>
  </w:style>
  <w:style w:type="character" w:customStyle="1" w:styleId="38">
    <w:name w:val="无间隔 Char"/>
    <w:link w:val="37"/>
    <w:qFormat/>
    <w:uiPriority w:val="1"/>
    <w:rPr>
      <w:rFonts w:eastAsia="宋体" w:cs="Times New Roman"/>
      <w:sz w:val="22"/>
      <w:szCs w:val="22"/>
    </w:rPr>
  </w:style>
  <w:style w:type="paragraph" w:customStyle="1" w:styleId="39">
    <w:name w:val="中等深浅网格 1 - 强调文字颜色 21"/>
    <w:basedOn w:val="1"/>
    <w:qFormat/>
    <w:uiPriority w:val="34"/>
    <w:pPr>
      <w:ind w:firstLine="420" w:firstLineChars="200"/>
    </w:pPr>
    <w:rPr>
      <w:rFonts w:ascii="Times New Roman" w:hAnsi="Times New Roman" w:eastAsia="宋体" w:cs="Times New Roman"/>
      <w:color w:val="auto"/>
      <w:szCs w:val="24"/>
      <w:lang w:val="en-US"/>
    </w:rPr>
  </w:style>
  <w:style w:type="paragraph" w:customStyle="1" w:styleId="40">
    <w:name w:val="修订3"/>
    <w:hidden/>
    <w:semiHidden/>
    <w:qFormat/>
    <w:uiPriority w:val="99"/>
    <w:rPr>
      <w:rFonts w:ascii="Calibri" w:hAnsi="Calibri" w:eastAsia="Arial Unicode MS" w:cs="Arial Unicode MS"/>
      <w:color w:val="000000"/>
      <w:kern w:val="2"/>
      <w:sz w:val="21"/>
      <w:szCs w:val="21"/>
      <w:u w:color="000000"/>
      <w:lang w:val="zh-TW" w:eastAsia="zh-CN" w:bidi="ar-SA"/>
    </w:rPr>
  </w:style>
  <w:style w:type="paragraph" w:customStyle="1" w:styleId="41">
    <w:name w:val="修订4"/>
    <w:hidden/>
    <w:semiHidden/>
    <w:qFormat/>
    <w:uiPriority w:val="99"/>
    <w:rPr>
      <w:rFonts w:ascii="Calibri" w:hAnsi="Calibri" w:eastAsia="Arial Unicode MS" w:cs="Arial Unicode MS"/>
      <w:color w:val="000000"/>
      <w:kern w:val="2"/>
      <w:sz w:val="21"/>
      <w:szCs w:val="21"/>
      <w:u w:color="000000"/>
      <w:lang w:val="zh-TW" w:eastAsia="zh-CN" w:bidi="ar-SA"/>
    </w:rPr>
  </w:style>
  <w:style w:type="paragraph" w:customStyle="1" w:styleId="42">
    <w:name w:val="修订5"/>
    <w:hidden/>
    <w:semiHidden/>
    <w:qFormat/>
    <w:uiPriority w:val="99"/>
    <w:rPr>
      <w:rFonts w:ascii="Calibri" w:hAnsi="Calibri" w:eastAsia="Arial Unicode MS" w:cs="Arial Unicode MS"/>
      <w:color w:val="000000"/>
      <w:kern w:val="2"/>
      <w:sz w:val="21"/>
      <w:szCs w:val="21"/>
      <w:u w:color="000000"/>
      <w:lang w:val="zh-TW" w:eastAsia="zh-CN" w:bidi="ar-SA"/>
    </w:rPr>
  </w:style>
  <w:style w:type="paragraph" w:customStyle="1" w:styleId="43">
    <w:name w:val="修订6"/>
    <w:hidden/>
    <w:semiHidden/>
    <w:qFormat/>
    <w:uiPriority w:val="99"/>
    <w:rPr>
      <w:rFonts w:ascii="Calibri" w:hAnsi="Calibri" w:eastAsia="Arial Unicode MS" w:cs="Arial Unicode MS"/>
      <w:color w:val="000000"/>
      <w:kern w:val="2"/>
      <w:sz w:val="21"/>
      <w:szCs w:val="21"/>
      <w:u w:color="000000"/>
      <w:lang w:val="zh-TW" w:eastAsia="zh-CN" w:bidi="ar-SA"/>
    </w:rPr>
  </w:style>
  <w:style w:type="character" w:customStyle="1" w:styleId="44">
    <w:name w:val="日期 字符"/>
    <w:basedOn w:val="17"/>
    <w:link w:val="9"/>
    <w:semiHidden/>
    <w:qFormat/>
    <w:uiPriority w:val="99"/>
    <w:rPr>
      <w:rFonts w:ascii="Calibri" w:hAnsi="Calibri" w:eastAsia="Arial Unicode MS" w:cs="Arial Unicode MS"/>
      <w:color w:val="000000"/>
      <w:kern w:val="2"/>
      <w:sz w:val="21"/>
      <w:szCs w:val="21"/>
      <w:u w:color="000000"/>
      <w:lang w:val="zh-TW"/>
    </w:rPr>
  </w:style>
  <w:style w:type="paragraph" w:customStyle="1" w:styleId="45">
    <w:name w:val="Revision"/>
    <w:hidden/>
    <w:unhideWhenUsed/>
    <w:qFormat/>
    <w:uiPriority w:val="99"/>
    <w:rPr>
      <w:rFonts w:ascii="Calibri" w:hAnsi="Calibri" w:eastAsia="Arial Unicode MS" w:cs="Arial Unicode MS"/>
      <w:color w:val="000000"/>
      <w:kern w:val="2"/>
      <w:sz w:val="21"/>
      <w:szCs w:val="21"/>
      <w:u w:color="000000"/>
      <w:lang w:val="zh-TW"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fhkgiLrqMzJqtuS9lwVrVltdg4g==">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</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customXml/itemProps3.xml><?xml version="1.0" encoding="utf-8"?>
<ds:datastoreItem xmlns:ds="http://schemas.openxmlformats.org/officeDocument/2006/customXml" ds:itemID="{4BF0A147-AD58-40A1-AE7A-45AC0761197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3496</Words>
  <Characters>3764</Characters>
  <Lines>27</Lines>
  <Paragraphs>7</Paragraphs>
  <TotalTime>11</TotalTime>
  <ScaleCrop>false</ScaleCrop>
  <LinksUpToDate>false</LinksUpToDate>
  <CharactersWithSpaces>3860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2022-11-18T05:55:00Z</dcterms:created>
  <dc:creator>Marshall</dc:creator>
  <cp:lastModifiedBy>Wow...</cp:lastModifiedBy>
  <dcterms:modified xsi:type="dcterms:W3CDTF">2025-04-23T03:18:33Z</dcterms:modified>
  <cp:revision>890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591B671325EC4EADB94BF2F1839FB2EE_13</vt:lpwstr>
  </property>
  <property fmtid="{D5CDD505-2E9C-101B-9397-08002B2CF9AE}" pid="4" name="KSOTemplateDocerSaveRecord">
    <vt:lpwstr>eyJoZGlkIjoiNDVhNDQ0NzYwMDQ3ZGUzMjk0MTZhODM2MGQ4YjgwNGIiLCJ1c2VySWQiOiIxMzY3ODY2NzIwIn0=</vt:lpwstr>
  </property>
</Properties>
</file>