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5B9A3">
      <w:pPr>
        <w:spacing w:beforeLines="50" w:afterLines="50" w:line="360" w:lineRule="auto"/>
        <w:jc w:val="center"/>
        <w:rPr>
          <w:rFonts w:ascii="黑体" w:hAnsi="黑体" w:eastAsia="黑体"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sz w:val="36"/>
          <w:szCs w:val="36"/>
        </w:rPr>
        <w:t>销售合同书</w:t>
      </w:r>
    </w:p>
    <w:p w14:paraId="16093DDA">
      <w:pPr>
        <w:spacing w:beforeLines="50" w:afterLines="50" w:line="360" w:lineRule="auto"/>
        <w:ind w:right="480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XCH</w:t>
      </w:r>
      <w:r>
        <w:rPr>
          <w:rStyle w:val="15"/>
          <w:rFonts w:hint="eastAsia" w:ascii="仿宋" w:hAnsi="仿宋" w:eastAsia="仿宋" w:cs="仿宋"/>
          <w:b/>
          <w:bCs/>
          <w:sz w:val="24"/>
          <w:szCs w:val="24"/>
          <w:shd w:val="clear" w:color="auto" w:fill="FFFFFF"/>
          <w:lang w:val="en-US" w:eastAsia="zh-CN"/>
        </w:rPr>
        <w:t>20250510</w:t>
      </w:r>
    </w:p>
    <w:p w14:paraId="51FAF8DF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甲方（买方）：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</w:p>
    <w:p w14:paraId="5C32487E">
      <w:pPr>
        <w:spacing w:line="360" w:lineRule="auto"/>
        <w:rPr>
          <w:rFonts w:hint="default" w:ascii="仿宋" w:hAnsi="仿宋" w:eastAsia="仿宋"/>
          <w:b/>
          <w:sz w:val="24"/>
          <w:u w:val="none"/>
          <w:lang w:val="en-US" w:eastAsia="zh-CN"/>
        </w:rPr>
      </w:pPr>
    </w:p>
    <w:p w14:paraId="33C9825B">
      <w:pPr>
        <w:widowControl/>
        <w:adjustRightInd w:val="0"/>
        <w:snapToGrid w:val="0"/>
        <w:spacing w:line="360" w:lineRule="auto"/>
        <w:ind w:firstLine="482" w:firstLineChars="200"/>
        <w:jc w:val="left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b/>
          <w:color w:val="000000"/>
          <w:sz w:val="24"/>
        </w:rPr>
        <w:t>乙方（卖方）：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湖南光华荣昌汽车部件有限公司</w:t>
      </w:r>
    </w:p>
    <w:p w14:paraId="34575F9E">
      <w:pPr>
        <w:pStyle w:val="2"/>
        <w:spacing w:beforeLines="50" w:afterLines="50"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 w14:paraId="2A7E6777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产品的名称、规格等</w:t>
      </w:r>
    </w:p>
    <w:p w14:paraId="260F134C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货币单位：人民币（元）</w:t>
      </w:r>
    </w:p>
    <w:tbl>
      <w:tblPr>
        <w:tblStyle w:val="7"/>
        <w:tblW w:w="97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8"/>
        <w:gridCol w:w="1758"/>
        <w:gridCol w:w="1838"/>
        <w:gridCol w:w="705"/>
        <w:gridCol w:w="900"/>
        <w:gridCol w:w="1087"/>
        <w:gridCol w:w="1488"/>
        <w:gridCol w:w="1308"/>
      </w:tblGrid>
      <w:tr w14:paraId="0BE08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  <w:jc w:val="center"/>
        </w:trPr>
        <w:tc>
          <w:tcPr>
            <w:tcW w:w="648" w:type="dxa"/>
            <w:vAlign w:val="center"/>
          </w:tcPr>
          <w:p w14:paraId="12E818CD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序号</w:t>
            </w:r>
          </w:p>
        </w:tc>
        <w:tc>
          <w:tcPr>
            <w:tcW w:w="1758" w:type="dxa"/>
            <w:vAlign w:val="center"/>
          </w:tcPr>
          <w:p w14:paraId="14974DCF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产品名称</w:t>
            </w:r>
          </w:p>
        </w:tc>
        <w:tc>
          <w:tcPr>
            <w:tcW w:w="1838" w:type="dxa"/>
            <w:vAlign w:val="center"/>
          </w:tcPr>
          <w:p w14:paraId="2B389C95">
            <w:pPr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产品规格</w:t>
            </w:r>
          </w:p>
        </w:tc>
        <w:tc>
          <w:tcPr>
            <w:tcW w:w="705" w:type="dxa"/>
            <w:vAlign w:val="center"/>
          </w:tcPr>
          <w:p w14:paraId="2CF2EEB6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位</w:t>
            </w:r>
          </w:p>
        </w:tc>
        <w:tc>
          <w:tcPr>
            <w:tcW w:w="900" w:type="dxa"/>
            <w:vAlign w:val="center"/>
          </w:tcPr>
          <w:p w14:paraId="582E9838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  <w:t>数量</w:t>
            </w:r>
          </w:p>
        </w:tc>
        <w:tc>
          <w:tcPr>
            <w:tcW w:w="1087" w:type="dxa"/>
            <w:vAlign w:val="center"/>
          </w:tcPr>
          <w:p w14:paraId="27595478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单价</w:t>
            </w:r>
          </w:p>
        </w:tc>
        <w:tc>
          <w:tcPr>
            <w:tcW w:w="1488" w:type="dxa"/>
            <w:vAlign w:val="center"/>
          </w:tcPr>
          <w:p w14:paraId="3EEE3272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总价</w:t>
            </w:r>
          </w:p>
        </w:tc>
        <w:tc>
          <w:tcPr>
            <w:tcW w:w="1308" w:type="dxa"/>
            <w:vAlign w:val="center"/>
          </w:tcPr>
          <w:p w14:paraId="2ECC87FD">
            <w:pPr>
              <w:widowControl/>
              <w:spacing w:beforeLines="50" w:afterLines="50" w:line="360" w:lineRule="auto"/>
              <w:ind w:firstLine="105" w:firstLineChars="50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备注</w:t>
            </w:r>
          </w:p>
        </w:tc>
      </w:tr>
      <w:tr w14:paraId="1A47F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" w:hRule="atLeast"/>
          <w:jc w:val="center"/>
        </w:trPr>
        <w:tc>
          <w:tcPr>
            <w:tcW w:w="648" w:type="dxa"/>
            <w:vAlign w:val="center"/>
          </w:tcPr>
          <w:p w14:paraId="5A48B914">
            <w:pPr>
              <w:widowControl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58" w:type="dxa"/>
            <w:vAlign w:val="center"/>
          </w:tcPr>
          <w:p w14:paraId="6501C070">
            <w:pPr>
              <w:jc w:val="both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 w:val="0"/>
                <w:szCs w:val="21"/>
                <w:shd w:val="clear" w:color="auto" w:fill="FFFFFF"/>
                <w:lang w:val="en-US" w:eastAsia="zh-CN"/>
              </w:rPr>
              <w:t>驾驶员座椅总成</w:t>
            </w:r>
          </w:p>
        </w:tc>
        <w:tc>
          <w:tcPr>
            <w:tcW w:w="1838" w:type="dxa"/>
            <w:vAlign w:val="center"/>
          </w:tcPr>
          <w:p w14:paraId="2F1F1111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Style w:val="15"/>
                <w:rFonts w:hint="eastAsia" w:ascii="仿宋" w:hAnsi="仿宋" w:eastAsia="仿宋" w:cs="仿宋"/>
                <w:b/>
                <w:bCs/>
                <w:sz w:val="21"/>
                <w:szCs w:val="21"/>
                <w:shd w:val="clear" w:color="auto" w:fill="FFFFFF"/>
                <w:lang w:val="en-US" w:eastAsia="zh-CN"/>
              </w:rPr>
              <w:t>P00004851_IK08</w:t>
            </w:r>
          </w:p>
        </w:tc>
        <w:tc>
          <w:tcPr>
            <w:tcW w:w="705" w:type="dxa"/>
            <w:vAlign w:val="center"/>
          </w:tcPr>
          <w:p w14:paraId="39C463DB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900" w:type="dxa"/>
            <w:vAlign w:val="center"/>
          </w:tcPr>
          <w:p w14:paraId="05487D4D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87" w:type="dxa"/>
            <w:vAlign w:val="center"/>
          </w:tcPr>
          <w:p w14:paraId="6173A813">
            <w:pPr>
              <w:spacing w:line="340" w:lineRule="exact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866.33</w:t>
            </w:r>
          </w:p>
        </w:tc>
        <w:tc>
          <w:tcPr>
            <w:tcW w:w="1488" w:type="dxa"/>
            <w:vAlign w:val="center"/>
          </w:tcPr>
          <w:p w14:paraId="672DE66E">
            <w:pPr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12995</w:t>
            </w:r>
          </w:p>
        </w:tc>
        <w:tc>
          <w:tcPr>
            <w:tcW w:w="1308" w:type="dxa"/>
            <w:vAlign w:val="center"/>
          </w:tcPr>
          <w:p w14:paraId="1FC04272">
            <w:pPr>
              <w:widowControl/>
              <w:spacing w:beforeLines="50" w:afterLines="50" w:line="360" w:lineRule="auto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0A6D5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4949" w:type="dxa"/>
            <w:gridSpan w:val="4"/>
            <w:vAlign w:val="center"/>
          </w:tcPr>
          <w:p w14:paraId="46D6101E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  <w:t>合   计</w:t>
            </w:r>
          </w:p>
        </w:tc>
        <w:tc>
          <w:tcPr>
            <w:tcW w:w="900" w:type="dxa"/>
            <w:vAlign w:val="center"/>
          </w:tcPr>
          <w:p w14:paraId="45576B61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087" w:type="dxa"/>
            <w:vAlign w:val="center"/>
          </w:tcPr>
          <w:p w14:paraId="70704E4C">
            <w:pPr>
              <w:widowControl/>
              <w:spacing w:beforeLines="50" w:afterLines="50"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  <w:tc>
          <w:tcPr>
            <w:tcW w:w="1488" w:type="dxa"/>
            <w:vAlign w:val="center"/>
          </w:tcPr>
          <w:p w14:paraId="227247EB">
            <w:pPr>
              <w:widowControl/>
              <w:spacing w:beforeLines="50" w:afterLines="50" w:line="360" w:lineRule="auto"/>
              <w:jc w:val="center"/>
              <w:rPr>
                <w:rFonts w:hint="default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  <w:lang w:val="en-US" w:eastAsia="zh-CN"/>
              </w:rPr>
              <w:t>12995</w:t>
            </w:r>
          </w:p>
        </w:tc>
        <w:tc>
          <w:tcPr>
            <w:tcW w:w="1308" w:type="dxa"/>
            <w:vAlign w:val="center"/>
          </w:tcPr>
          <w:p w14:paraId="5226204B">
            <w:pPr>
              <w:widowControl/>
              <w:spacing w:beforeLines="50" w:afterLines="50" w:line="360" w:lineRule="auto"/>
              <w:rPr>
                <w:rFonts w:hint="eastAsia" w:ascii="仿宋" w:hAnsi="仿宋" w:eastAsia="仿宋" w:cs="仿宋"/>
                <w:b/>
                <w:bCs/>
                <w:kern w:val="0"/>
                <w:sz w:val="21"/>
                <w:szCs w:val="21"/>
              </w:rPr>
            </w:pPr>
          </w:p>
        </w:tc>
      </w:tr>
      <w:tr w14:paraId="623BE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9732" w:type="dxa"/>
            <w:gridSpan w:val="8"/>
          </w:tcPr>
          <w:p w14:paraId="101F061D">
            <w:pPr>
              <w:widowControl/>
              <w:spacing w:beforeLines="50" w:afterLines="50" w:line="360" w:lineRule="auto"/>
              <w:jc w:val="left"/>
              <w:rPr>
                <w:rFonts w:hint="default" w:ascii="仿宋" w:hAnsi="仿宋" w:eastAsia="仿宋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>人民</w:t>
            </w:r>
            <w:r>
              <w:rPr>
                <w:rFonts w:ascii="仿宋" w:hAnsi="仿宋" w:eastAsia="仿宋" w:cs="宋体"/>
                <w:b/>
                <w:kern w:val="0"/>
                <w:szCs w:val="21"/>
              </w:rPr>
              <w:t>币大写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：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>壹万贰仟玖佰玖拾伍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eastAsia="zh-CN"/>
              </w:rPr>
              <w:t>元整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</w:rPr>
              <w:t xml:space="preserve">             </w:t>
            </w:r>
            <w:r>
              <w:rPr>
                <w:rFonts w:hint="eastAsia" w:ascii="仿宋" w:hAnsi="仿宋" w:eastAsia="仿宋" w:cs="宋体"/>
                <w:b/>
                <w:kern w:val="0"/>
                <w:szCs w:val="21"/>
                <w:lang w:val="en-US" w:eastAsia="zh-CN"/>
              </w:rPr>
              <w:t xml:space="preserve"> </w:t>
            </w:r>
          </w:p>
        </w:tc>
      </w:tr>
    </w:tbl>
    <w:p w14:paraId="4CC933AF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备注</w:t>
      </w:r>
      <w:r>
        <w:rPr>
          <w:rFonts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>本合同不得要求乙方向甲方以外的第三方开具增值税发票。由甲方外的第三方支付相关款项，产生的涉税风险由甲方承担，乙方无需承担相关损失责任。</w:t>
      </w:r>
    </w:p>
    <w:p w14:paraId="29EF81D0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第二条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9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产品符合乙方企业标准或者国家标准。 </w:t>
      </w:r>
    </w:p>
    <w:p w14:paraId="54E6FF4F">
      <w:pPr>
        <w:widowControl/>
        <w:spacing w:beforeLines="50" w:afterLines="50"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付款方式：</w:t>
      </w:r>
    </w:p>
    <w:p w14:paraId="68A5160C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全额付款至乙方指定银行账户（乙方不接受承兑汇票，除汇入乙方指定银行账户外，均视为未支付合同货款，应承担违约责任及乙方经济损失），乙方收到货款后按照本合同要求将产品送至甲方指定收货地点。</w:t>
      </w:r>
    </w:p>
    <w:p w14:paraId="50C3E8A8">
      <w:pPr>
        <w:widowControl/>
        <w:spacing w:beforeLines="50" w:afterLines="50"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</w:t>
      </w:r>
      <w:r>
        <w:rPr>
          <w:rFonts w:hint="eastAsia" w:ascii="仿宋" w:hAnsi="仿宋" w:eastAsia="仿宋"/>
          <w:bCs/>
          <w:sz w:val="24"/>
        </w:rPr>
        <w:t>乙方应及时向甲方提供实际银行账户，其银行账户如有变更，应立即通知甲方。</w:t>
      </w:r>
    </w:p>
    <w:p w14:paraId="6EB3ABAC">
      <w:pPr>
        <w:spacing w:beforeLines="50" w:afterLines="50"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包装与运费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  <w:lang w:eastAsia="zh-CN"/>
        </w:rPr>
        <w:t>甲</w:t>
      </w:r>
      <w:r>
        <w:rPr>
          <w:rFonts w:hint="eastAsia" w:ascii="仿宋" w:hAnsi="仿宋" w:eastAsia="仿宋" w:cs="宋体"/>
          <w:kern w:val="0"/>
          <w:sz w:val="24"/>
        </w:rPr>
        <w:t>方承担运费；</w:t>
      </w:r>
      <w:r>
        <w:rPr>
          <w:rFonts w:hint="eastAsia" w:ascii="仿宋" w:hAnsi="仿宋" w:eastAsia="仿宋"/>
          <w:sz w:val="24"/>
        </w:rPr>
        <w:t>乙方负责产品的常规包装及运输。甲方有特殊要求的，超出部分由甲方自行承担。</w:t>
      </w:r>
    </w:p>
    <w:p w14:paraId="7EEE70B8">
      <w:pPr>
        <w:spacing w:beforeLines="50" w:afterLines="50" w:line="360" w:lineRule="auto"/>
        <w:rPr>
          <w:rFonts w:hint="eastAsia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收货地点：</w:t>
      </w:r>
      <w:r>
        <w:rPr>
          <w:rFonts w:hint="eastAsia" w:ascii="仿宋" w:hAnsi="仿宋" w:eastAsia="仿宋"/>
          <w:sz w:val="24"/>
          <w:lang w:eastAsia="zh-CN"/>
        </w:rPr>
        <w:t>济南市</w:t>
      </w:r>
    </w:p>
    <w:p w14:paraId="34F36895">
      <w:pPr>
        <w:spacing w:beforeLines="50" w:afterLines="50" w:line="360" w:lineRule="auto"/>
        <w:rPr>
          <w:rFonts w:hint="default" w:ascii="仿宋" w:hAnsi="仿宋" w:eastAsia="仿宋"/>
          <w:sz w:val="24"/>
          <w:u w:val="single"/>
          <w:lang w:val="en-US" w:eastAsia="zh-CN"/>
        </w:rPr>
      </w:pPr>
      <w:r>
        <w:rPr>
          <w:rFonts w:hint="eastAsia" w:ascii="仿宋" w:hAnsi="仿宋" w:eastAsia="仿宋"/>
          <w:sz w:val="24"/>
        </w:rPr>
        <w:t>发货日期：</w:t>
      </w:r>
      <w:r>
        <w:rPr>
          <w:rFonts w:hint="eastAsia" w:ascii="仿宋" w:hAnsi="仿宋" w:eastAsia="仿宋"/>
          <w:sz w:val="24"/>
          <w:u w:val="single"/>
          <w:lang w:val="en-US" w:eastAsia="zh-CN"/>
        </w:rPr>
        <w:t>2025年5月25日</w:t>
      </w:r>
    </w:p>
    <w:p w14:paraId="4219DC48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交货期及验收</w:t>
      </w:r>
      <w:r>
        <w:rPr>
          <w:rFonts w:hint="eastAsia" w:ascii="仿宋" w:hAnsi="仿宋" w:eastAsia="仿宋" w:cs="宋体"/>
          <w:kern w:val="0"/>
          <w:sz w:val="24"/>
        </w:rPr>
        <w:t>：乙方将货物送到甲方指定地点。甲方收货后应及时验收，如有不合格产品，甲方及时向乙方反馈，收货后3日内未提出异议的视为验收合格。</w:t>
      </w:r>
    </w:p>
    <w:p w14:paraId="08B1AB86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　违约责任：</w:t>
      </w:r>
      <w:r>
        <w:rPr>
          <w:rFonts w:hint="eastAsia" w:ascii="仿宋" w:hAnsi="仿宋" w:eastAsia="仿宋" w:cs="宋体"/>
          <w:kern w:val="0"/>
          <w:sz w:val="24"/>
        </w:rPr>
        <w:t>乙方逾期交货或所发货品有不合规格、严重产品质量问题等情况，视为乙方违约，甲方将追究乙方责任，并保留索赔权利。</w:t>
      </w:r>
    </w:p>
    <w:p w14:paraId="26B4A2BE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51003F54">
      <w:pPr>
        <w:spacing w:beforeLines="50" w:afterLines="50"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凡是因本合同所发生的争执，双方应协商解决,如协商不能解决时，可将该争议提交合同签订地人民法院解决。</w:t>
      </w:r>
    </w:p>
    <w:p w14:paraId="45ECBB67">
      <w:pPr>
        <w:widowControl/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履行期间，合同因故不能履行或需要修改，须经双方同意并确认后，签订补充协议。</w:t>
      </w:r>
    </w:p>
    <w:p w14:paraId="5C0B6E27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>第十条</w:t>
      </w:r>
      <w:r>
        <w:rPr>
          <w:rFonts w:hint="eastAsia" w:ascii="仿宋" w:hAnsi="仿宋" w:eastAsia="仿宋"/>
          <w:b/>
          <w:sz w:val="24"/>
        </w:rPr>
        <w:t xml:space="preserve">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本合同一式两份，双方各执一份，具有同等法律效力。 </w:t>
      </w:r>
    </w:p>
    <w:p w14:paraId="7431C3EE">
      <w:pPr>
        <w:spacing w:beforeLines="50" w:afterLines="50" w:line="360" w:lineRule="auto"/>
        <w:rPr>
          <w:rFonts w:ascii="仿宋" w:hAnsi="仿宋" w:eastAsia="仿宋" w:cs="宋体"/>
          <w:kern w:val="0"/>
          <w:sz w:val="24"/>
        </w:rPr>
      </w:pPr>
      <w:bookmarkStart w:id="1" w:name="_GoBack"/>
      <w:bookmarkEnd w:id="1"/>
    </w:p>
    <w:bookmarkEnd w:id="0"/>
    <w:p w14:paraId="4A9C2C6F">
      <w:pPr>
        <w:spacing w:line="360" w:lineRule="auto"/>
        <w:ind w:left="239" w:leftChars="114" w:firstLine="8640" w:firstLineChars="3600"/>
        <w:jc w:val="left"/>
        <w:rPr>
          <w:rFonts w:hint="default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eastAsia="zh-CN"/>
        </w:rPr>
        <w:t>甲方：</w:t>
      </w:r>
      <w:r>
        <w:rPr>
          <w:rFonts w:hint="eastAsia" w:ascii="仿宋" w:hAnsi="仿宋" w:eastAsia="仿宋" w:cs="仿宋"/>
          <w:b/>
          <w:bCs/>
          <w:sz w:val="24"/>
          <w:szCs w:val="24"/>
          <w:lang w:eastAsia="zh-CN"/>
        </w:rPr>
        <w:t>黄骅市箫驰汽车配件销售有限公司</w:t>
      </w: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 xml:space="preserve">     乙方：湖南光华荣昌汽车部件有限公司</w:t>
      </w:r>
    </w:p>
    <w:p w14:paraId="5DA69692">
      <w:pPr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纳税人识别号∶91130983MA7BYED22N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纳税人识别号：91430211055811476G  </w:t>
      </w:r>
    </w:p>
    <w:p w14:paraId="5D688356">
      <w:pPr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地址、 电话：黄骅市开发区阳光新城小区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地址、电话：湖南省株洲市栗雨工业园海纳川园区7号厂房 0731-22976999</w:t>
      </w:r>
    </w:p>
    <w:p w14:paraId="6F3F0AC7">
      <w:pPr>
        <w:ind w:firstLine="4800" w:firstLineChars="2000"/>
        <w:rPr>
          <w:rFonts w:hint="eastAsia" w:ascii="仿宋" w:hAnsi="仿宋" w:eastAsia="仿宋" w:cs="仿宋"/>
          <w:sz w:val="24"/>
          <w:szCs w:val="24"/>
          <w:lang w:eastAsia="zh-CN"/>
        </w:rPr>
      </w:pPr>
    </w:p>
    <w:p w14:paraId="2D988145">
      <w:pPr>
        <w:jc w:val="right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开户行及账号∶沧州银行股份有限公司黄骅支行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开户行及账户：中国银行株洲市株洲大道支行584664273086</w:t>
      </w:r>
    </w:p>
    <w:p w14:paraId="40BA17A6">
      <w:pPr>
        <w:rPr>
          <w:rFonts w:hint="eastAsia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531012010000100230</w:t>
      </w:r>
      <w:r>
        <w:rPr>
          <w:rFonts w:hint="eastAsia"/>
          <w:sz w:val="24"/>
          <w:szCs w:val="24"/>
          <w:lang w:eastAsia="zh-CN"/>
        </w:rPr>
        <w:t>7</w:t>
      </w:r>
    </w:p>
    <w:p w14:paraId="2B9EAC9D">
      <w:pP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24"/>
          <w:szCs w:val="24"/>
          <w:lang w:val="en-US" w:eastAsia="zh-CN"/>
        </w:rPr>
        <w:t xml:space="preserve">                                        </w:t>
      </w:r>
    </w:p>
    <w:p w14:paraId="1AEAA46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 w14:paraId="27FED2CE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 w14:paraId="4E9633B4"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 w14:paraId="3CF2F7F8">
      <w:pPr>
        <w:spacing w:line="360" w:lineRule="auto"/>
        <w:jc w:val="left"/>
        <w:rPr>
          <w:rFonts w:hint="eastAsia"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2025</w:t>
      </w:r>
      <w:r>
        <w:rPr>
          <w:rFonts w:hint="eastAsia" w:ascii="仿宋" w:hAnsi="仿宋" w:eastAsia="仿宋" w:cs="仿宋"/>
          <w:color w:val="000000"/>
          <w:sz w:val="24"/>
        </w:rPr>
        <w:t>年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 xml:space="preserve">日                       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2022</w:t>
      </w:r>
      <w:r>
        <w:rPr>
          <w:rFonts w:hint="eastAsia" w:ascii="仿宋" w:hAnsi="仿宋" w:eastAsia="仿宋" w:cs="仿宋"/>
          <w:color w:val="000000"/>
          <w:sz w:val="24"/>
        </w:rPr>
        <w:t xml:space="preserve">年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24"/>
        </w:rPr>
        <w:t>月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10</w:t>
      </w:r>
      <w:r>
        <w:rPr>
          <w:rFonts w:hint="eastAsia" w:ascii="仿宋" w:hAnsi="仿宋" w:eastAsia="仿宋" w:cs="仿宋"/>
          <w:color w:val="000000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1629967"/>
      <w:docPartObj>
        <w:docPartGallery w:val="autotext"/>
      </w:docPartObj>
    </w:sdtPr>
    <w:sdtContent>
      <w:sdt>
        <w:sdtPr>
          <w:id w:val="171357283"/>
          <w:docPartObj>
            <w:docPartGallery w:val="autotext"/>
          </w:docPartObj>
        </w:sdtPr>
        <w:sdtContent>
          <w:p w14:paraId="2F901FF6">
            <w:pPr>
              <w:pStyle w:val="4"/>
              <w:jc w:val="right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</w:t>
            </w:r>
            <w:r>
              <w:rPr>
                <w:rFonts w:hint="eastAsia"/>
                <w:lang w:val="en-US" w:eastAsia="zh-CN"/>
              </w:rPr>
              <w:t>2</w:t>
            </w:r>
          </w:p>
        </w:sdtContent>
      </w:sdt>
    </w:sdtContent>
  </w:sdt>
  <w:p w14:paraId="721D8D44"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0DA4F8">
    <w:pPr>
      <w:pStyle w:val="5"/>
      <w:pBdr>
        <w:bottom w:val="none" w:color="auto" w:sz="0" w:space="0"/>
      </w:pBdr>
      <w:jc w:val="left"/>
    </w:pPr>
    <w:r>
      <w:rPr>
        <w:rFonts w:hint="eastAsia"/>
      </w:rPr>
      <w:t xml:space="preserve">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MGZkNmY3NjVmZWY4MzZmZmFhMjIwMzVhODVjZTMifQ=="/>
  </w:docVars>
  <w:rsids>
    <w:rsidRoot w:val="000E4F91"/>
    <w:rsid w:val="0004000A"/>
    <w:rsid w:val="000D1B6B"/>
    <w:rsid w:val="000E4F91"/>
    <w:rsid w:val="00112CC1"/>
    <w:rsid w:val="00162DE2"/>
    <w:rsid w:val="001779F0"/>
    <w:rsid w:val="001C1481"/>
    <w:rsid w:val="001C7127"/>
    <w:rsid w:val="001F562B"/>
    <w:rsid w:val="00263735"/>
    <w:rsid w:val="0028759A"/>
    <w:rsid w:val="002A1B8F"/>
    <w:rsid w:val="002C24D1"/>
    <w:rsid w:val="002E27A9"/>
    <w:rsid w:val="00354459"/>
    <w:rsid w:val="003F3EEA"/>
    <w:rsid w:val="00495B63"/>
    <w:rsid w:val="004B444B"/>
    <w:rsid w:val="00525D55"/>
    <w:rsid w:val="00573652"/>
    <w:rsid w:val="005B5AC7"/>
    <w:rsid w:val="005C5E32"/>
    <w:rsid w:val="0063210E"/>
    <w:rsid w:val="00645A5D"/>
    <w:rsid w:val="006B1554"/>
    <w:rsid w:val="006B3BBC"/>
    <w:rsid w:val="006E07F4"/>
    <w:rsid w:val="007013F9"/>
    <w:rsid w:val="00733353"/>
    <w:rsid w:val="00857037"/>
    <w:rsid w:val="008C2CC6"/>
    <w:rsid w:val="00922834"/>
    <w:rsid w:val="00980631"/>
    <w:rsid w:val="00981BC3"/>
    <w:rsid w:val="00A17E53"/>
    <w:rsid w:val="00A520C4"/>
    <w:rsid w:val="00A80E79"/>
    <w:rsid w:val="00A8370A"/>
    <w:rsid w:val="00B0116B"/>
    <w:rsid w:val="00B227A1"/>
    <w:rsid w:val="00B22D07"/>
    <w:rsid w:val="00B4140B"/>
    <w:rsid w:val="00B41948"/>
    <w:rsid w:val="00B64321"/>
    <w:rsid w:val="00BD671C"/>
    <w:rsid w:val="00C93E16"/>
    <w:rsid w:val="00C96672"/>
    <w:rsid w:val="00CD26FD"/>
    <w:rsid w:val="00DC0AAA"/>
    <w:rsid w:val="00DF570A"/>
    <w:rsid w:val="00E50820"/>
    <w:rsid w:val="00E871FE"/>
    <w:rsid w:val="00F0465D"/>
    <w:rsid w:val="00FF5D5E"/>
    <w:rsid w:val="06C412C2"/>
    <w:rsid w:val="0BCE6689"/>
    <w:rsid w:val="0FB45583"/>
    <w:rsid w:val="10046B71"/>
    <w:rsid w:val="11FF4702"/>
    <w:rsid w:val="12576B5B"/>
    <w:rsid w:val="12F113C1"/>
    <w:rsid w:val="13B97B98"/>
    <w:rsid w:val="1BAC652F"/>
    <w:rsid w:val="1CA24C8D"/>
    <w:rsid w:val="1EB7003A"/>
    <w:rsid w:val="1F063FB4"/>
    <w:rsid w:val="24802DA1"/>
    <w:rsid w:val="2FC430DC"/>
    <w:rsid w:val="30EC7CE0"/>
    <w:rsid w:val="31731CA0"/>
    <w:rsid w:val="3BD76386"/>
    <w:rsid w:val="436B2526"/>
    <w:rsid w:val="4C5F11F6"/>
    <w:rsid w:val="4D4B6F06"/>
    <w:rsid w:val="5016558C"/>
    <w:rsid w:val="50A80039"/>
    <w:rsid w:val="546430FB"/>
    <w:rsid w:val="555B759C"/>
    <w:rsid w:val="566158B2"/>
    <w:rsid w:val="59DA17BB"/>
    <w:rsid w:val="5A1F5C72"/>
    <w:rsid w:val="5CE8482D"/>
    <w:rsid w:val="60D77BD0"/>
    <w:rsid w:val="6264373F"/>
    <w:rsid w:val="67101858"/>
    <w:rsid w:val="691961D8"/>
    <w:rsid w:val="695157D0"/>
    <w:rsid w:val="6A7C19FC"/>
    <w:rsid w:val="6F411F2B"/>
    <w:rsid w:val="766F41C3"/>
    <w:rsid w:val="76A84954"/>
    <w:rsid w:val="77103410"/>
    <w:rsid w:val="78983E91"/>
    <w:rsid w:val="7BF05B46"/>
    <w:rsid w:val="7D8B70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qFormat/>
    <w:uiPriority w:val="0"/>
    <w:rPr>
      <w:sz w:val="28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semiHidden/>
    <w:unhideWhenUsed/>
    <w:qFormat/>
    <w:uiPriority w:val="0"/>
    <w:rPr>
      <w:color w:val="0000FF"/>
      <w:u w:val="single"/>
    </w:rPr>
  </w:style>
  <w:style w:type="character" w:customStyle="1" w:styleId="10">
    <w:name w:val="正文文本 字符"/>
    <w:basedOn w:val="8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8"/>
    <w:link w:val="2"/>
    <w:semiHidden/>
    <w:qFormat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objwebdatawindowcontrol117d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967</Words>
  <Characters>1051</Characters>
  <Lines>9</Lines>
  <Paragraphs>2</Paragraphs>
  <TotalTime>116</TotalTime>
  <ScaleCrop>false</ScaleCrop>
  <LinksUpToDate>false</LinksUpToDate>
  <CharactersWithSpaces>1270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2021-09-06T05:50:00Z</dcterms:created>
  <dc:creator>wang fucheng</dc:creator>
  <cp:lastModifiedBy>罗国彪</cp:lastModifiedBy>
  <cp:lastPrinted>2022-08-22T00:47:00Z</cp:lastPrinted>
  <dcterms:modified xsi:type="dcterms:W3CDTF">2025-05-12T02:04:17Z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198D439242834C95BB33E7D56B2EB6E3_13</vt:lpwstr>
  </property>
  <property fmtid="{D5CDD505-2E9C-101B-9397-08002B2CF9AE}" pid="4" name="KSOTemplateDocerSaveRecord">
    <vt:lpwstr>eyJoZGlkIjoiZWM3OTRkNjhkY2JlYWJiYjRjMGJjNTVmYWFlNjZlYzUiLCJ1c2VySWQiOiIxNDUxODk1MzU4In0=</vt:lpwstr>
  </property>
</Properties>
</file>