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7A7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7E593A7">
      <w:pPr>
        <w:widowControl/>
        <w:jc w:val="center"/>
        <w:rPr>
          <w:rFonts w:ascii="等线" w:hAnsi="等线" w:eastAsia="等线" w:cs="宋体"/>
          <w:color w:val="00B050"/>
          <w:kern w:val="0"/>
          <w:sz w:val="22"/>
          <w:szCs w:val="22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20250237</w:t>
      </w:r>
    </w:p>
    <w:p w14:paraId="134EBEEC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35E2B81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3CBF2549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乙方：苏州拓迅机电有限公司</w:t>
      </w:r>
    </w:p>
    <w:p w14:paraId="0BBB4585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：91320506575387787L</w:t>
      </w:r>
    </w:p>
    <w:p w14:paraId="58F952DF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DE71D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78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99"/>
        <w:gridCol w:w="1139"/>
        <w:gridCol w:w="440"/>
        <w:gridCol w:w="766"/>
        <w:gridCol w:w="1080"/>
        <w:gridCol w:w="1060"/>
        <w:gridCol w:w="1139"/>
        <w:gridCol w:w="1100"/>
        <w:gridCol w:w="1107"/>
      </w:tblGrid>
      <w:tr w14:paraId="6997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49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RSM0010108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档位铆钉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7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HSJ2501</w:t>
            </w:r>
            <w:bookmarkStart w:id="1" w:name="_GoBack"/>
            <w:bookmarkEnd w:id="1"/>
          </w:p>
        </w:tc>
      </w:tr>
      <w:tr w14:paraId="2A9A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A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49BD8C0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484A627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4C436B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7232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柒仟贰佰叁拾贰元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CA6560E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5AB7ED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E99D65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甲乙双方协商一致采用下列第（2）种付款方式。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6899573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4FCF4482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500元（大写伍佰元整）</w:t>
      </w:r>
      <w:r>
        <w:rPr>
          <w:rFonts w:hint="eastAsia" w:ascii="仿宋" w:hAnsi="仿宋" w:eastAsia="仿宋" w:cs="宋体"/>
          <w:bCs/>
          <w:kern w:val="0"/>
          <w:sz w:val="24"/>
        </w:rPr>
        <w:t>,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乙方向甲方提供首批样件。待样件试装验证通过后，</w:t>
      </w:r>
      <w:r>
        <w:rPr>
          <w:rFonts w:hint="eastAsia" w:ascii="仿宋" w:hAnsi="仿宋" w:eastAsia="仿宋" w:cs="宋体"/>
          <w:bCs/>
          <w:kern w:val="0"/>
          <w:sz w:val="24"/>
        </w:rPr>
        <w:t>甲方以电汇或商业汇票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支付合同剩余款项，即6732元（大写陆仟柒佰叁拾贰元整），</w:t>
      </w:r>
      <w:r>
        <w:rPr>
          <w:rFonts w:hint="eastAsia" w:ascii="仿宋" w:hAnsi="仿宋" w:eastAsia="仿宋" w:cs="宋体"/>
          <w:bCs/>
          <w:kern w:val="0"/>
          <w:sz w:val="24"/>
        </w:rPr>
        <w:t>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7F589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AF4335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A2F179A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按采购订单执行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3A32865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3F68D22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BBB344A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3FD28F6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3A02995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9603AB6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A703763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25FFF25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76FE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DE7F243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苏州拓迅机电有限公司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621A68D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3C77BD0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2D67D2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3DCFAC1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29AB44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2CCB7C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24BC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08825EA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8029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80672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C79"/>
    <w:rsid w:val="008A4F92"/>
    <w:rsid w:val="008B1E01"/>
    <w:rsid w:val="008E0822"/>
    <w:rsid w:val="008E7FA3"/>
    <w:rsid w:val="009222D3"/>
    <w:rsid w:val="00923F73"/>
    <w:rsid w:val="00926C8C"/>
    <w:rsid w:val="009274D1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B7774"/>
    <w:rsid w:val="00AF1037"/>
    <w:rsid w:val="00B0617D"/>
    <w:rsid w:val="00B33550"/>
    <w:rsid w:val="00B40AB5"/>
    <w:rsid w:val="00B4140B"/>
    <w:rsid w:val="00B41714"/>
    <w:rsid w:val="00B53903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F474DFC"/>
    <w:rsid w:val="0FD52407"/>
    <w:rsid w:val="15406575"/>
    <w:rsid w:val="17045380"/>
    <w:rsid w:val="25DC5E46"/>
    <w:rsid w:val="30C419B0"/>
    <w:rsid w:val="37EB016A"/>
    <w:rsid w:val="42E515C5"/>
    <w:rsid w:val="45774E01"/>
    <w:rsid w:val="4FA64C4B"/>
    <w:rsid w:val="50E0418D"/>
    <w:rsid w:val="58EF1411"/>
    <w:rsid w:val="6A255B7A"/>
    <w:rsid w:val="6C8E0AE9"/>
    <w:rsid w:val="72907369"/>
    <w:rsid w:val="738D39A8"/>
    <w:rsid w:val="76C03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1195</Words>
  <Characters>1318</Characters>
  <Lines>12</Lines>
  <Paragraphs>3</Paragraphs>
  <TotalTime>6</TotalTime>
  <ScaleCrop>false</ScaleCrop>
  <LinksUpToDate>false</LinksUpToDate>
  <CharactersWithSpaces>1569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cuitieliang</cp:lastModifiedBy>
  <cp:lastPrinted>2023-03-29T00:05:00Z</cp:lastPrinted>
  <dcterms:modified xsi:type="dcterms:W3CDTF">2025-05-22T05:45:01Z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E8731DDC7280452C87A81DBA79F76980_12</vt:lpwstr>
  </property>
</Properties>
</file>