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C1807">
      <w:pPr>
        <w:spacing w:line="360" w:lineRule="auto"/>
        <w:jc w:val="center"/>
        <w:rPr>
          <w:rFonts w:hint="eastAsia" w:ascii="楷体" w:hAnsi="楷体" w:eastAsia="楷体" w:cs="楷体"/>
          <w:b/>
          <w:sz w:val="36"/>
          <w:szCs w:val="36"/>
        </w:rPr>
      </w:pPr>
      <w:bookmarkStart w:id="0" w:name="_Hlk523735664"/>
      <w:r>
        <w:rPr>
          <w:rFonts w:hint="eastAsia" w:ascii="楷体" w:hAnsi="楷体" w:eastAsia="楷体" w:cs="楷体"/>
          <w:b/>
          <w:sz w:val="36"/>
          <w:szCs w:val="36"/>
          <w:lang w:val="en-US" w:eastAsia="zh-CN"/>
        </w:rPr>
        <w:t>2025年物流装卸配送增补</w:t>
      </w:r>
      <w:r>
        <w:rPr>
          <w:rFonts w:hint="eastAsia" w:ascii="楷体" w:hAnsi="楷体" w:eastAsia="楷体" w:cs="楷体"/>
          <w:b/>
          <w:sz w:val="36"/>
          <w:szCs w:val="36"/>
          <w:lang w:eastAsia="zh-CN"/>
        </w:rPr>
        <w:t>合同</w:t>
      </w:r>
    </w:p>
    <w:p w14:paraId="0DA19569">
      <w:pPr>
        <w:spacing w:line="360" w:lineRule="auto"/>
        <w:jc w:val="center"/>
        <w:rPr>
          <w:rFonts w:hint="default" w:ascii="仿宋_GB2312" w:hAnsi="宋体" w:eastAsia="仿宋"/>
          <w:b/>
          <w:szCs w:val="21"/>
          <w:lang w:val="en-US" w:eastAsia="zh-CN"/>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合同编号：</w:t>
      </w:r>
      <w:r>
        <w:rPr>
          <w:rFonts w:hint="eastAsia" w:ascii="仿宋" w:hAnsi="仿宋" w:eastAsia="仿宋"/>
          <w:sz w:val="24"/>
          <w:lang w:val="en-US" w:eastAsia="zh-CN"/>
        </w:rPr>
        <w:t>20250603</w:t>
      </w:r>
      <w:bookmarkStart w:id="1" w:name="_GoBack"/>
      <w:bookmarkEnd w:id="1"/>
    </w:p>
    <w:p w14:paraId="741B9E2B">
      <w:pPr>
        <w:spacing w:line="360" w:lineRule="auto"/>
        <w:rPr>
          <w:rFonts w:hint="eastAsia" w:ascii="楷体" w:hAnsi="楷体" w:eastAsia="楷体" w:cs="楷体"/>
          <w:b/>
          <w:sz w:val="28"/>
          <w:szCs w:val="28"/>
          <w:u w:val="single"/>
          <w:lang w:val="en-US" w:eastAsia="zh-CN"/>
        </w:rPr>
      </w:pPr>
      <w:r>
        <w:rPr>
          <w:rFonts w:hint="eastAsia" w:ascii="楷体" w:hAnsi="楷体" w:eastAsia="楷体" w:cs="楷体"/>
          <w:b/>
          <w:sz w:val="28"/>
          <w:szCs w:val="28"/>
        </w:rPr>
        <w:t>甲方：</w:t>
      </w:r>
      <w:r>
        <w:rPr>
          <w:rFonts w:hint="eastAsia" w:ascii="楷体" w:hAnsi="楷体" w:eastAsia="楷体" w:cs="楷体"/>
          <w:b/>
          <w:sz w:val="28"/>
          <w:szCs w:val="28"/>
          <w:lang w:eastAsia="zh-CN"/>
        </w:rPr>
        <w:t>潍坊光华荣昌汽车技术有限公司</w:t>
      </w:r>
    </w:p>
    <w:p w14:paraId="33D61756">
      <w:pPr>
        <w:spacing w:line="360" w:lineRule="auto"/>
        <w:rPr>
          <w:rFonts w:hint="eastAsia" w:ascii="楷体" w:hAnsi="楷体" w:eastAsia="楷体" w:cs="楷体"/>
          <w:b/>
          <w:sz w:val="28"/>
          <w:szCs w:val="28"/>
          <w:u w:val="single"/>
          <w:lang w:eastAsia="zh-CN"/>
        </w:rPr>
      </w:pPr>
      <w:r>
        <w:rPr>
          <w:rFonts w:hint="eastAsia" w:ascii="楷体" w:hAnsi="楷体" w:eastAsia="楷体" w:cs="楷体"/>
          <w:b/>
          <w:sz w:val="28"/>
          <w:szCs w:val="28"/>
        </w:rPr>
        <w:t>乙方：</w:t>
      </w:r>
      <w:r>
        <w:rPr>
          <w:rFonts w:hint="eastAsia" w:ascii="楷体" w:hAnsi="楷体" w:eastAsia="楷体" w:cs="楷体"/>
          <w:b/>
          <w:sz w:val="28"/>
          <w:szCs w:val="28"/>
          <w:lang w:eastAsia="zh-CN"/>
        </w:rPr>
        <w:t>潍坊鑫腾物流有限公司</w:t>
      </w:r>
    </w:p>
    <w:p w14:paraId="24F797AD">
      <w:pPr>
        <w:pStyle w:val="2"/>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甲方根据经营需要，委托乙方对来料卸车、入库以及</w:t>
      </w:r>
      <w:r>
        <w:rPr>
          <w:rFonts w:hint="eastAsia" w:ascii="楷体" w:hAnsi="楷体" w:eastAsia="楷体" w:cs="楷体"/>
          <w:sz w:val="24"/>
          <w:szCs w:val="24"/>
          <w:lang w:val="en-US" w:eastAsia="zh-CN"/>
        </w:rPr>
        <w:t>SKD（座椅）发运等装卸</w:t>
      </w:r>
      <w:r>
        <w:rPr>
          <w:rFonts w:hint="eastAsia" w:ascii="楷体" w:hAnsi="楷体" w:eastAsia="楷体" w:cs="楷体"/>
          <w:sz w:val="24"/>
          <w:szCs w:val="24"/>
          <w:lang w:eastAsia="zh-CN"/>
        </w:rPr>
        <w:t>服务业务，</w:t>
      </w:r>
      <w:r>
        <w:rPr>
          <w:rFonts w:hint="eastAsia" w:ascii="楷体" w:hAnsi="楷体" w:eastAsia="楷体" w:cs="楷体"/>
          <w:sz w:val="24"/>
          <w:szCs w:val="24"/>
        </w:rPr>
        <w:t>甲、乙</w:t>
      </w:r>
      <w:r>
        <w:rPr>
          <w:rFonts w:hint="eastAsia" w:ascii="楷体" w:hAnsi="楷体" w:eastAsia="楷体" w:cs="楷体"/>
          <w:sz w:val="24"/>
          <w:szCs w:val="24"/>
          <w:lang w:val="en-US" w:eastAsia="zh-CN"/>
        </w:rPr>
        <w:t>双方</w:t>
      </w:r>
      <w:r>
        <w:rPr>
          <w:rFonts w:hint="eastAsia" w:ascii="楷体" w:hAnsi="楷体" w:eastAsia="楷体" w:cs="楷体"/>
          <w:sz w:val="24"/>
          <w:szCs w:val="24"/>
        </w:rPr>
        <w:t>本着平等、自愿、互利的原则，依据《中华人民共和国合同法》等相关法律、法规的规定，经过友好协商，达成以下协议，以资双方共同信守。</w:t>
      </w:r>
    </w:p>
    <w:p w14:paraId="6EC64BF0">
      <w:pPr>
        <w:widowControl/>
        <w:numPr>
          <w:ilvl w:val="0"/>
          <w:numId w:val="1"/>
        </w:numPr>
        <w:spacing w:line="360" w:lineRule="auto"/>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装卸入库要求</w:t>
      </w:r>
    </w:p>
    <w:p w14:paraId="514E9AB3">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甲方每天来料后，乙方快速响应安排卸车服务人员对来料进行卸车,叉车作业严格按照安全流程操作，装卸设备乙方自备（乙方装卸设备紧张时可以向甲方暂借装卸设备，得到允许后方可使用）。</w:t>
      </w:r>
    </w:p>
    <w:p w14:paraId="1EA076B0">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乙方在卸车过程中对货物要轻拿轻放，严谨出现蛮力扔砸等现象。</w:t>
      </w:r>
    </w:p>
    <w:p w14:paraId="611F7462">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乙方按甲方要求对货物进行摆放、上货架、办理入库。</w:t>
      </w:r>
    </w:p>
    <w:p w14:paraId="7B8142A5">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乙方装卸前发现来料变形、挤压、破损要及时通知甲方确认。</w:t>
      </w:r>
    </w:p>
    <w:p w14:paraId="437E36B6">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eastAsia="zh-CN"/>
        </w:rPr>
      </w:pPr>
      <w:r>
        <w:rPr>
          <w:rFonts w:hint="eastAsia" w:ascii="楷体" w:hAnsi="楷体" w:eastAsia="楷体" w:cs="楷体"/>
          <w:b w:val="0"/>
          <w:bCs/>
          <w:color w:val="000000"/>
          <w:kern w:val="0"/>
          <w:sz w:val="24"/>
          <w:szCs w:val="24"/>
          <w:lang w:val="en-US" w:eastAsia="zh-CN"/>
        </w:rPr>
        <w:t>甲方来料工装器具，乙方按照甲方要求进行装车回流。</w:t>
      </w:r>
    </w:p>
    <w:p w14:paraId="3D8A00C5">
      <w:pPr>
        <w:widowControl/>
        <w:numPr>
          <w:ilvl w:val="0"/>
          <w:numId w:val="1"/>
        </w:numPr>
        <w:spacing w:line="360" w:lineRule="auto"/>
        <w:ind w:left="0" w:leftChars="0" w:firstLine="0" w:firstLineChars="0"/>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KD业务配送要求</w:t>
      </w:r>
    </w:p>
    <w:p w14:paraId="2EC1FF7C">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甲方KD业务交付时，乙方根据甲方要求进行配送、入库。</w:t>
      </w:r>
    </w:p>
    <w:p w14:paraId="121D3EE1">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乙方安排装车人员对KD座椅码放工装、装车、运输、卸车、工装回流运输等。</w:t>
      </w:r>
    </w:p>
    <w:p w14:paraId="123DDD1B">
      <w:pPr>
        <w:widowControl/>
        <w:numPr>
          <w:ilvl w:val="0"/>
          <w:numId w:val="1"/>
        </w:numPr>
        <w:spacing w:line="360" w:lineRule="auto"/>
        <w:ind w:left="0" w:leftChars="0" w:firstLine="0" w:firstLine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质量标准</w:t>
      </w:r>
    </w:p>
    <w:p w14:paraId="001968FE">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乙方在货物运输、装卸期间，必须按甲方的要求对货物进行认真防护。</w:t>
      </w:r>
    </w:p>
    <w:p w14:paraId="32A11FF6">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乙方根据甲方包装、码放标准执行，如不执行标准造成的损坏，由乙方负责。</w:t>
      </w:r>
    </w:p>
    <w:p w14:paraId="1285D7A7">
      <w:pPr>
        <w:numPr>
          <w:ilvl w:val="0"/>
          <w:numId w:val="1"/>
        </w:numPr>
        <w:spacing w:after="0" w:line="360" w:lineRule="auto"/>
        <w:ind w:left="0" w:leftChars="0" w:firstLine="0" w:firstLineChars="0"/>
        <w:rPr>
          <w:rFonts w:hint="eastAsia" w:ascii="楷体" w:hAnsi="楷体" w:eastAsia="楷体" w:cs="楷体"/>
          <w:b/>
          <w:bCs/>
          <w:sz w:val="24"/>
          <w:szCs w:val="32"/>
          <w:lang w:val="en-US" w:eastAsia="zh-CN"/>
        </w:rPr>
      </w:pPr>
      <w:r>
        <w:rPr>
          <w:rFonts w:hint="eastAsia" w:ascii="楷体" w:hAnsi="楷体" w:eastAsia="楷体" w:cs="楷体"/>
          <w:b/>
          <w:bCs/>
          <w:sz w:val="28"/>
          <w:szCs w:val="36"/>
          <w:lang w:val="en-US" w:eastAsia="zh-CN"/>
        </w:rPr>
        <w:t>合同费用标准</w:t>
      </w:r>
    </w:p>
    <w:tbl>
      <w:tblPr>
        <w:tblStyle w:val="6"/>
        <w:tblW w:w="10417"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1464"/>
        <w:gridCol w:w="1156"/>
        <w:gridCol w:w="885"/>
        <w:gridCol w:w="333"/>
        <w:gridCol w:w="1082"/>
        <w:gridCol w:w="263"/>
        <w:gridCol w:w="527"/>
        <w:gridCol w:w="1303"/>
        <w:gridCol w:w="294"/>
        <w:gridCol w:w="1735"/>
        <w:gridCol w:w="59"/>
      </w:tblGrid>
      <w:tr w14:paraId="66DD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316" w:type="dxa"/>
            <w:vMerge w:val="restart"/>
            <w:tcBorders>
              <w:top w:val="single" w:color="000000" w:sz="4" w:space="0"/>
              <w:left w:val="single" w:color="000000" w:sz="4" w:space="0"/>
              <w:right w:val="single" w:color="000000" w:sz="4" w:space="0"/>
            </w:tcBorders>
            <w:shd w:val="clear" w:color="auto" w:fill="auto"/>
            <w:vAlign w:val="center"/>
          </w:tcPr>
          <w:p w14:paraId="32E6E34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物流卸车费用标准</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4606">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车型</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B381">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物料</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815C">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运输方式</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7349">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C6F6">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未税/元</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EB2E">
            <w:pPr>
              <w:keepNext w:val="0"/>
              <w:keepLines w:val="0"/>
              <w:widowControl/>
              <w:suppressLineNumbers w:val="0"/>
              <w:jc w:val="center"/>
              <w:textAlignment w:val="center"/>
              <w:rPr>
                <w:rFonts w:hint="default" w:ascii="楷体" w:hAnsi="楷体" w:eastAsia="楷体" w:cs="楷体"/>
                <w:b/>
                <w:bCs/>
                <w:i w:val="0"/>
                <w:iCs w:val="0"/>
                <w:color w:val="000000"/>
                <w:sz w:val="24"/>
                <w:szCs w:val="24"/>
                <w:u w:val="none"/>
                <w:lang w:val="en-US" w:eastAsia="zh-CN"/>
              </w:rPr>
            </w:pPr>
            <w:r>
              <w:rPr>
                <w:rFonts w:hint="eastAsia" w:ascii="楷体" w:hAnsi="楷体" w:eastAsia="楷体" w:cs="楷体"/>
                <w:b/>
                <w:bCs/>
                <w:i w:val="0"/>
                <w:iCs w:val="0"/>
                <w:color w:val="000000"/>
                <w:sz w:val="24"/>
                <w:szCs w:val="24"/>
                <w:u w:val="none"/>
                <w:lang w:val="en-US" w:eastAsia="zh-CN"/>
              </w:rPr>
              <w:t>含税价格/元</w:t>
            </w:r>
          </w:p>
        </w:tc>
      </w:tr>
      <w:tr w14:paraId="28E4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316" w:type="dxa"/>
            <w:vMerge w:val="continue"/>
            <w:tcBorders>
              <w:left w:val="single" w:color="000000" w:sz="4" w:space="0"/>
              <w:right w:val="single" w:color="000000" w:sz="4" w:space="0"/>
            </w:tcBorders>
            <w:shd w:val="clear" w:color="auto" w:fill="auto"/>
            <w:vAlign w:val="center"/>
          </w:tcPr>
          <w:p w14:paraId="44BBAD5F">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1F1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13M半挂</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CD4C">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kern w:val="0"/>
                <w:sz w:val="24"/>
                <w:szCs w:val="24"/>
                <w:u w:val="none"/>
                <w:lang w:val="en-US" w:eastAsia="zh-CN" w:bidi="ar"/>
              </w:rPr>
              <w:t>发泡/骨架器具/托盘</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F901">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整车</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56A6">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86BA">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400</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AA54">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404</w:t>
            </w:r>
          </w:p>
        </w:tc>
      </w:tr>
      <w:tr w14:paraId="3DB7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316" w:type="dxa"/>
            <w:vMerge w:val="continue"/>
            <w:tcBorders>
              <w:left w:val="single" w:color="000000" w:sz="4" w:space="0"/>
              <w:right w:val="single" w:color="000000" w:sz="4" w:space="0"/>
            </w:tcBorders>
            <w:shd w:val="clear" w:color="auto" w:fill="auto"/>
            <w:vAlign w:val="center"/>
          </w:tcPr>
          <w:p w14:paraId="1F25D539">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7119">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9.6M箱货</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01FD">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发泡/骨架器具/托盘</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A379">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整车</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F6F4">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车</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170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310</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7C1C">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313.1</w:t>
            </w:r>
          </w:p>
        </w:tc>
      </w:tr>
      <w:tr w14:paraId="23EA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316" w:type="dxa"/>
            <w:vMerge w:val="continue"/>
            <w:tcBorders>
              <w:left w:val="single" w:color="000000" w:sz="4" w:space="0"/>
              <w:bottom w:val="single" w:color="000000" w:sz="4" w:space="0"/>
              <w:right w:val="single" w:color="000000" w:sz="4" w:space="0"/>
            </w:tcBorders>
            <w:shd w:val="clear" w:color="auto" w:fill="auto"/>
            <w:vAlign w:val="center"/>
          </w:tcPr>
          <w:p w14:paraId="306522B7">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8EC0">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6.8M高栏</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3851">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全部器具</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438C">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sz w:val="24"/>
                <w:szCs w:val="24"/>
                <w:u w:val="none"/>
                <w:lang w:val="en-US" w:eastAsia="zh-CN"/>
              </w:rPr>
              <w:t>整车</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0044">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车</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564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180</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79CB">
            <w:pPr>
              <w:keepNext w:val="0"/>
              <w:keepLines w:val="0"/>
              <w:widowControl/>
              <w:suppressLineNumbers w:val="0"/>
              <w:jc w:val="center"/>
              <w:textAlignment w:val="center"/>
              <w:rPr>
                <w:rFonts w:hint="default"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2"/>
                <w:sz w:val="24"/>
                <w:szCs w:val="24"/>
                <w:u w:val="none"/>
                <w:lang w:val="en-US" w:eastAsia="zh-CN" w:bidi="ar-SA"/>
              </w:rPr>
              <w:t>181.8</w:t>
            </w:r>
          </w:p>
        </w:tc>
      </w:tr>
      <w:tr w14:paraId="1EDB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889" w:hRule="atLeast"/>
        </w:trPr>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C7003">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lang w:val="en-US" w:eastAsia="zh-CN"/>
              </w:rPr>
            </w:pPr>
            <w:r>
              <w:rPr>
                <w:rFonts w:hint="eastAsia" w:ascii="楷体" w:hAnsi="楷体" w:eastAsia="楷体" w:cs="楷体"/>
                <w:b/>
                <w:bCs/>
                <w:i w:val="0"/>
                <w:iCs w:val="0"/>
                <w:color w:val="000000"/>
                <w:sz w:val="22"/>
                <w:szCs w:val="22"/>
                <w:u w:val="none"/>
                <w:lang w:val="en-US" w:eastAsia="zh-CN"/>
              </w:rPr>
              <w:t>KD运输费用标准</w:t>
            </w: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B772D2">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KD库区</w:t>
            </w:r>
          </w:p>
        </w:tc>
        <w:tc>
          <w:tcPr>
            <w:tcW w:w="1218"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14:paraId="52633691">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双程/公里</w:t>
            </w:r>
          </w:p>
        </w:tc>
        <w:tc>
          <w:tcPr>
            <w:tcW w:w="134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20BB7BA">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车型</w:t>
            </w:r>
          </w:p>
        </w:tc>
        <w:tc>
          <w:tcPr>
            <w:tcW w:w="183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E75980F">
            <w:pPr>
              <w:keepNext w:val="0"/>
              <w:keepLines w:val="0"/>
              <w:widowControl/>
              <w:suppressLineNumbers w:val="0"/>
              <w:jc w:val="center"/>
              <w:textAlignment w:val="center"/>
              <w:rPr>
                <w:rFonts w:hint="eastAsia" w:ascii="楷体" w:hAnsi="楷体" w:eastAsia="楷体" w:cs="楷体"/>
                <w:b/>
                <w:bCs/>
                <w:i w:val="0"/>
                <w:iCs w:val="0"/>
                <w:color w:val="000000"/>
                <w:kern w:val="0"/>
                <w:sz w:val="22"/>
                <w:szCs w:val="22"/>
                <w:u w:val="none"/>
                <w:lang w:val="en-US" w:eastAsia="zh-CN" w:bidi="ar"/>
              </w:rPr>
            </w:pPr>
            <w:r>
              <w:rPr>
                <w:rFonts w:hint="eastAsia" w:ascii="楷体" w:hAnsi="楷体" w:eastAsia="楷体" w:cs="楷体"/>
                <w:b/>
                <w:bCs/>
                <w:i w:val="0"/>
                <w:iCs w:val="0"/>
                <w:color w:val="000000"/>
                <w:kern w:val="0"/>
                <w:sz w:val="22"/>
                <w:szCs w:val="22"/>
                <w:u w:val="none"/>
                <w:lang w:val="en-US" w:eastAsia="zh-CN" w:bidi="ar"/>
              </w:rPr>
              <w:t>未税（元）</w:t>
            </w:r>
          </w:p>
        </w:tc>
        <w:tc>
          <w:tcPr>
            <w:tcW w:w="2029"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2FCED28">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lang w:eastAsia="zh-CN"/>
              </w:rPr>
            </w:pPr>
            <w:r>
              <w:rPr>
                <w:rFonts w:hint="eastAsia" w:ascii="楷体" w:hAnsi="楷体" w:eastAsia="楷体" w:cs="楷体"/>
                <w:b/>
                <w:bCs/>
                <w:i w:val="0"/>
                <w:iCs w:val="0"/>
                <w:color w:val="000000"/>
                <w:sz w:val="24"/>
                <w:szCs w:val="24"/>
                <w:u w:val="none"/>
                <w:lang w:val="en-US" w:eastAsia="zh-CN"/>
              </w:rPr>
              <w:t>含税/元</w:t>
            </w:r>
          </w:p>
        </w:tc>
      </w:tr>
      <w:tr w14:paraId="07BE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772" w:hRule="atLeast"/>
        </w:trPr>
        <w:tc>
          <w:tcPr>
            <w:tcW w:w="13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9FB631">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r>
              <w:rPr>
                <w:rFonts w:hint="eastAsia" w:ascii="楷体" w:hAnsi="楷体" w:eastAsia="楷体" w:cs="楷体"/>
                <w:b w:val="0"/>
                <w:bCs w:val="0"/>
                <w:i w:val="0"/>
                <w:iCs w:val="0"/>
                <w:color w:val="000000"/>
                <w:kern w:val="0"/>
                <w:sz w:val="22"/>
                <w:szCs w:val="22"/>
                <w:u w:val="none"/>
                <w:lang w:val="en-US" w:eastAsia="zh-CN" w:bidi="ar"/>
              </w:rPr>
              <w:t>福田多功能厂区</w:t>
            </w: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AE3293">
            <w:pPr>
              <w:keepNext w:val="0"/>
              <w:keepLines w:val="0"/>
              <w:widowControl/>
              <w:suppressLineNumbers w:val="0"/>
              <w:jc w:val="center"/>
              <w:textAlignment w:val="center"/>
              <w:rPr>
                <w:rFonts w:hint="eastAsia"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福田多功能厂区</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2BB4CB">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100F83">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9.6M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732BED">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290</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4DB521">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292.9</w:t>
            </w:r>
          </w:p>
        </w:tc>
      </w:tr>
      <w:tr w14:paraId="5CA7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807"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13FD3D">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3C6F06">
            <w:pPr>
              <w:keepNext w:val="0"/>
              <w:keepLines w:val="0"/>
              <w:widowControl/>
              <w:suppressLineNumbers w:val="0"/>
              <w:jc w:val="center"/>
              <w:textAlignment w:val="center"/>
              <w:rPr>
                <w:rFonts w:hint="eastAsia"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福田多功能厂区KD</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760422">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4B4A60">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9.6M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B06875">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350</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79BC6E">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353.5</w:t>
            </w:r>
          </w:p>
        </w:tc>
      </w:tr>
      <w:tr w14:paraId="0290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852"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6C9E6D">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123604">
            <w:pPr>
              <w:keepNext w:val="0"/>
              <w:keepLines w:val="0"/>
              <w:widowControl/>
              <w:suppressLineNumbers w:val="0"/>
              <w:jc w:val="center"/>
              <w:textAlignment w:val="center"/>
              <w:rPr>
                <w:rFonts w:hint="eastAsia" w:ascii="楷体" w:hAnsi="楷体" w:eastAsia="楷体" w:cs="楷体"/>
                <w:b w:val="0"/>
                <w:bCs w:val="0"/>
                <w:i w:val="0"/>
                <w:iCs w:val="0"/>
                <w:color w:val="000000"/>
                <w:kern w:val="2"/>
                <w:sz w:val="22"/>
                <w:szCs w:val="22"/>
                <w:u w:val="none"/>
                <w:lang w:val="en-US" w:eastAsia="zh-CN" w:bidi="ar-SA"/>
              </w:rPr>
            </w:pPr>
            <w:r>
              <w:rPr>
                <w:rFonts w:hint="eastAsia" w:ascii="楷体" w:hAnsi="楷体" w:eastAsia="楷体" w:cs="楷体"/>
                <w:b w:val="0"/>
                <w:bCs w:val="0"/>
                <w:i w:val="0"/>
                <w:iCs w:val="0"/>
                <w:color w:val="000000"/>
                <w:kern w:val="0"/>
                <w:sz w:val="22"/>
                <w:szCs w:val="22"/>
                <w:u w:val="none"/>
                <w:lang w:val="en-US" w:eastAsia="zh-CN" w:bidi="ar"/>
              </w:rPr>
              <w:t>坊子顺丰物流园KD</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6B4C11">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6</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567380">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9.6M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1D7211">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280</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5DC695">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282.8</w:t>
            </w:r>
          </w:p>
        </w:tc>
      </w:tr>
      <w:tr w14:paraId="4F22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852"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2B8DD9">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590307">
            <w:pPr>
              <w:keepNext w:val="0"/>
              <w:keepLines w:val="0"/>
              <w:widowControl/>
              <w:suppressLineNumbers w:val="0"/>
              <w:jc w:val="center"/>
              <w:textAlignment w:val="center"/>
              <w:rPr>
                <w:rFonts w:hint="eastAsia"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福田多功能厂区</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77B3B3">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0B9B5F">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7.8M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950607">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232</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F7F5F4">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234.32</w:t>
            </w:r>
          </w:p>
        </w:tc>
      </w:tr>
      <w:tr w14:paraId="002D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777"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ED9F38">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A6EE46">
            <w:pPr>
              <w:keepNext w:val="0"/>
              <w:keepLines w:val="0"/>
              <w:widowControl/>
              <w:suppressLineNumbers w:val="0"/>
              <w:jc w:val="center"/>
              <w:textAlignment w:val="center"/>
              <w:rPr>
                <w:rFonts w:hint="eastAsia" w:ascii="楷体" w:hAnsi="楷体" w:eastAsia="楷体" w:cs="楷体"/>
                <w:b w:val="0"/>
                <w:bCs w:val="0"/>
                <w:i w:val="0"/>
                <w:iCs w:val="0"/>
                <w:color w:val="000000"/>
                <w:kern w:val="2"/>
                <w:sz w:val="22"/>
                <w:szCs w:val="22"/>
                <w:u w:val="none"/>
                <w:lang w:val="en-US" w:eastAsia="zh-CN" w:bidi="ar-SA"/>
              </w:rPr>
            </w:pPr>
            <w:r>
              <w:rPr>
                <w:rFonts w:hint="eastAsia" w:ascii="楷体" w:hAnsi="楷体" w:eastAsia="楷体" w:cs="楷体"/>
                <w:b w:val="0"/>
                <w:bCs w:val="0"/>
                <w:i w:val="0"/>
                <w:iCs w:val="0"/>
                <w:color w:val="000000"/>
                <w:kern w:val="0"/>
                <w:sz w:val="22"/>
                <w:szCs w:val="22"/>
                <w:u w:val="none"/>
                <w:lang w:val="en-US" w:eastAsia="zh-CN" w:bidi="ar"/>
              </w:rPr>
              <w:t>福田多功能厂区KD</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B1E24">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24</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0C8122">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7.8M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6A499E">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280</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AF8EFE">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282.8</w:t>
            </w:r>
          </w:p>
        </w:tc>
      </w:tr>
      <w:tr w14:paraId="503F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882"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54257F">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98848F">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r>
              <w:rPr>
                <w:rFonts w:hint="eastAsia" w:ascii="楷体" w:hAnsi="楷体" w:eastAsia="楷体" w:cs="楷体"/>
                <w:b w:val="0"/>
                <w:bCs w:val="0"/>
                <w:i w:val="0"/>
                <w:iCs w:val="0"/>
                <w:color w:val="000000"/>
                <w:kern w:val="0"/>
                <w:sz w:val="22"/>
                <w:szCs w:val="22"/>
                <w:u w:val="none"/>
                <w:lang w:val="en-US" w:eastAsia="zh-CN" w:bidi="ar"/>
              </w:rPr>
              <w:t>坊子顺丰物流园KD</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31BEF2">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6</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D2C396">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7.8M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68ED0D">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260</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1E9CAC">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262.6</w:t>
            </w:r>
          </w:p>
        </w:tc>
      </w:tr>
    </w:tbl>
    <w:p w14:paraId="1AF4FF22">
      <w:pPr>
        <w:widowControl/>
        <w:numPr>
          <w:ilvl w:val="0"/>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说明：</w:t>
      </w:r>
    </w:p>
    <w:p w14:paraId="14244207">
      <w:pPr>
        <w:widowControl/>
        <w:numPr>
          <w:ilvl w:val="0"/>
          <w:numId w:val="5"/>
        </w:numPr>
        <w:spacing w:line="360" w:lineRule="auto"/>
        <w:ind w:firstLine="960" w:firstLineChars="40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来料卸货不是整车，可根据车厢物料装载比例统计，计算车辆卸货费用</w:t>
      </w:r>
    </w:p>
    <w:p w14:paraId="224BF57D">
      <w:pPr>
        <w:widowControl/>
        <w:numPr>
          <w:ilvl w:val="0"/>
          <w:numId w:val="5"/>
        </w:numPr>
        <w:spacing w:line="360" w:lineRule="auto"/>
        <w:ind w:firstLine="960" w:firstLineChars="400"/>
        <w:jc w:val="both"/>
        <w:rPr>
          <w:rFonts w:hint="default"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计算公式：例如：9.6M车整车卸货费用310元*车厢物料装载90%=279元</w:t>
      </w:r>
    </w:p>
    <w:p w14:paraId="5EE8C374">
      <w:pPr>
        <w:pStyle w:val="15"/>
        <w:numPr>
          <w:ilvl w:val="0"/>
          <w:numId w:val="0"/>
        </w:numPr>
        <w:spacing w:after="0" w:line="360" w:lineRule="auto"/>
        <w:rPr>
          <w:rFonts w:hint="eastAsia" w:ascii="楷体" w:hAnsi="楷体" w:eastAsia="楷体" w:cs="楷体"/>
          <w:b/>
          <w:bCs/>
          <w:sz w:val="28"/>
          <w:szCs w:val="28"/>
          <w:lang w:val="en-US" w:eastAsia="zh-CN"/>
        </w:rPr>
      </w:pPr>
      <w:r>
        <w:rPr>
          <w:rFonts w:hint="eastAsia" w:ascii="楷体" w:hAnsi="楷体" w:eastAsia="楷体" w:cs="楷体"/>
          <w:b/>
          <w:sz w:val="28"/>
          <w:szCs w:val="36"/>
          <w:lang w:val="en-US" w:eastAsia="zh-CN"/>
        </w:rPr>
        <w:t xml:space="preserve"> </w:t>
      </w:r>
      <w:r>
        <w:rPr>
          <w:rFonts w:hint="eastAsia" w:ascii="楷体" w:hAnsi="楷体" w:eastAsia="楷体" w:cs="楷体"/>
          <w:b/>
          <w:bCs/>
          <w:sz w:val="28"/>
          <w:szCs w:val="28"/>
          <w:lang w:val="en-US" w:eastAsia="zh-CN"/>
        </w:rPr>
        <w:t>增补条款：</w:t>
      </w:r>
    </w:p>
    <w:p w14:paraId="2565198F">
      <w:pPr>
        <w:pStyle w:val="15"/>
        <w:numPr>
          <w:ilvl w:val="0"/>
          <w:numId w:val="0"/>
        </w:numPr>
        <w:spacing w:after="0" w:line="360" w:lineRule="auto"/>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1、卸车费用：</w:t>
      </w:r>
    </w:p>
    <w:tbl>
      <w:tblPr>
        <w:tblStyle w:val="6"/>
        <w:tblW w:w="10417"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1464"/>
        <w:gridCol w:w="2041"/>
        <w:gridCol w:w="1415"/>
        <w:gridCol w:w="790"/>
        <w:gridCol w:w="1597"/>
        <w:gridCol w:w="1794"/>
      </w:tblGrid>
      <w:tr w14:paraId="7F35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316" w:type="dxa"/>
            <w:vMerge w:val="restart"/>
            <w:tcBorders>
              <w:top w:val="single" w:color="auto" w:sz="4" w:space="0"/>
              <w:left w:val="single" w:color="auto" w:sz="4" w:space="0"/>
              <w:right w:val="single" w:color="000000" w:sz="4" w:space="0"/>
            </w:tcBorders>
            <w:shd w:val="clear" w:color="auto" w:fill="auto"/>
            <w:vAlign w:val="center"/>
          </w:tcPr>
          <w:p w14:paraId="0513FADF">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物流卸车费用标准</w:t>
            </w:r>
          </w:p>
        </w:tc>
        <w:tc>
          <w:tcPr>
            <w:tcW w:w="146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7A568DAE">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车型</w:t>
            </w:r>
          </w:p>
        </w:tc>
        <w:tc>
          <w:tcPr>
            <w:tcW w:w="20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C7DFE66">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物料</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55EA">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运输方式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636E">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14AF">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未税/元</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7A3A">
            <w:pPr>
              <w:keepNext w:val="0"/>
              <w:keepLines w:val="0"/>
              <w:widowControl/>
              <w:suppressLineNumbers w:val="0"/>
              <w:jc w:val="center"/>
              <w:textAlignment w:val="center"/>
              <w:rPr>
                <w:rFonts w:hint="default" w:ascii="楷体" w:hAnsi="楷体" w:eastAsia="楷体" w:cs="楷体"/>
                <w:b/>
                <w:bCs/>
                <w:i w:val="0"/>
                <w:iCs w:val="0"/>
                <w:color w:val="000000"/>
                <w:sz w:val="24"/>
                <w:szCs w:val="24"/>
                <w:u w:val="none"/>
                <w:lang w:val="en-US" w:eastAsia="zh-CN"/>
              </w:rPr>
            </w:pPr>
            <w:r>
              <w:rPr>
                <w:rFonts w:hint="eastAsia" w:ascii="楷体" w:hAnsi="楷体" w:eastAsia="楷体" w:cs="楷体"/>
                <w:b/>
                <w:bCs/>
                <w:i w:val="0"/>
                <w:iCs w:val="0"/>
                <w:color w:val="000000"/>
                <w:sz w:val="24"/>
                <w:szCs w:val="24"/>
                <w:u w:val="none"/>
                <w:lang w:val="en-US" w:eastAsia="zh-CN"/>
              </w:rPr>
              <w:t>含税价格/元</w:t>
            </w:r>
          </w:p>
        </w:tc>
      </w:tr>
      <w:tr w14:paraId="3A60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316" w:type="dxa"/>
            <w:vMerge w:val="continue"/>
            <w:tcBorders>
              <w:left w:val="single" w:color="auto" w:sz="4" w:space="0"/>
              <w:bottom w:val="single" w:color="auto" w:sz="4" w:space="0"/>
              <w:right w:val="single" w:color="000000" w:sz="4" w:space="0"/>
            </w:tcBorders>
            <w:shd w:val="clear" w:color="auto" w:fill="auto"/>
            <w:vAlign w:val="center"/>
          </w:tcPr>
          <w:p w14:paraId="15D6F4E3">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29D46901">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4.2M</w:t>
            </w:r>
          </w:p>
        </w:tc>
        <w:tc>
          <w:tcPr>
            <w:tcW w:w="20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6EE8A7D">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kern w:val="0"/>
                <w:sz w:val="24"/>
                <w:szCs w:val="24"/>
                <w:u w:val="none"/>
                <w:lang w:val="en-US" w:eastAsia="zh-CN" w:bidi="ar"/>
              </w:rPr>
              <w:t>发泡/骨架器具/托盘</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C0F9">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整车</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F1AD">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3B32">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135.625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75F3">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136.98</w:t>
            </w:r>
          </w:p>
        </w:tc>
      </w:tr>
    </w:tbl>
    <w:p w14:paraId="107B94CD">
      <w:pPr>
        <w:pStyle w:val="15"/>
        <w:numPr>
          <w:ilvl w:val="0"/>
          <w:numId w:val="0"/>
        </w:numPr>
        <w:spacing w:after="0" w:line="360" w:lineRule="auto"/>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2、P203-KD装箱、入库费用：</w:t>
      </w:r>
    </w:p>
    <w:tbl>
      <w:tblPr>
        <w:tblStyle w:val="6"/>
        <w:tblW w:w="10396"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8"/>
        <w:gridCol w:w="1354"/>
        <w:gridCol w:w="1506"/>
        <w:gridCol w:w="1166"/>
        <w:gridCol w:w="1635"/>
        <w:gridCol w:w="1832"/>
        <w:gridCol w:w="1685"/>
      </w:tblGrid>
      <w:tr w14:paraId="1FF2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18" w:type="dxa"/>
            <w:vMerge w:val="restart"/>
            <w:tcBorders>
              <w:top w:val="single" w:color="auto" w:sz="4" w:space="0"/>
              <w:left w:val="single" w:color="auto" w:sz="4" w:space="0"/>
              <w:right w:val="single" w:color="000000" w:sz="4" w:space="0"/>
            </w:tcBorders>
            <w:shd w:val="clear" w:color="auto" w:fill="auto"/>
            <w:vAlign w:val="center"/>
          </w:tcPr>
          <w:p w14:paraId="5754A4D3">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rPr>
            </w:pPr>
            <w:r>
              <w:rPr>
                <w:rFonts w:hint="eastAsia" w:ascii="楷体" w:hAnsi="楷体" w:eastAsia="楷体" w:cs="楷体"/>
                <w:b/>
                <w:bCs/>
                <w:i w:val="0"/>
                <w:iCs w:val="0"/>
                <w:color w:val="000000"/>
                <w:kern w:val="0"/>
                <w:sz w:val="24"/>
                <w:szCs w:val="24"/>
                <w:u w:val="none"/>
                <w:lang w:val="en-US" w:eastAsia="zh-CN" w:bidi="ar"/>
              </w:rPr>
              <w:t>KD入库</w:t>
            </w:r>
          </w:p>
        </w:tc>
        <w:tc>
          <w:tcPr>
            <w:tcW w:w="135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3C78EE9">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整车批次</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7ED61A">
            <w:pPr>
              <w:keepNext w:val="0"/>
              <w:keepLines w:val="0"/>
              <w:widowControl/>
              <w:suppressLineNumbers w:val="0"/>
              <w:jc w:val="center"/>
              <w:textAlignment w:val="center"/>
              <w:rPr>
                <w:rFonts w:hint="default" w:ascii="楷体" w:hAnsi="楷体" w:eastAsia="楷体" w:cs="楷体"/>
                <w:b/>
                <w:bCs/>
                <w:i w:val="0"/>
                <w:iCs w:val="0"/>
                <w:color w:val="000000"/>
                <w:sz w:val="24"/>
                <w:szCs w:val="24"/>
                <w:u w:val="none"/>
                <w:lang w:val="en-US" w:eastAsia="zh-CN"/>
              </w:rPr>
            </w:pPr>
            <w:r>
              <w:rPr>
                <w:rFonts w:hint="eastAsia" w:ascii="楷体" w:hAnsi="楷体" w:eastAsia="楷体" w:cs="楷体"/>
                <w:b/>
                <w:bCs/>
                <w:i w:val="0"/>
                <w:iCs w:val="0"/>
                <w:color w:val="000000"/>
                <w:sz w:val="24"/>
                <w:szCs w:val="24"/>
                <w:u w:val="none"/>
                <w:lang w:val="en-US" w:eastAsia="zh-CN"/>
              </w:rPr>
              <w:t>座椅数量</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CC4D">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371B">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费用未税/元</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6E73">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sz w:val="24"/>
                <w:szCs w:val="24"/>
                <w:u w:val="none"/>
                <w:lang w:val="en-US" w:eastAsia="zh-CN"/>
              </w:rPr>
              <w:t>含税价格/元</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9D05">
            <w:pPr>
              <w:keepNext w:val="0"/>
              <w:keepLines w:val="0"/>
              <w:widowControl/>
              <w:suppressLineNumbers w:val="0"/>
              <w:jc w:val="center"/>
              <w:textAlignment w:val="center"/>
              <w:rPr>
                <w:rFonts w:hint="default" w:ascii="楷体" w:hAnsi="楷体" w:eastAsia="楷体" w:cs="楷体"/>
                <w:b/>
                <w:bCs/>
                <w:i w:val="0"/>
                <w:iCs w:val="0"/>
                <w:color w:val="000000"/>
                <w:sz w:val="24"/>
                <w:szCs w:val="24"/>
                <w:u w:val="none"/>
                <w:lang w:val="en-US" w:eastAsia="zh-CN"/>
              </w:rPr>
            </w:pPr>
            <w:r>
              <w:rPr>
                <w:rFonts w:hint="eastAsia" w:ascii="楷体" w:hAnsi="楷体" w:eastAsia="楷体" w:cs="楷体"/>
                <w:b/>
                <w:bCs/>
                <w:i w:val="0"/>
                <w:iCs w:val="0"/>
                <w:color w:val="000000"/>
                <w:sz w:val="24"/>
                <w:szCs w:val="24"/>
                <w:u w:val="none"/>
                <w:lang w:val="en-US" w:eastAsia="zh-CN"/>
              </w:rPr>
              <w:t>备注</w:t>
            </w:r>
          </w:p>
        </w:tc>
      </w:tr>
      <w:tr w14:paraId="2043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1218" w:type="dxa"/>
            <w:vMerge w:val="continue"/>
            <w:tcBorders>
              <w:left w:val="single" w:color="auto" w:sz="4" w:space="0"/>
              <w:bottom w:val="single" w:color="auto" w:sz="4" w:space="0"/>
              <w:right w:val="single" w:color="000000" w:sz="4" w:space="0"/>
            </w:tcBorders>
            <w:shd w:val="clear" w:color="auto" w:fill="auto"/>
            <w:vAlign w:val="center"/>
          </w:tcPr>
          <w:p w14:paraId="49C4551A">
            <w:pPr>
              <w:jc w:val="center"/>
              <w:rPr>
                <w:rFonts w:hint="eastAsia" w:ascii="楷体" w:hAnsi="楷体" w:eastAsia="楷体" w:cs="楷体"/>
                <w:i w:val="0"/>
                <w:iCs w:val="0"/>
                <w:color w:val="000000"/>
                <w:sz w:val="24"/>
                <w:szCs w:val="24"/>
                <w:u w:val="none"/>
              </w:rPr>
            </w:pPr>
          </w:p>
        </w:tc>
        <w:tc>
          <w:tcPr>
            <w:tcW w:w="1354"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65BF6D95">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48台</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A1F89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144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EC74">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C493">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2DF4">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BB7C">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p>
        </w:tc>
      </w:tr>
      <w:tr w14:paraId="5676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218" w:type="dxa"/>
            <w:vMerge w:val="continue"/>
            <w:tcBorders>
              <w:left w:val="single" w:color="auto" w:sz="4" w:space="0"/>
              <w:bottom w:val="single" w:color="auto" w:sz="4" w:space="0"/>
              <w:right w:val="single" w:color="000000" w:sz="4" w:space="0"/>
            </w:tcBorders>
            <w:shd w:val="clear" w:color="auto" w:fill="auto"/>
            <w:vAlign w:val="center"/>
          </w:tcPr>
          <w:p w14:paraId="71C6D239">
            <w:pPr>
              <w:jc w:val="center"/>
              <w:rPr>
                <w:rFonts w:hint="eastAsia" w:ascii="楷体" w:hAnsi="楷体" w:eastAsia="楷体" w:cs="楷体"/>
                <w:i w:val="0"/>
                <w:iCs w:val="0"/>
                <w:color w:val="000000"/>
                <w:sz w:val="24"/>
                <w:szCs w:val="24"/>
                <w:u w:val="none"/>
              </w:rPr>
            </w:pPr>
          </w:p>
        </w:tc>
        <w:tc>
          <w:tcPr>
            <w:tcW w:w="1354"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1DBB5565">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24台</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5D4E28">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72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798E">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16E">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sz w:val="24"/>
                <w:szCs w:val="24"/>
                <w:u w:val="none"/>
                <w:lang w:val="en-US" w:eastAsia="zh-CN"/>
              </w:rPr>
              <w:t>300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5016">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sz w:val="24"/>
                <w:szCs w:val="24"/>
                <w:u w:val="none"/>
                <w:lang w:val="en-US" w:eastAsia="zh-CN"/>
              </w:rPr>
              <w:t>303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8C22">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p>
        </w:tc>
      </w:tr>
    </w:tbl>
    <w:p w14:paraId="6A6B8A85">
      <w:pPr>
        <w:widowControl/>
        <w:numPr>
          <w:numId w:val="0"/>
        </w:numPr>
        <w:spacing w:line="360" w:lineRule="auto"/>
        <w:jc w:val="both"/>
        <w:rPr>
          <w:rFonts w:hint="default" w:ascii="楷体" w:hAnsi="楷体" w:eastAsia="楷体" w:cs="楷体"/>
          <w:b w:val="0"/>
          <w:bCs/>
          <w:color w:val="000000"/>
          <w:kern w:val="0"/>
          <w:sz w:val="24"/>
          <w:szCs w:val="24"/>
          <w:lang w:val="en-US" w:eastAsia="zh-CN"/>
        </w:rPr>
      </w:pPr>
    </w:p>
    <w:p w14:paraId="62D71CE6">
      <w:pPr>
        <w:widowControl/>
        <w:numPr>
          <w:ilvl w:val="0"/>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第五条 结算方式</w:t>
      </w:r>
    </w:p>
    <w:p w14:paraId="75E59CA3">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甲、乙双方每日确认卸车车型及运输方式，按照物流卸车费用标准计算价格，月底进行汇总提交财务</w:t>
      </w:r>
    </w:p>
    <w:p w14:paraId="64A1D034">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SKD配送根据交付计划，双方确认运输车型及车次，根据</w:t>
      </w:r>
      <w:r>
        <w:rPr>
          <w:rFonts w:hint="eastAsia" w:ascii="楷体" w:hAnsi="楷体" w:eastAsia="楷体" w:cs="楷体"/>
          <w:b w:val="0"/>
          <w:bCs/>
          <w:i w:val="0"/>
          <w:iCs w:val="0"/>
          <w:color w:val="000000"/>
          <w:sz w:val="24"/>
          <w:szCs w:val="24"/>
          <w:u w:val="none"/>
          <w:lang w:val="en-US" w:eastAsia="zh-CN"/>
        </w:rPr>
        <w:t>KD运输费用标准进行统计核算价格，月底进行汇总</w:t>
      </w:r>
    </w:p>
    <w:p w14:paraId="25758B2E">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乙方按月开具增值税专用发票，税率为1%的物流运输发票</w:t>
      </w:r>
    </w:p>
    <w:p w14:paraId="1594FDF8">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甲方收到发票进行挂账，账期60天，循环付款</w:t>
      </w:r>
    </w:p>
    <w:p w14:paraId="7C77C83B">
      <w:pPr>
        <w:widowControl/>
        <w:numPr>
          <w:ilvl w:val="0"/>
          <w:numId w:val="0"/>
        </w:numPr>
        <w:spacing w:line="360" w:lineRule="auto"/>
        <w:jc w:val="both"/>
        <w:rPr>
          <w:rFonts w:hint="eastAsia" w:ascii="楷体" w:hAnsi="楷体" w:eastAsia="楷体" w:cs="楷体"/>
          <w:b/>
          <w:bCs w:val="0"/>
          <w:color w:val="000000"/>
          <w:kern w:val="0"/>
          <w:sz w:val="32"/>
          <w:szCs w:val="32"/>
          <w:lang w:val="en-US" w:eastAsia="zh-CN"/>
        </w:rPr>
      </w:pPr>
      <w:r>
        <w:rPr>
          <w:rFonts w:hint="eastAsia" w:ascii="楷体" w:hAnsi="楷体" w:eastAsia="楷体" w:cs="楷体"/>
          <w:b/>
          <w:bCs w:val="0"/>
          <w:i w:val="0"/>
          <w:iCs w:val="0"/>
          <w:color w:val="000000"/>
          <w:sz w:val="28"/>
          <w:szCs w:val="28"/>
          <w:u w:val="none"/>
          <w:lang w:val="en-US" w:eastAsia="zh-CN"/>
        </w:rPr>
        <w:t>第六条 违约责任</w:t>
      </w:r>
    </w:p>
    <w:p w14:paraId="6B256CE9">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1.乙方不按照甲方的合理要求进行搬运、保管、配送，或因乙方在搬运、 保管、配送过程中的过错，致使甲方的产品遭到破坏、丢失所产生的损失由乙方负担。</w:t>
      </w:r>
    </w:p>
    <w:p w14:paraId="59C00000">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、乙方按甲方指定客户的要求，为甲方经检验合格的产品进行分拣拆包装过程中造成的产品损坏，所产生的损失由乙方自行负担。</w:t>
      </w:r>
    </w:p>
    <w:p w14:paraId="0EFDEDBC">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3、因乙方未能动及时与甲方指定客户沟通，对送货计划理解有误，或未能及时掌握送货计划致使甲方向甲方指定客户产品供应不及时，所产生的损失或处罚由乙方自行负担。</w:t>
      </w:r>
    </w:p>
    <w:p w14:paraId="6B23E6F1">
      <w:pPr>
        <w:spacing w:after="0" w:line="360" w:lineRule="auto"/>
        <w:ind w:firstLine="960" w:firstLineChars="400"/>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4、乙方物流运输、卸车统计数据造假或未按照上述相关标准进行统计，一经查实按照当月费用的1.5倍进行违约罚款</w:t>
      </w:r>
    </w:p>
    <w:p w14:paraId="0117DA41">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第七条 免责条款</w:t>
      </w:r>
    </w:p>
    <w:p w14:paraId="69C22C8D">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履行其在本合同的义务的期间暂时终止。</w:t>
      </w:r>
    </w:p>
    <w:p w14:paraId="34293559">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2、甲、乙双方中任何一方由于不可抗力原因不能履行或者不能按的定的条件股行合同时，应立即将事故情况通知对方，并应在7天内提供事故详情及不能履行、或者部分不能履行、或者需要延期履行理由的有效证明文件。</w:t>
      </w:r>
    </w:p>
    <w:p w14:paraId="67186531">
      <w:pPr>
        <w:spacing w:after="0" w:line="360" w:lineRule="auto"/>
        <w:rPr>
          <w:rFonts w:hint="eastAsia" w:ascii="楷体" w:hAnsi="楷体" w:eastAsia="楷体" w:cs="楷体"/>
          <w:b/>
          <w:bCs/>
          <w:sz w:val="28"/>
          <w:szCs w:val="36"/>
          <w:lang w:val="en-US" w:eastAsia="zh-CN"/>
        </w:rPr>
      </w:pPr>
      <w:r>
        <w:rPr>
          <w:rFonts w:hint="eastAsia" w:ascii="楷体" w:hAnsi="楷体" w:eastAsia="楷体" w:cs="楷体"/>
          <w:b/>
          <w:bCs/>
          <w:sz w:val="28"/>
          <w:szCs w:val="36"/>
          <w:lang w:eastAsia="zh-CN"/>
        </w:rPr>
        <w:t>第八条</w:t>
      </w:r>
      <w:r>
        <w:rPr>
          <w:rFonts w:hint="eastAsia" w:ascii="楷体" w:hAnsi="楷体" w:eastAsia="楷体" w:cs="楷体"/>
          <w:b/>
          <w:bCs/>
          <w:sz w:val="28"/>
          <w:szCs w:val="36"/>
          <w:lang w:val="en-US" w:eastAsia="zh-CN"/>
        </w:rPr>
        <w:t xml:space="preserve"> 其他</w:t>
      </w:r>
    </w:p>
    <w:p w14:paraId="5C29B366">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bCs/>
          <w:sz w:val="28"/>
          <w:szCs w:val="36"/>
          <w:lang w:val="en-US" w:eastAsia="zh-CN"/>
        </w:rPr>
        <w:t xml:space="preserve">      </w:t>
      </w:r>
      <w:r>
        <w:rPr>
          <w:rFonts w:hint="eastAsia" w:ascii="楷体" w:hAnsi="楷体" w:eastAsia="楷体" w:cs="楷体"/>
          <w:b/>
          <w:bCs/>
          <w:sz w:val="24"/>
          <w:szCs w:val="32"/>
          <w:lang w:val="en-US" w:eastAsia="zh-CN"/>
        </w:rPr>
        <w:t xml:space="preserve"> </w:t>
      </w:r>
      <w:r>
        <w:rPr>
          <w:rFonts w:hint="eastAsia" w:ascii="楷体" w:hAnsi="楷体" w:eastAsia="楷体" w:cs="楷体"/>
          <w:b w:val="0"/>
          <w:bCs w:val="0"/>
          <w:sz w:val="24"/>
          <w:szCs w:val="32"/>
          <w:lang w:val="en-US" w:eastAsia="zh-CN"/>
        </w:rPr>
        <w:t xml:space="preserve"> 1、乙方工作人员必须持国家认可的叉车驾驶证件进行叉车作业，若安监管理行政部门执法过程中发现违规问题，乙方负全责，与甲方无关。</w:t>
      </w:r>
    </w:p>
    <w:p w14:paraId="5E3CA77A">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2、乙方工作人员进入甲方仓储、生产线及厂区作业，出现的磕碰、砸伤等伤人安全事故与甲方无关，乙方承担所有责任，甲方不承担任何责任。</w:t>
      </w:r>
    </w:p>
    <w:p w14:paraId="1AB12D07">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3、乙方工作人员未按甲方要求在指定吸烟区吸烟造成火灾隐患的，甲方有权考核乙方200元-1000元违规管理费</w:t>
      </w:r>
    </w:p>
    <w:p w14:paraId="69EB40D6">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4、乙方工作人员不按照甲方指定的叉车行驶路线，违规驾驶造成人员安全隐患的，甲方有权考核乙方200元-1000元违规管理费</w:t>
      </w:r>
    </w:p>
    <w:p w14:paraId="12110E06">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5、乙方工作人员在装卸作业时，甲方巡检发现装卸有安全隐患，提出整改要求，乙方工作人员不服从要求，甲方有权考核乙方500元-5000元，并要求乙方立即更换工作人员</w:t>
      </w:r>
    </w:p>
    <w:p w14:paraId="72B70309">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第九条 协议的生效、终止</w:t>
      </w:r>
    </w:p>
    <w:p w14:paraId="08ABDF71">
      <w:pPr>
        <w:pStyle w:val="15"/>
        <w:numPr>
          <w:ilvl w:val="0"/>
          <w:numId w:val="0"/>
        </w:num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本合同一式两份，甲乙双方各持一份，由甲方与乙方盖章后生效，本合同期限从20</w:t>
      </w:r>
      <w:r>
        <w:rPr>
          <w:rFonts w:hint="eastAsia" w:ascii="楷体" w:hAnsi="楷体" w:eastAsia="楷体" w:cs="楷体"/>
          <w:sz w:val="24"/>
          <w:szCs w:val="32"/>
          <w:lang w:val="en-US" w:eastAsia="zh-CN"/>
        </w:rPr>
        <w:t>24</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10</w:t>
      </w:r>
      <w:r>
        <w:rPr>
          <w:rFonts w:hint="eastAsia" w:ascii="楷体" w:hAnsi="楷体" w:eastAsia="楷体" w:cs="楷体"/>
          <w:sz w:val="24"/>
          <w:szCs w:val="32"/>
          <w:lang w:eastAsia="zh-CN"/>
        </w:rPr>
        <w:t>月1日起至20</w:t>
      </w:r>
      <w:r>
        <w:rPr>
          <w:rFonts w:hint="eastAsia" w:ascii="楷体" w:hAnsi="楷体" w:eastAsia="楷体" w:cs="楷体"/>
          <w:sz w:val="24"/>
          <w:szCs w:val="32"/>
          <w:lang w:val="en-US" w:eastAsia="zh-CN"/>
        </w:rPr>
        <w:t>25</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12</w:t>
      </w:r>
      <w:r>
        <w:rPr>
          <w:rFonts w:hint="eastAsia" w:ascii="楷体" w:hAnsi="楷体" w:eastAsia="楷体" w:cs="楷体"/>
          <w:sz w:val="24"/>
          <w:szCs w:val="32"/>
          <w:lang w:eastAsia="zh-CN"/>
        </w:rPr>
        <w:t>月</w:t>
      </w:r>
      <w:r>
        <w:rPr>
          <w:rFonts w:hint="eastAsia" w:ascii="楷体" w:hAnsi="楷体" w:eastAsia="楷体" w:cs="楷体"/>
          <w:sz w:val="24"/>
          <w:szCs w:val="32"/>
          <w:lang w:val="en-US" w:eastAsia="zh-CN"/>
        </w:rPr>
        <w:t>31</w:t>
      </w:r>
      <w:r>
        <w:rPr>
          <w:rFonts w:hint="eastAsia" w:ascii="楷体" w:hAnsi="楷体" w:eastAsia="楷体" w:cs="楷体"/>
          <w:sz w:val="24"/>
          <w:szCs w:val="32"/>
          <w:lang w:eastAsia="zh-CN"/>
        </w:rPr>
        <w:t>日止。</w:t>
      </w:r>
    </w:p>
    <w:p w14:paraId="517AFB0D">
      <w:pPr>
        <w:pStyle w:val="15"/>
        <w:numPr>
          <w:ilvl w:val="0"/>
          <w:numId w:val="0"/>
        </w:numPr>
        <w:spacing w:after="0" w:line="360" w:lineRule="auto"/>
        <w:ind w:firstLine="960" w:firstLineChars="400"/>
        <w:rPr>
          <w:rFonts w:hint="eastAsia" w:ascii="楷体" w:hAnsi="楷体" w:eastAsia="楷体" w:cs="楷体"/>
          <w:sz w:val="24"/>
          <w:szCs w:val="24"/>
          <w:lang w:eastAsia="zh-CN"/>
        </w:rPr>
      </w:pPr>
      <w:r>
        <w:rPr>
          <w:rFonts w:hint="eastAsia" w:ascii="楷体" w:hAnsi="楷体" w:eastAsia="楷体" w:cs="楷体"/>
          <w:sz w:val="24"/>
          <w:szCs w:val="24"/>
          <w:lang w:eastAsia="zh-CN"/>
        </w:rPr>
        <w:t>2、本合同未尽事宜，由甲乙方双方协商一致， 书面补充协议， 本协议附件及补充协议与本合同具有同等效力。如因本合同发生纠纷，先由双方友好协商一致解决，协商未果，可向甲方所在地人民法院裁决。</w:t>
      </w:r>
    </w:p>
    <w:p w14:paraId="7D9547B9">
      <w:pPr>
        <w:pStyle w:val="15"/>
        <w:numPr>
          <w:ilvl w:val="0"/>
          <w:numId w:val="0"/>
        </w:numPr>
        <w:spacing w:after="0" w:line="360" w:lineRule="auto"/>
        <w:rPr>
          <w:rFonts w:hint="eastAsia" w:ascii="楷体" w:hAnsi="楷体" w:eastAsia="楷体" w:cs="楷体"/>
          <w:sz w:val="24"/>
          <w:szCs w:val="24"/>
          <w:lang w:eastAsia="zh-CN"/>
        </w:rPr>
      </w:pPr>
    </w:p>
    <w:p w14:paraId="5E909A25">
      <w:pPr>
        <w:spacing w:line="360" w:lineRule="auto"/>
        <w:rPr>
          <w:rFonts w:hint="eastAsia" w:ascii="楷体" w:hAnsi="楷体" w:eastAsia="楷体" w:cs="楷体"/>
          <w:b w:val="0"/>
          <w:bCs/>
          <w:sz w:val="24"/>
          <w:szCs w:val="24"/>
        </w:rPr>
      </w:pPr>
      <w:r>
        <w:rPr>
          <w:rFonts w:hint="eastAsia" w:ascii="楷体" w:hAnsi="楷体" w:eastAsia="楷体" w:cs="楷体"/>
          <w:b/>
          <w:bCs/>
          <w:sz w:val="24"/>
          <w:szCs w:val="24"/>
        </w:rPr>
        <w:t>甲方(盖章)：</w:t>
      </w:r>
      <w:r>
        <w:rPr>
          <w:rFonts w:hint="eastAsia" w:ascii="楷体" w:hAnsi="楷体" w:eastAsia="楷体" w:cs="楷体"/>
          <w:b w:val="0"/>
          <w:bCs/>
          <w:sz w:val="24"/>
          <w:szCs w:val="24"/>
          <w:lang w:eastAsia="zh-CN"/>
        </w:rPr>
        <w:t>潍坊光华荣昌汽车技术有限公司</w:t>
      </w:r>
      <w:r>
        <w:rPr>
          <w:rFonts w:hint="eastAsia" w:ascii="楷体" w:hAnsi="楷体" w:eastAsia="楷体" w:cs="楷体"/>
          <w:b w:val="0"/>
          <w:bCs/>
          <w:sz w:val="24"/>
          <w:szCs w:val="24"/>
          <w:lang w:val="en-US" w:eastAsia="zh-CN"/>
        </w:rPr>
        <w:t xml:space="preserve"> </w:t>
      </w:r>
      <w:r>
        <w:rPr>
          <w:rFonts w:hint="eastAsia" w:ascii="楷体" w:hAnsi="楷体" w:eastAsia="楷体" w:cs="楷体"/>
          <w:b/>
          <w:sz w:val="24"/>
          <w:szCs w:val="24"/>
          <w:lang w:val="en-US" w:eastAsia="zh-CN"/>
        </w:rPr>
        <w:t xml:space="preserve">  </w:t>
      </w:r>
      <w:r>
        <w:rPr>
          <w:rFonts w:hint="eastAsia" w:ascii="楷体" w:hAnsi="楷体" w:eastAsia="楷体" w:cs="楷体"/>
          <w:b/>
          <w:bCs/>
          <w:sz w:val="24"/>
          <w:szCs w:val="24"/>
        </w:rPr>
        <w:t>乙方(盖章)：</w:t>
      </w:r>
      <w:r>
        <w:rPr>
          <w:rFonts w:hint="eastAsia" w:ascii="楷体" w:hAnsi="楷体" w:eastAsia="楷体" w:cs="楷体"/>
          <w:b w:val="0"/>
          <w:bCs/>
          <w:sz w:val="24"/>
          <w:szCs w:val="24"/>
          <w:lang w:eastAsia="zh-CN"/>
        </w:rPr>
        <w:t>潍坊鑫腾物流有限公司</w:t>
      </w:r>
    </w:p>
    <w:p w14:paraId="7293D3D9">
      <w:pPr>
        <w:spacing w:line="360" w:lineRule="auto"/>
        <w:rPr>
          <w:rFonts w:hint="eastAsia" w:ascii="楷体" w:hAnsi="楷体" w:eastAsia="楷体" w:cs="楷体"/>
          <w:b/>
          <w:bCs/>
          <w:sz w:val="24"/>
          <w:szCs w:val="24"/>
        </w:rPr>
      </w:pPr>
    </w:p>
    <w:p w14:paraId="68FB180F">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委托代理人：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委托代理人：</w:t>
      </w:r>
    </w:p>
    <w:p w14:paraId="068467BF">
      <w:pPr>
        <w:spacing w:line="360" w:lineRule="auto"/>
        <w:rPr>
          <w:rFonts w:hint="eastAsia" w:ascii="楷体" w:hAnsi="楷体" w:eastAsia="楷体" w:cs="楷体"/>
          <w:b/>
          <w:bCs/>
          <w:sz w:val="24"/>
          <w:szCs w:val="24"/>
        </w:rPr>
      </w:pPr>
    </w:p>
    <w:p w14:paraId="7EEE0905">
      <w:pPr>
        <w:spacing w:line="360" w:lineRule="auto"/>
        <w:ind w:left="240" w:hanging="241" w:hangingChars="100"/>
        <w:rPr>
          <w:rFonts w:hint="eastAsia" w:ascii="楷体" w:hAnsi="楷体" w:eastAsia="楷体" w:cs="楷体"/>
          <w:color w:val="000000"/>
          <w:kern w:val="0"/>
          <w:sz w:val="24"/>
          <w:szCs w:val="24"/>
        </w:rPr>
      </w:pPr>
      <w:r>
        <w:rPr>
          <w:rFonts w:hint="eastAsia" w:ascii="楷体" w:hAnsi="楷体" w:eastAsia="楷体" w:cs="楷体"/>
          <w:b/>
          <w:bCs/>
          <w:sz w:val="24"/>
          <w:szCs w:val="24"/>
        </w:rPr>
        <w:t>日    期：</w:t>
      </w:r>
      <w:r>
        <w:rPr>
          <w:rFonts w:hint="eastAsia" w:ascii="楷体" w:hAnsi="楷体" w:eastAsia="楷体" w:cs="楷体"/>
          <w:sz w:val="24"/>
          <w:szCs w:val="24"/>
          <w:lang w:val="en-US" w:eastAsia="zh-CN"/>
        </w:rPr>
        <w:t xml:space="preserve">                                  </w:t>
      </w:r>
      <w:r>
        <w:rPr>
          <w:rFonts w:hint="eastAsia" w:ascii="楷体" w:hAnsi="楷体" w:eastAsia="楷体" w:cs="楷体"/>
          <w:b/>
          <w:bCs/>
          <w:sz w:val="24"/>
          <w:szCs w:val="24"/>
        </w:rPr>
        <w:t>日    期：</w:t>
      </w:r>
    </w:p>
    <w:p w14:paraId="505029AE">
      <w:pPr>
        <w:widowControl/>
        <w:spacing w:line="360" w:lineRule="auto"/>
        <w:rPr>
          <w:rFonts w:hint="eastAsia" w:ascii="楷体" w:hAnsi="楷体" w:eastAsia="楷体" w:cs="楷体"/>
          <w:color w:val="000000"/>
          <w:kern w:val="0"/>
          <w:sz w:val="24"/>
          <w:szCs w:val="24"/>
        </w:rPr>
      </w:pPr>
    </w:p>
    <w:p w14:paraId="37183B84">
      <w:pPr>
        <w:widowControl/>
        <w:spacing w:line="360" w:lineRule="auto"/>
        <w:rPr>
          <w:rFonts w:hint="eastAsia" w:ascii="楷体" w:hAnsi="楷体" w:eastAsia="楷体" w:cs="楷体"/>
          <w:sz w:val="21"/>
          <w:szCs w:val="24"/>
          <w:lang w:eastAsia="zh-CN"/>
        </w:rPr>
      </w:pPr>
      <w:r>
        <w:rPr>
          <w:rFonts w:hint="eastAsia" w:ascii="楷体" w:hAnsi="楷体" w:eastAsia="楷体" w:cs="楷体"/>
          <w:color w:val="000000"/>
          <w:kern w:val="0"/>
          <w:sz w:val="24"/>
          <w:szCs w:val="24"/>
        </w:rPr>
        <w:t>本合同签订地点：</w:t>
      </w:r>
      <w:bookmarkEnd w:id="0"/>
      <w:r>
        <w:rPr>
          <w:rFonts w:hint="eastAsia" w:ascii="楷体" w:hAnsi="楷体" w:eastAsia="楷体" w:cs="楷体"/>
          <w:color w:val="000000"/>
          <w:kern w:val="0"/>
          <w:sz w:val="24"/>
          <w:szCs w:val="24"/>
          <w:lang w:eastAsia="zh-CN"/>
        </w:rPr>
        <w:t>潍坊</w:t>
      </w:r>
    </w:p>
    <w:sectPr>
      <w:headerReference r:id="rId5" w:type="first"/>
      <w:footerReference r:id="rId7" w:type="first"/>
      <w:headerReference r:id="rId3" w:type="default"/>
      <w:headerReference r:id="rId4" w:type="even"/>
      <w:footerReference r:id="rId6" w:type="even"/>
      <w:pgSz w:w="11906" w:h="16838"/>
      <w:pgMar w:top="126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B2A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727A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3A741">
    <w:pPr>
      <w:pStyle w:val="5"/>
    </w:pPr>
  </w:p>
  <w:p w14:paraId="2E3E3C2F">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w:t>
    </w:r>
    <w:r>
      <w:rPr>
        <w:rFonts w:hint="eastAsia" w:ascii="华文仿宋" w:hAnsi="华文仿宋" w:eastAsia="华文仿宋"/>
        <w:sz w:val="21"/>
        <w:szCs w:val="21"/>
        <w:lang w:val="en-US" w:eastAsia="zh-CN"/>
      </w:rPr>
      <w:t>3</w:t>
    </w:r>
    <w:r>
      <w:rPr>
        <w:rFonts w:hint="eastAsia" w:ascii="华文仿宋" w:hAnsi="华文仿宋" w:eastAsia="华文仿宋"/>
        <w:sz w:val="21"/>
        <w:szCs w:val="21"/>
      </w:rPr>
      <w:t>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E404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A340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20118"/>
    <w:multiLevelType w:val="singleLevel"/>
    <w:tmpl w:val="81120118"/>
    <w:lvl w:ilvl="0" w:tentative="0">
      <w:start w:val="1"/>
      <w:numFmt w:val="decimal"/>
      <w:suff w:val="nothing"/>
      <w:lvlText w:val="%1、"/>
      <w:lvlJc w:val="left"/>
      <w:pPr>
        <w:ind w:left="843" w:leftChars="0" w:firstLine="0" w:firstLineChars="0"/>
      </w:pPr>
    </w:lvl>
  </w:abstractNum>
  <w:abstractNum w:abstractNumId="1">
    <w:nsid w:val="8C2453F0"/>
    <w:multiLevelType w:val="singleLevel"/>
    <w:tmpl w:val="8C2453F0"/>
    <w:lvl w:ilvl="0" w:tentative="0">
      <w:start w:val="1"/>
      <w:numFmt w:val="chineseCounting"/>
      <w:suff w:val="space"/>
      <w:lvlText w:val="第%1条"/>
      <w:lvlJc w:val="left"/>
      <w:rPr>
        <w:rFonts w:hint="eastAsia"/>
      </w:rPr>
    </w:lvl>
  </w:abstractNum>
  <w:abstractNum w:abstractNumId="2">
    <w:nsid w:val="E31215DE"/>
    <w:multiLevelType w:val="singleLevel"/>
    <w:tmpl w:val="E31215DE"/>
    <w:lvl w:ilvl="0" w:tentative="0">
      <w:start w:val="1"/>
      <w:numFmt w:val="decimal"/>
      <w:suff w:val="nothing"/>
      <w:lvlText w:val="%1、"/>
      <w:lvlJc w:val="left"/>
      <w:pPr>
        <w:ind w:left="842" w:leftChars="0" w:firstLine="0" w:firstLineChars="0"/>
      </w:pPr>
    </w:lvl>
  </w:abstractNum>
  <w:abstractNum w:abstractNumId="3">
    <w:nsid w:val="FA43D6AE"/>
    <w:multiLevelType w:val="singleLevel"/>
    <w:tmpl w:val="FA43D6AE"/>
    <w:lvl w:ilvl="0" w:tentative="0">
      <w:start w:val="1"/>
      <w:numFmt w:val="decimal"/>
      <w:suff w:val="nothing"/>
      <w:lvlText w:val="%1、"/>
      <w:lvlJc w:val="left"/>
      <w:pPr>
        <w:ind w:left="843" w:leftChars="0" w:firstLine="0" w:firstLineChars="0"/>
      </w:pPr>
    </w:lvl>
  </w:abstractNum>
  <w:abstractNum w:abstractNumId="4">
    <w:nsid w:val="12893A3A"/>
    <w:multiLevelType w:val="singleLevel"/>
    <w:tmpl w:val="12893A3A"/>
    <w:lvl w:ilvl="0" w:tentative="0">
      <w:start w:val="1"/>
      <w:numFmt w:val="decimal"/>
      <w:suff w:val="nothing"/>
      <w:lvlText w:val="%1、"/>
      <w:lvlJc w:val="left"/>
      <w:pPr>
        <w:ind w:left="843" w:leftChars="0" w:firstLine="0" w:firstLineChars="0"/>
      </w:pPr>
    </w:lvl>
  </w:abstractNum>
  <w:abstractNum w:abstractNumId="5">
    <w:nsid w:val="79F7CDD8"/>
    <w:multiLevelType w:val="singleLevel"/>
    <w:tmpl w:val="79F7CDD8"/>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FhZjI5ZmU4NWMwMjI1OTNkMzlhYjdiYjc3ZmYzZDg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01F73215"/>
    <w:rsid w:val="0E325320"/>
    <w:rsid w:val="121E3DC1"/>
    <w:rsid w:val="17746544"/>
    <w:rsid w:val="1A3A2F9C"/>
    <w:rsid w:val="1B572444"/>
    <w:rsid w:val="1D2961E3"/>
    <w:rsid w:val="237050B3"/>
    <w:rsid w:val="239436FF"/>
    <w:rsid w:val="2BDD2D89"/>
    <w:rsid w:val="311C21CB"/>
    <w:rsid w:val="38E05844"/>
    <w:rsid w:val="3A89420B"/>
    <w:rsid w:val="3E051695"/>
    <w:rsid w:val="487369AB"/>
    <w:rsid w:val="4B887BFA"/>
    <w:rsid w:val="4C2150EE"/>
    <w:rsid w:val="532F3114"/>
    <w:rsid w:val="5E2A1681"/>
    <w:rsid w:val="627B6844"/>
    <w:rsid w:val="6545381A"/>
    <w:rsid w:val="65ED4F2A"/>
    <w:rsid w:val="6F363A14"/>
    <w:rsid w:val="77807954"/>
    <w:rsid w:val="7B7D4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1888</Words>
  <Characters>2038</Characters>
  <Lines>7</Lines>
  <Paragraphs>2</Paragraphs>
  <TotalTime>15</TotalTime>
  <ScaleCrop>false</ScaleCrop>
  <LinksUpToDate>false</LinksUpToDate>
  <CharactersWithSpaces>2210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李林峰</cp:lastModifiedBy>
  <dcterms:modified xsi:type="dcterms:W3CDTF">2025-06-03T03:38:56Z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89EBA407D5EF41BDAA5D4181A5D797E6_12</vt:lpwstr>
  </property>
  <property fmtid="{D5CDD505-2E9C-101B-9397-08002B2CF9AE}" pid="4" name="KSOTemplateDocerSaveRecord">
    <vt:lpwstr>eyJoZGlkIjoiM2QxMjY1ZGY4ZGFlNjY1YTk0NWI3ZGJkYjcxNzEzNjgiLCJ1c2VySWQiOiIzMDQxNjc2ODIifQ==</vt:lpwstr>
  </property>
</Properties>
</file>