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62F2C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16D99397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202502</w:t>
      </w:r>
      <w:r>
        <w:rPr>
          <w:rFonts w:hint="eastAsia" w:ascii="仿宋" w:hAnsi="仿宋" w:eastAsia="仿宋"/>
          <w:sz w:val="24"/>
          <w:lang w:val="en-US" w:eastAsia="zh-CN"/>
        </w:rPr>
        <w:t>99</w:t>
      </w:r>
    </w:p>
    <w:p w14:paraId="714F1D5D">
      <w:pPr>
        <w:spacing w:line="360" w:lineRule="auto"/>
        <w:rPr>
          <w:rFonts w:ascii="仿宋" w:hAnsi="仿宋" w:eastAsia="仿宋"/>
          <w:b/>
          <w:sz w:val="24"/>
        </w:rPr>
      </w:pPr>
    </w:p>
    <w:p w14:paraId="30D1D95F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516429D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1A11D6CB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乙方：北京木也科技有限公司</w:t>
      </w:r>
    </w:p>
    <w:p w14:paraId="5CCCDF2E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91110112MA01MMX168</w:t>
      </w:r>
    </w:p>
    <w:p w14:paraId="36392DF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30070E46">
      <w:pPr>
        <w:widowControl/>
        <w:spacing w:line="360" w:lineRule="auto"/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p w14:paraId="2CACD8B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</w:p>
    <w:tbl>
      <w:tblPr>
        <w:tblStyle w:val="6"/>
        <w:tblW w:w="963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750"/>
        <w:gridCol w:w="1575"/>
        <w:gridCol w:w="473"/>
        <w:gridCol w:w="497"/>
        <w:gridCol w:w="1176"/>
        <w:gridCol w:w="1176"/>
        <w:gridCol w:w="1170"/>
        <w:gridCol w:w="1132"/>
        <w:gridCol w:w="1113"/>
      </w:tblGrid>
      <w:tr w14:paraId="1784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4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D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AA3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6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坐盆基座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D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9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1238.94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1238.94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6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161.06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ZY2435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CNC加工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</w:t>
            </w:r>
          </w:p>
        </w:tc>
      </w:tr>
      <w:tr w14:paraId="27B5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坐盆镶块00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C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265.4867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C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265.4867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197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5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7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坐盆镶块2.0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7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265.4867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265.4867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C1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6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5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9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坐盆镶块3.0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1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265.4867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265.4867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F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2D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1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E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D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F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8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2035.40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264.60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7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1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724FE56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7CCA3BBA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5CB43661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贰仟叁佰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623668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6AC0F53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19AF55B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34C308DE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7AC51D81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78FBD55F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4540E0F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2011126D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43421E14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255D40F5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3BE36F5F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73F306D4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08BEB251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EADCCE3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5BFD34A5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1E0F015C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35A3AF3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5C8298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7DDC85A2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北京木也科技有限公司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5621768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58EA05C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02B133E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47BB984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38F57BAE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6E682441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3A51766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0AE95EA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AEFFA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B38122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34D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3147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262BF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77CF5"/>
    <w:rsid w:val="00495B63"/>
    <w:rsid w:val="004B48F6"/>
    <w:rsid w:val="004C48F4"/>
    <w:rsid w:val="004E2CC4"/>
    <w:rsid w:val="004E4C49"/>
    <w:rsid w:val="004F30A8"/>
    <w:rsid w:val="004F6462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6F378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20A8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B40AC"/>
    <w:rsid w:val="00CC228E"/>
    <w:rsid w:val="00CE2D73"/>
    <w:rsid w:val="00D25355"/>
    <w:rsid w:val="00D539E4"/>
    <w:rsid w:val="00DC0CEB"/>
    <w:rsid w:val="00DD78B9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11146F5F"/>
    <w:rsid w:val="18754787"/>
    <w:rsid w:val="1B66485B"/>
    <w:rsid w:val="1C273FEB"/>
    <w:rsid w:val="1FD0438D"/>
    <w:rsid w:val="22EA5D72"/>
    <w:rsid w:val="347B2CCE"/>
    <w:rsid w:val="40632F94"/>
    <w:rsid w:val="41DB2FFE"/>
    <w:rsid w:val="439A7D6A"/>
    <w:rsid w:val="4FA64C4B"/>
    <w:rsid w:val="4FB8497E"/>
    <w:rsid w:val="511E4CB5"/>
    <w:rsid w:val="64E46B7D"/>
    <w:rsid w:val="6F0137F4"/>
    <w:rsid w:val="77467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1141</Words>
  <Characters>1305</Characters>
  <Lines>16</Lines>
  <Paragraphs>4</Paragraphs>
  <TotalTime>6</TotalTime>
  <ScaleCrop>false</ScaleCrop>
  <LinksUpToDate>false</LinksUpToDate>
  <CharactersWithSpaces>1561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2025-06-13T08:30:42Z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F24EC69C71AF465CAE06B0A1ED7DA881_12</vt:lpwstr>
  </property>
</Properties>
</file>