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CF734">
      <w:pPr>
        <w:ind w:firstLine="199" w:firstLineChars="45"/>
        <w:jc w:val="center"/>
        <w:rPr>
          <w:rStyle w:val="9"/>
          <w:rFonts w:hint="eastAsia"/>
        </w:rPr>
      </w:pPr>
    </w:p>
    <w:p w14:paraId="6620BF72">
      <w:pPr>
        <w:ind w:firstLine="199" w:firstLineChars="45"/>
        <w:jc w:val="center"/>
        <w:rPr>
          <w:rStyle w:val="9"/>
          <w:rFonts w:hint="eastAsia"/>
        </w:rPr>
      </w:pPr>
    </w:p>
    <w:p w14:paraId="18634D00">
      <w:pPr>
        <w:ind w:firstLine="199" w:firstLineChars="45"/>
        <w:jc w:val="center"/>
        <w:rPr>
          <w:rFonts w:hint="eastAsia" w:ascii="方正大黑简体" w:eastAsia="方正大黑简体"/>
          <w:b/>
          <w:spacing w:val="28"/>
          <w:sz w:val="52"/>
          <w:szCs w:val="52"/>
        </w:rPr>
      </w:pPr>
      <w:r>
        <w:rPr>
          <w:rStyle w:val="9"/>
          <w:rFonts w:hint="eastAsia"/>
        </w:rPr>
        <w:t>长春市云视联安防网络科技有限公司</w:t>
      </w:r>
    </w:p>
    <w:p w14:paraId="64C8C123">
      <w:pPr>
        <w:jc w:val="center"/>
        <w:rPr>
          <w:rFonts w:hint="eastAsia" w:ascii="方正大黑简体" w:eastAsia="方正大黑简体"/>
          <w:b/>
          <w:spacing w:val="28"/>
          <w:sz w:val="52"/>
          <w:szCs w:val="52"/>
        </w:rPr>
      </w:pPr>
    </w:p>
    <w:p w14:paraId="0280F751">
      <w:pPr>
        <w:ind w:firstLine="4216" w:firstLineChars="500"/>
        <w:rPr>
          <w:rFonts w:hint="eastAsia"/>
          <w:b/>
          <w:sz w:val="84"/>
          <w:szCs w:val="84"/>
        </w:rPr>
      </w:pPr>
      <w:r>
        <w:rPr>
          <w:rFonts w:hint="eastAsia"/>
          <w:b/>
          <w:sz w:val="84"/>
          <w:szCs w:val="84"/>
        </w:rPr>
        <w:t>合</w:t>
      </w:r>
    </w:p>
    <w:p w14:paraId="20D32FA2">
      <w:pPr>
        <w:ind w:firstLine="3795" w:firstLineChars="450"/>
        <w:rPr>
          <w:rFonts w:hint="eastAsia"/>
          <w:b/>
          <w:sz w:val="84"/>
          <w:szCs w:val="84"/>
        </w:rPr>
      </w:pPr>
    </w:p>
    <w:p w14:paraId="52BEB800">
      <w:pPr>
        <w:ind w:firstLine="4216" w:firstLineChars="500"/>
        <w:rPr>
          <w:rFonts w:hint="eastAsia"/>
          <w:b/>
          <w:sz w:val="84"/>
          <w:szCs w:val="84"/>
        </w:rPr>
      </w:pPr>
      <w:r>
        <w:rPr>
          <w:rFonts w:hint="eastAsia"/>
          <w:b/>
          <w:sz w:val="84"/>
          <w:szCs w:val="84"/>
        </w:rPr>
        <w:t>同</w:t>
      </w:r>
    </w:p>
    <w:p w14:paraId="11F02A7A">
      <w:pPr>
        <w:ind w:firstLine="3795" w:firstLineChars="450"/>
        <w:rPr>
          <w:rFonts w:hint="eastAsia"/>
          <w:b/>
          <w:sz w:val="84"/>
          <w:szCs w:val="84"/>
        </w:rPr>
      </w:pPr>
    </w:p>
    <w:p w14:paraId="7F18DEED">
      <w:pPr>
        <w:ind w:firstLine="4216" w:firstLineChars="500"/>
        <w:rPr>
          <w:b/>
          <w:sz w:val="84"/>
          <w:szCs w:val="84"/>
        </w:rPr>
      </w:pPr>
      <w:r>
        <w:rPr>
          <w:rFonts w:hint="eastAsia"/>
          <w:b/>
          <w:sz w:val="84"/>
          <w:szCs w:val="84"/>
        </w:rPr>
        <w:t>书</w:t>
      </w:r>
    </w:p>
    <w:p w14:paraId="0473B88C">
      <w:pPr>
        <w:rPr>
          <w:b/>
        </w:rPr>
      </w:pPr>
    </w:p>
    <w:p w14:paraId="11583783"/>
    <w:p w14:paraId="5AF05AE5"/>
    <w:p w14:paraId="30A36384"/>
    <w:p w14:paraId="2DB48ECB"/>
    <w:p w14:paraId="0A4F0AA6"/>
    <w:p w14:paraId="1B09A8FA"/>
    <w:p w14:paraId="6F981F98"/>
    <w:p w14:paraId="3DCD1DE6"/>
    <w:p w14:paraId="4FB9AE4C"/>
    <w:p w14:paraId="24F8D6FB">
      <w:pPr>
        <w:rPr>
          <w:sz w:val="36"/>
          <w:u w:val="single"/>
        </w:rPr>
      </w:pPr>
      <w:r>
        <w:rPr>
          <w:rFonts w:hint="eastAsia"/>
          <w:color w:val="333333"/>
          <w:sz w:val="24"/>
          <w:szCs w:val="32"/>
        </w:rPr>
        <w:t>甲方</w:t>
      </w:r>
      <w:r>
        <w:rPr>
          <w:rFonts w:hint="eastAsia"/>
          <w:color w:val="333333"/>
          <w:sz w:val="24"/>
          <w:szCs w:val="32"/>
          <w:lang w:eastAsia="zh-CN"/>
        </w:rPr>
        <w:t>：</w:t>
      </w:r>
      <w:r>
        <w:rPr>
          <w:rFonts w:hint="eastAsia"/>
          <w:b w:val="0"/>
          <w:bCs w:val="0"/>
          <w:sz w:val="30"/>
          <w:szCs w:val="30"/>
          <w:u w:val="single"/>
          <w:lang w:eastAsia="zh-CN"/>
        </w:rPr>
        <w:t>长春光华荣昌汽车部件有限公司</w:t>
      </w:r>
    </w:p>
    <w:p w14:paraId="61B9106B">
      <w:pPr>
        <w:pStyle w:val="5"/>
        <w:spacing w:beforeAutospacing="0" w:afterAutospacing="0" w:line="450" w:lineRule="atLeast"/>
        <w:rPr>
          <w:rFonts w:hint="eastAsia"/>
          <w:color w:val="333333"/>
        </w:rPr>
      </w:pPr>
    </w:p>
    <w:p w14:paraId="56BA2AFD">
      <w:pPr>
        <w:pStyle w:val="5"/>
        <w:spacing w:beforeAutospacing="0" w:afterAutospacing="0" w:line="450" w:lineRule="atLeast"/>
        <w:rPr>
          <w:rFonts w:hint="default"/>
          <w:color w:val="333333"/>
          <w:sz w:val="28"/>
          <w:szCs w:val="28"/>
          <w:lang w:val="en-US"/>
        </w:rPr>
      </w:pPr>
      <w:r>
        <w:rPr>
          <w:rFonts w:hint="eastAsia"/>
          <w:color w:val="333333"/>
        </w:rPr>
        <w:t>乙方</w:t>
      </w:r>
      <w:r>
        <w:rPr>
          <w:rFonts w:hint="eastAsia"/>
          <w:color w:val="333333"/>
          <w:lang w:eastAsia="zh-CN"/>
        </w:rPr>
        <w:t>：</w:t>
      </w:r>
      <w:r>
        <w:rPr>
          <w:rFonts w:hint="eastAsia"/>
          <w:b w:val="0"/>
          <w:bCs w:val="0"/>
          <w:color w:val="333333"/>
          <w:sz w:val="32"/>
          <w:szCs w:val="32"/>
          <w:u w:val="single"/>
          <w:lang w:val="en-US" w:eastAsia="zh-CN"/>
        </w:rPr>
        <w:t>长春市云视联安防网络科技有限公司</w:t>
      </w:r>
    </w:p>
    <w:p w14:paraId="674CDF98">
      <w:pPr>
        <w:pStyle w:val="5"/>
        <w:spacing w:beforeAutospacing="0" w:afterAutospacing="0" w:line="450" w:lineRule="atLeast"/>
        <w:ind w:firstLine="480" w:firstLineChars="200"/>
        <w:rPr>
          <w:color w:val="333333"/>
        </w:rPr>
      </w:pPr>
      <w:r>
        <w:rPr>
          <w:rFonts w:hint="eastAsia"/>
          <w:color w:val="333333"/>
        </w:rPr>
        <w:t>根据《中华人民共和国合同法》、等有关法律、法规之规定，甲、乙双方经友好协商，就乙方为甲方安防工程进行施工有关事宜，签订本合同：</w:t>
      </w:r>
    </w:p>
    <w:p w14:paraId="39152196">
      <w:pPr>
        <w:pStyle w:val="5"/>
        <w:spacing w:beforeAutospacing="0" w:afterAutospacing="0" w:line="450" w:lineRule="atLeast"/>
        <w:rPr>
          <w:color w:val="333333"/>
        </w:rPr>
      </w:pPr>
      <w:r>
        <w:rPr>
          <w:rFonts w:hint="eastAsia"/>
          <w:color w:val="333333"/>
        </w:rPr>
        <w:t>　　第一条工程概况</w:t>
      </w:r>
    </w:p>
    <w:p w14:paraId="27A3A3A9">
      <w:pPr>
        <w:pStyle w:val="5"/>
        <w:spacing w:beforeAutospacing="0" w:afterAutospacing="0" w:line="450" w:lineRule="atLeast"/>
        <w:rPr>
          <w:rFonts w:hint="default" w:eastAsia="宋体"/>
          <w:color w:val="333333"/>
          <w:lang w:val="en-US" w:eastAsia="zh-CN"/>
        </w:rPr>
      </w:pPr>
      <w:r>
        <w:rPr>
          <w:rFonts w:hint="eastAsia"/>
          <w:color w:val="333333"/>
        </w:rPr>
        <w:t>　　工程名称：</w:t>
      </w:r>
      <w:r>
        <w:rPr>
          <w:rFonts w:hint="eastAsia"/>
          <w:b w:val="0"/>
          <w:bCs w:val="0"/>
          <w:sz w:val="24"/>
          <w:szCs w:val="24"/>
          <w:u w:val="none"/>
          <w:lang w:eastAsia="zh-CN"/>
        </w:rPr>
        <w:t>光华荣昌汽车部件</w:t>
      </w:r>
      <w:r>
        <w:rPr>
          <w:rFonts w:hint="eastAsia"/>
          <w:b w:val="0"/>
          <w:bCs w:val="0"/>
          <w:sz w:val="24"/>
          <w:szCs w:val="24"/>
          <w:u w:val="none"/>
          <w:lang w:val="en-US" w:eastAsia="zh-CN"/>
        </w:rPr>
        <w:t>厂房监控施工</w:t>
      </w:r>
    </w:p>
    <w:p w14:paraId="544DC572">
      <w:pPr>
        <w:pStyle w:val="5"/>
        <w:spacing w:beforeAutospacing="0" w:afterAutospacing="0" w:line="450" w:lineRule="atLeast"/>
        <w:ind w:firstLine="480"/>
        <w:rPr>
          <w:rFonts w:hint="eastAsia"/>
          <w:color w:val="333333"/>
        </w:rPr>
      </w:pPr>
      <w:r>
        <w:rPr>
          <w:rFonts w:hint="eastAsia"/>
          <w:color w:val="333333"/>
        </w:rPr>
        <w:t>工程地点：</w:t>
      </w:r>
      <w:r>
        <w:rPr>
          <w:rFonts w:hint="eastAsia"/>
          <w:b w:val="0"/>
          <w:bCs w:val="0"/>
          <w:sz w:val="24"/>
          <w:szCs w:val="24"/>
          <w:lang w:val="en-US" w:eastAsia="zh-CN"/>
        </w:rPr>
        <w:t>长春汽车经济技术开发区自主大路1951号A1号库</w:t>
      </w:r>
      <w:r>
        <w:rPr>
          <w:rFonts w:hint="eastAsia"/>
          <w:color w:val="333333"/>
        </w:rPr>
        <w:t>　　</w:t>
      </w:r>
    </w:p>
    <w:p w14:paraId="52C96888">
      <w:pPr>
        <w:pStyle w:val="5"/>
        <w:spacing w:beforeAutospacing="0" w:afterAutospacing="0" w:line="450" w:lineRule="atLeast"/>
        <w:ind w:firstLine="480"/>
        <w:rPr>
          <w:rFonts w:hint="default" w:eastAsia="宋体"/>
          <w:color w:val="333333"/>
          <w:lang w:val="en-US" w:eastAsia="zh-CN"/>
        </w:rPr>
      </w:pPr>
      <w:r>
        <w:rPr>
          <w:rFonts w:hint="eastAsia"/>
          <w:color w:val="333333"/>
        </w:rPr>
        <w:t>工程内容：</w:t>
      </w:r>
      <w:r>
        <w:rPr>
          <w:rFonts w:hint="eastAsia"/>
          <w:color w:val="333333"/>
          <w:lang w:val="en-US" w:eastAsia="zh-CN"/>
        </w:rPr>
        <w:t>增加监控点位及更换录像机</w:t>
      </w:r>
    </w:p>
    <w:p w14:paraId="38B67359">
      <w:pPr>
        <w:pStyle w:val="5"/>
        <w:spacing w:beforeAutospacing="0" w:afterAutospacing="0" w:line="450" w:lineRule="atLeast"/>
        <w:rPr>
          <w:color w:val="333333"/>
        </w:rPr>
      </w:pPr>
      <w:r>
        <w:rPr>
          <w:rFonts w:hint="eastAsia"/>
          <w:color w:val="333333"/>
        </w:rPr>
        <w:t>　　施工方式：包工、包料、包工期、包质量。</w:t>
      </w:r>
    </w:p>
    <w:p w14:paraId="6717CFD4">
      <w:pPr>
        <w:pStyle w:val="5"/>
        <w:spacing w:beforeAutospacing="0" w:afterAutospacing="0" w:line="450" w:lineRule="atLeast"/>
        <w:rPr>
          <w:color w:val="333333"/>
        </w:rPr>
      </w:pPr>
      <w:r>
        <w:rPr>
          <w:rFonts w:hint="eastAsia"/>
          <w:color w:val="333333"/>
        </w:rPr>
        <w:t>　　第二条工程工期：</w:t>
      </w:r>
    </w:p>
    <w:p w14:paraId="08413220">
      <w:pPr>
        <w:rPr>
          <w:color w:val="333333"/>
        </w:rPr>
      </w:pPr>
      <w:r>
        <w:rPr>
          <w:rFonts w:hint="eastAsia"/>
          <w:color w:val="333333"/>
        </w:rPr>
        <w:t xml:space="preserve">　　1、开工日：  </w:t>
      </w:r>
      <w:r>
        <w:rPr>
          <w:rFonts w:hint="eastAsia"/>
          <w:color w:val="333333"/>
          <w:lang w:val="en-US" w:eastAsia="zh-CN"/>
        </w:rPr>
        <w:t>2025</w:t>
      </w:r>
      <w:r>
        <w:rPr>
          <w:rFonts w:hint="eastAsia"/>
          <w:color w:val="333333"/>
        </w:rPr>
        <w:t xml:space="preserve">  年  </w:t>
      </w:r>
      <w:r>
        <w:rPr>
          <w:sz w:val="36"/>
          <w:u w:val="single"/>
        </w:rPr>
        <w:t xml:space="preserve"> </w:t>
      </w:r>
      <w:r>
        <w:rPr>
          <w:rFonts w:hint="eastAsia"/>
          <w:sz w:val="36"/>
          <w:u w:val="single"/>
          <w:lang w:val="en-US" w:eastAsia="zh-CN"/>
        </w:rPr>
        <w:t>7</w:t>
      </w:r>
      <w:r>
        <w:rPr>
          <w:sz w:val="36"/>
          <w:u w:val="single"/>
        </w:rPr>
        <w:t xml:space="preserve"> </w:t>
      </w:r>
      <w:r>
        <w:rPr>
          <w:rFonts w:hint="eastAsia"/>
          <w:color w:val="333333"/>
        </w:rPr>
        <w:t xml:space="preserve"> 月 </w:t>
      </w:r>
      <w:r>
        <w:rPr>
          <w:sz w:val="36"/>
          <w:u w:val="single"/>
        </w:rPr>
        <w:t xml:space="preserve"> </w:t>
      </w:r>
      <w:r>
        <w:rPr>
          <w:rFonts w:hint="eastAsia"/>
          <w:sz w:val="36"/>
          <w:u w:val="single"/>
          <w:lang w:val="en-US" w:eastAsia="zh-CN"/>
        </w:rPr>
        <w:t>3</w:t>
      </w:r>
      <w:r>
        <w:rPr>
          <w:sz w:val="36"/>
          <w:u w:val="single"/>
        </w:rPr>
        <w:t xml:space="preserve"> </w:t>
      </w:r>
      <w:r>
        <w:rPr>
          <w:rFonts w:hint="eastAsia"/>
          <w:color w:val="333333"/>
        </w:rPr>
        <w:t xml:space="preserve">  日；竣工日：</w:t>
      </w:r>
      <w:r>
        <w:rPr>
          <w:rFonts w:hint="eastAsia"/>
          <w:color w:val="333333"/>
          <w:lang w:val="en-US" w:eastAsia="zh-CN"/>
        </w:rPr>
        <w:t xml:space="preserve">2025 </w:t>
      </w:r>
      <w:r>
        <w:rPr>
          <w:rFonts w:hint="eastAsia"/>
          <w:color w:val="333333"/>
        </w:rPr>
        <w:t xml:space="preserve">年  </w:t>
      </w:r>
      <w:r>
        <w:rPr>
          <w:sz w:val="36"/>
          <w:u w:val="single"/>
        </w:rPr>
        <w:t xml:space="preserve"> </w:t>
      </w:r>
      <w:r>
        <w:rPr>
          <w:rFonts w:hint="eastAsia"/>
          <w:sz w:val="36"/>
          <w:u w:val="single"/>
          <w:lang w:val="en-US" w:eastAsia="zh-CN"/>
        </w:rPr>
        <w:t>7</w:t>
      </w:r>
      <w:r>
        <w:rPr>
          <w:sz w:val="36"/>
          <w:u w:val="single"/>
        </w:rPr>
        <w:t xml:space="preserve"> </w:t>
      </w:r>
      <w:r>
        <w:rPr>
          <w:rFonts w:hint="eastAsia"/>
          <w:color w:val="333333"/>
        </w:rPr>
        <w:t xml:space="preserve">  月 </w:t>
      </w:r>
      <w:r>
        <w:rPr>
          <w:sz w:val="36"/>
          <w:u w:val="single"/>
        </w:rPr>
        <w:t xml:space="preserve"> </w:t>
      </w:r>
      <w:r>
        <w:rPr>
          <w:rFonts w:hint="eastAsia"/>
          <w:sz w:val="36"/>
          <w:u w:val="single"/>
          <w:lang w:val="en-US" w:eastAsia="zh-CN"/>
        </w:rPr>
        <w:t>13</w:t>
      </w:r>
      <w:r>
        <w:rPr>
          <w:sz w:val="36"/>
          <w:u w:val="single"/>
        </w:rPr>
        <w:t xml:space="preserve"> </w:t>
      </w:r>
      <w:r>
        <w:rPr>
          <w:rFonts w:hint="eastAsia"/>
          <w:color w:val="333333"/>
        </w:rPr>
        <w:t xml:space="preserve">  日。</w:t>
      </w:r>
    </w:p>
    <w:p w14:paraId="4201C0DD">
      <w:pPr>
        <w:pStyle w:val="5"/>
        <w:spacing w:beforeAutospacing="0" w:afterAutospacing="0" w:line="450" w:lineRule="atLeast"/>
        <w:rPr>
          <w:color w:val="333333"/>
        </w:rPr>
      </w:pPr>
      <w:r>
        <w:rPr>
          <w:rFonts w:hint="eastAsia"/>
          <w:color w:val="333333"/>
        </w:rPr>
        <w:t>　　2、乙方应当严格遵守以上提交并经甲方确定的总日历工期。工期中已包括法定节假日、现场测试、提交竣工报告的时间、与其他施工方交叉施工、配合施工的等待时间，但不包括政府的各种规定及临时规定、通告对工期的影响等在内，该因素如导致工期延长双方另行协商。</w:t>
      </w:r>
    </w:p>
    <w:p w14:paraId="3608AE3E">
      <w:pPr>
        <w:pStyle w:val="5"/>
        <w:spacing w:beforeAutospacing="0" w:afterAutospacing="0" w:line="450" w:lineRule="atLeast"/>
        <w:rPr>
          <w:color w:val="333333"/>
        </w:rPr>
      </w:pPr>
      <w:r>
        <w:rPr>
          <w:rFonts w:hint="eastAsia"/>
          <w:color w:val="333333"/>
        </w:rPr>
        <w:t>　　第三条工程造价</w:t>
      </w:r>
    </w:p>
    <w:p w14:paraId="43B6BA5B">
      <w:pPr>
        <w:pStyle w:val="5"/>
        <w:spacing w:beforeAutospacing="0" w:afterAutospacing="0" w:line="450" w:lineRule="atLeast"/>
        <w:rPr>
          <w:color w:val="333333"/>
        </w:rPr>
      </w:pPr>
      <w:r>
        <w:rPr>
          <w:rFonts w:hint="eastAsia"/>
          <w:color w:val="333333"/>
        </w:rPr>
        <w:t>　　1、单价标准：人民币元。该单价一次性包死，不因人工、材料价格涨落等任何因素的变化而调整。该单价已经包含了乙方完成本工程所需的人工费、材料费、安装费、税费、施工手续办理所需费用等乙方完成本合同约定内容所需全部费用，如果甲方另外要求增加项目则增加相应费用，再行签订补充合同。</w:t>
      </w:r>
    </w:p>
    <w:p w14:paraId="7407858D">
      <w:pPr>
        <w:pStyle w:val="5"/>
        <w:spacing w:beforeAutospacing="0" w:afterAutospacing="0" w:line="450" w:lineRule="atLeast"/>
        <w:rPr>
          <w:color w:val="auto"/>
        </w:rPr>
      </w:pPr>
      <w:r>
        <w:rPr>
          <w:rFonts w:hint="eastAsia"/>
          <w:color w:val="333333"/>
        </w:rPr>
        <w:t>　　2、工程施</w:t>
      </w:r>
      <w:r>
        <w:rPr>
          <w:rFonts w:hint="eastAsia"/>
          <w:color w:val="auto"/>
        </w:rPr>
        <w:t>工过程中，如设计变更或甲方要求变更的，变更部分的工程造价按照人民币×元的标准结算。</w:t>
      </w:r>
    </w:p>
    <w:p w14:paraId="710D0DC6">
      <w:pPr>
        <w:pStyle w:val="5"/>
        <w:spacing w:beforeAutospacing="0" w:afterAutospacing="0" w:line="450" w:lineRule="atLeast"/>
        <w:rPr>
          <w:rFonts w:hint="eastAsia" w:eastAsia="宋体"/>
          <w:color w:val="333333"/>
          <w:lang w:eastAsia="zh-CN"/>
        </w:rPr>
      </w:pPr>
      <w:r>
        <w:rPr>
          <w:rFonts w:hint="eastAsia"/>
          <w:color w:val="auto"/>
        </w:rPr>
        <w:t>　　3、本工程总造价定为</w:t>
      </w:r>
      <w:r>
        <w:rPr>
          <w:rFonts w:hint="eastAsia"/>
          <w:color w:val="auto"/>
          <w:lang w:eastAsia="zh-CN"/>
        </w:rPr>
        <w:t>含税（增值税专用发票）</w:t>
      </w:r>
      <w:r>
        <w:rPr>
          <w:rFonts w:hint="eastAsia"/>
          <w:color w:val="auto"/>
          <w:u w:val="single"/>
          <w:lang w:val="en-US" w:eastAsia="zh-CN"/>
        </w:rPr>
        <w:t>12324</w:t>
      </w:r>
      <w:r>
        <w:rPr>
          <w:rFonts w:hint="eastAsia"/>
          <w:color w:val="auto"/>
        </w:rPr>
        <w:t>元（大写：</w:t>
      </w:r>
      <w:r>
        <w:rPr>
          <w:rFonts w:hint="eastAsia"/>
          <w:color w:val="auto"/>
          <w:u w:val="single"/>
          <w:lang w:val="en-US" w:eastAsia="zh-CN"/>
        </w:rPr>
        <w:t>壹万贰仟叁</w:t>
      </w:r>
      <w:r>
        <w:rPr>
          <w:rFonts w:hint="eastAsia"/>
          <w:color w:val="333333"/>
          <w:u w:val="single"/>
          <w:lang w:val="en-US" w:eastAsia="zh-CN"/>
        </w:rPr>
        <w:t>佰贰拾肆圆</w:t>
      </w:r>
      <w:r>
        <w:rPr>
          <w:rFonts w:hint="eastAsia"/>
          <w:color w:val="333333"/>
        </w:rPr>
        <w:t>）人民币</w:t>
      </w:r>
      <w:r>
        <w:rPr>
          <w:rFonts w:hint="eastAsia"/>
          <w:color w:val="333333"/>
          <w:lang w:eastAsia="zh-CN"/>
        </w:rPr>
        <w:t>。</w:t>
      </w:r>
    </w:p>
    <w:p w14:paraId="72B6417F">
      <w:pPr>
        <w:pStyle w:val="5"/>
        <w:spacing w:beforeAutospacing="0" w:afterAutospacing="0" w:line="450" w:lineRule="atLeast"/>
        <w:rPr>
          <w:color w:val="333333"/>
        </w:rPr>
      </w:pPr>
      <w:r>
        <w:rPr>
          <w:rFonts w:hint="eastAsia"/>
          <w:color w:val="333333"/>
        </w:rPr>
        <w:t>　　第四条工地考察</w:t>
      </w:r>
    </w:p>
    <w:p w14:paraId="2E748B72">
      <w:pPr>
        <w:pStyle w:val="5"/>
        <w:spacing w:beforeAutospacing="0" w:afterAutospacing="0" w:line="450" w:lineRule="atLeast"/>
        <w:rPr>
          <w:color w:val="333333"/>
        </w:rPr>
      </w:pPr>
      <w:r>
        <w:rPr>
          <w:rFonts w:hint="eastAsia"/>
          <w:color w:val="333333"/>
        </w:rPr>
        <w:t>　　1、</w:t>
      </w:r>
      <w:r>
        <w:rPr>
          <w:rFonts w:hint="eastAsia"/>
          <w:color w:val="333333"/>
          <w:lang w:eastAsia="zh-CN"/>
        </w:rPr>
        <w:t>乙</w:t>
      </w:r>
      <w:r>
        <w:rPr>
          <w:rFonts w:hint="eastAsia"/>
          <w:color w:val="333333"/>
        </w:rPr>
        <w:t>方已按</w:t>
      </w:r>
      <w:r>
        <w:rPr>
          <w:rFonts w:hint="eastAsia"/>
          <w:color w:val="333333"/>
          <w:lang w:eastAsia="zh-CN"/>
        </w:rPr>
        <w:t>甲</w:t>
      </w:r>
      <w:r>
        <w:rPr>
          <w:rFonts w:hint="eastAsia"/>
          <w:color w:val="333333"/>
        </w:rPr>
        <w:t>方要求认真考察了施工现场并充分了解了施工现场位置、周边情况、储存空间、作业空间狭窄、起卸限制及任何其它足以影响工期、承包价款之情况。乙方理解不会独占工作面和工作空间以及施工现场，理解交叉施工、施工等待对工期、价款的影响，亦理解政府管理部门对施工作业方式和时间可能的影响或限制。乙方确认本合同所约定工程造价计价标准，已包括上述因素等对工期、价款的影响。前述因素不予延长工期。乙方保证在约定工期内将符合本合同约定并具备国家规定交付使用条件的工程竣工交付甲方。</w:t>
      </w:r>
    </w:p>
    <w:p w14:paraId="060EAFC4">
      <w:pPr>
        <w:pStyle w:val="5"/>
        <w:spacing w:beforeAutospacing="0" w:afterAutospacing="0" w:line="450" w:lineRule="atLeast"/>
        <w:rPr>
          <w:color w:val="333333"/>
        </w:rPr>
      </w:pPr>
      <w:r>
        <w:rPr>
          <w:rFonts w:hint="eastAsia"/>
          <w:color w:val="333333"/>
        </w:rPr>
        <w:t>　　2、乙方任何因忽视或误解上述情况，不得因此提出索赔或工期延长。</w:t>
      </w:r>
    </w:p>
    <w:p w14:paraId="0706F20A">
      <w:pPr>
        <w:pStyle w:val="5"/>
        <w:spacing w:beforeAutospacing="0" w:afterAutospacing="0" w:line="450" w:lineRule="atLeast"/>
        <w:ind w:firstLine="480" w:firstLineChars="200"/>
        <w:rPr>
          <w:color w:val="333333"/>
        </w:rPr>
      </w:pPr>
      <w:r>
        <w:rPr>
          <w:rFonts w:hint="eastAsia"/>
          <w:color w:val="333333"/>
        </w:rPr>
        <w:t>第五条工期的顺延</w:t>
      </w:r>
    </w:p>
    <w:p w14:paraId="6FC2D818">
      <w:pPr>
        <w:pStyle w:val="5"/>
        <w:spacing w:beforeAutospacing="0" w:afterAutospacing="0" w:line="450" w:lineRule="atLeast"/>
        <w:rPr>
          <w:color w:val="333333"/>
        </w:rPr>
      </w:pPr>
      <w:r>
        <w:rPr>
          <w:rFonts w:hint="eastAsia"/>
          <w:color w:val="333333"/>
        </w:rPr>
        <w:t>　　1、当发生设计变更、工程量增加等，但不影响关键线路的，乙方应当自行采取措施，不予延长工期。</w:t>
      </w:r>
    </w:p>
    <w:p w14:paraId="62459CBB">
      <w:pPr>
        <w:pStyle w:val="5"/>
        <w:spacing w:beforeAutospacing="0" w:afterAutospacing="0" w:line="450" w:lineRule="atLeast"/>
        <w:rPr>
          <w:color w:val="333333"/>
        </w:rPr>
      </w:pPr>
      <w:r>
        <w:rPr>
          <w:rFonts w:hint="eastAsia"/>
          <w:color w:val="333333"/>
        </w:rPr>
        <w:t>　　2、对以下情况造成的工期延误，经甲方确认，工期相应顺延，双方的损失由各自承担：</w:t>
      </w:r>
    </w:p>
    <w:p w14:paraId="3B7AA7E8">
      <w:pPr>
        <w:pStyle w:val="5"/>
        <w:spacing w:beforeAutospacing="0" w:afterAutospacing="0" w:line="450" w:lineRule="atLeast"/>
        <w:rPr>
          <w:color w:val="333333"/>
        </w:rPr>
      </w:pPr>
      <w:r>
        <w:rPr>
          <w:rFonts w:hint="eastAsia"/>
          <w:color w:val="333333"/>
        </w:rPr>
        <w:t>　　(1)发生下述不可抗力事件并造成工期延误的：战争、动乱、空中飞行物体坠落或4级以上的地震；或连续4小时以上的暴雨；或连续7天38℃以上的高温；或停电每天累计4小时；</w:t>
      </w:r>
    </w:p>
    <w:p w14:paraId="2D046B79">
      <w:pPr>
        <w:pStyle w:val="5"/>
        <w:spacing w:beforeAutospacing="0" w:afterAutospacing="0" w:line="450" w:lineRule="atLeast"/>
        <w:rPr>
          <w:color w:val="333333"/>
        </w:rPr>
      </w:pPr>
      <w:r>
        <w:rPr>
          <w:rFonts w:hint="eastAsia"/>
          <w:color w:val="333333"/>
        </w:rPr>
        <w:t>　　(2)工程按国家法律、政策或地方政府要求停建或缓建时造成的延误。</w:t>
      </w:r>
    </w:p>
    <w:p w14:paraId="6C1E9DE7">
      <w:pPr>
        <w:pStyle w:val="5"/>
        <w:spacing w:beforeAutospacing="0" w:afterAutospacing="0" w:line="450" w:lineRule="atLeast"/>
        <w:rPr>
          <w:color w:val="333333"/>
        </w:rPr>
      </w:pPr>
      <w:r>
        <w:rPr>
          <w:rFonts w:hint="eastAsia"/>
          <w:color w:val="333333"/>
        </w:rPr>
        <w:t>　　(3)甲方同意顺延的其他情况。</w:t>
      </w:r>
    </w:p>
    <w:p w14:paraId="0AFF47AE">
      <w:pPr>
        <w:pStyle w:val="5"/>
        <w:spacing w:beforeAutospacing="0" w:afterAutospacing="0" w:line="450" w:lineRule="atLeast"/>
        <w:rPr>
          <w:color w:val="333333"/>
        </w:rPr>
      </w:pPr>
      <w:r>
        <w:rPr>
          <w:rFonts w:hint="eastAsia"/>
          <w:color w:val="333333"/>
        </w:rPr>
        <w:t>　　3、乙方在以上情况发生后2日内，就延误的内容向甲方代表提出报告。乙方未按期提出报告的，视为以上情况对工期无影响或虽有影响但乙方有必要措施无需延长工期和增加费用。</w:t>
      </w:r>
    </w:p>
    <w:p w14:paraId="6DC1DF21">
      <w:pPr>
        <w:pStyle w:val="5"/>
        <w:spacing w:beforeAutospacing="0" w:afterAutospacing="0" w:line="450" w:lineRule="atLeast"/>
        <w:rPr>
          <w:color w:val="333333"/>
        </w:rPr>
      </w:pPr>
      <w:r>
        <w:rPr>
          <w:rFonts w:hint="eastAsia"/>
          <w:color w:val="333333"/>
        </w:rPr>
        <w:t>　　4、除双方明确约定可以顺延工期的情况外，其它情况一律不予顺延工期。非约定原因造成工程不能按合同工期履行或竣工的，乙方承担违约责任。</w:t>
      </w:r>
    </w:p>
    <w:p w14:paraId="0950844D">
      <w:pPr>
        <w:pStyle w:val="5"/>
        <w:spacing w:beforeAutospacing="0" w:afterAutospacing="0" w:line="450" w:lineRule="atLeast"/>
        <w:rPr>
          <w:color w:val="333333"/>
        </w:rPr>
      </w:pPr>
      <w:r>
        <w:rPr>
          <w:rFonts w:hint="eastAsia"/>
          <w:color w:val="333333"/>
        </w:rPr>
        <w:t>　 第</w:t>
      </w:r>
      <w:r>
        <w:rPr>
          <w:rFonts w:hint="eastAsia"/>
          <w:color w:val="333333"/>
          <w:lang w:eastAsia="zh-CN"/>
        </w:rPr>
        <w:t>六</w:t>
      </w:r>
      <w:r>
        <w:rPr>
          <w:rFonts w:hint="eastAsia"/>
          <w:color w:val="333333"/>
        </w:rPr>
        <w:t>条施工</w:t>
      </w:r>
    </w:p>
    <w:p w14:paraId="20464D31">
      <w:pPr>
        <w:pStyle w:val="5"/>
        <w:spacing w:beforeAutospacing="0" w:afterAutospacing="0" w:line="450" w:lineRule="atLeast"/>
        <w:rPr>
          <w:rFonts w:hint="eastAsia" w:eastAsia="宋体"/>
          <w:color w:val="333333"/>
          <w:lang w:eastAsia="zh-CN"/>
        </w:rPr>
      </w:pPr>
      <w:r>
        <w:rPr>
          <w:rFonts w:hint="eastAsia"/>
          <w:color w:val="333333"/>
        </w:rPr>
        <w:t>　　1、本合同签订的同时，甲方支付工程造</w:t>
      </w:r>
      <w:r>
        <w:rPr>
          <w:rFonts w:hint="eastAsia"/>
          <w:color w:val="333333"/>
          <w:lang w:val="en-US" w:eastAsia="zh-CN"/>
        </w:rPr>
        <w:t>价</w:t>
      </w:r>
      <w:r>
        <w:rPr>
          <w:rFonts w:hint="eastAsia"/>
          <w:color w:val="333333"/>
        </w:rPr>
        <w:t>0%预付款，乙方确定收到预付款后方可进场施工。</w:t>
      </w:r>
      <w:r>
        <w:rPr>
          <w:rFonts w:hint="eastAsia"/>
          <w:color w:val="333333"/>
          <w:lang w:eastAsia="zh-CN"/>
        </w:rPr>
        <w:t>（</w:t>
      </w:r>
      <w:r>
        <w:rPr>
          <w:rFonts w:hint="eastAsia"/>
          <w:color w:val="333333"/>
          <w:lang w:val="en-US" w:eastAsia="zh-CN"/>
        </w:rPr>
        <w:t>无预付款</w:t>
      </w:r>
      <w:r>
        <w:rPr>
          <w:rFonts w:hint="eastAsia"/>
          <w:color w:val="333333"/>
          <w:lang w:eastAsia="zh-CN"/>
        </w:rPr>
        <w:t>）</w:t>
      </w:r>
    </w:p>
    <w:p w14:paraId="7822B4E7">
      <w:pPr>
        <w:pStyle w:val="5"/>
        <w:spacing w:beforeAutospacing="0" w:afterAutospacing="0" w:line="450" w:lineRule="atLeast"/>
        <w:rPr>
          <w:color w:val="333333"/>
        </w:rPr>
      </w:pPr>
      <w:r>
        <w:rPr>
          <w:rFonts w:hint="eastAsia"/>
          <w:color w:val="333333"/>
        </w:rPr>
        <w:t>　　2、施工现场及材料的安全保护、防火防盗、消防等工作均由乙方负责。乙方应并配置足够的消防器材和采取有效的防范措施，避免工地发生火灾。乙方须采取措施使工程免受损坏或受恶劣天气的影响。</w:t>
      </w:r>
    </w:p>
    <w:p w14:paraId="35D7DC75">
      <w:pPr>
        <w:pStyle w:val="5"/>
        <w:spacing w:beforeAutospacing="0" w:afterAutospacing="0" w:line="450" w:lineRule="atLeast"/>
        <w:rPr>
          <w:color w:val="333333"/>
        </w:rPr>
      </w:pPr>
      <w:r>
        <w:rPr>
          <w:rFonts w:hint="eastAsia"/>
          <w:color w:val="333333"/>
        </w:rPr>
        <w:t>　　3、甲方负责提供施工用水源、电源接驳位置，但到具体用水用电作业区的二次接线及计量表由乙方自费接驳、安装，施工水、电费由甲方承担。</w:t>
      </w:r>
    </w:p>
    <w:p w14:paraId="5895E90E">
      <w:pPr>
        <w:pStyle w:val="5"/>
        <w:spacing w:beforeAutospacing="0" w:afterAutospacing="0" w:line="450" w:lineRule="atLeast"/>
        <w:rPr>
          <w:color w:val="333333"/>
        </w:rPr>
      </w:pPr>
      <w:r>
        <w:rPr>
          <w:rFonts w:hint="eastAsia"/>
          <w:color w:val="333333"/>
        </w:rPr>
        <w:t>　</w:t>
      </w:r>
      <w:r>
        <w:rPr>
          <w:rFonts w:hint="eastAsia"/>
          <w:color w:val="333333"/>
          <w:lang w:val="en-US" w:eastAsia="zh-CN"/>
        </w:rPr>
        <w:t xml:space="preserve">  2</w:t>
      </w:r>
      <w:r>
        <w:rPr>
          <w:rFonts w:hint="eastAsia"/>
          <w:color w:val="333333"/>
        </w:rPr>
        <w:t>、乙方必须每天将垃圾集中于甲方在工地的指定地点，采取有效措施保持电梯前室走廊及施工现场的清洁，妥善存放和处置乙方设备或多余的材料，并每天清除一次残留物、垃圾和甲方认为不再需要的临时工程设施，避免业主投诉或索赔。</w:t>
      </w:r>
    </w:p>
    <w:p w14:paraId="2DC7AC11">
      <w:pPr>
        <w:pStyle w:val="5"/>
        <w:spacing w:beforeAutospacing="0" w:afterAutospacing="0" w:line="450" w:lineRule="atLeast"/>
        <w:rPr>
          <w:color w:val="333333"/>
        </w:rPr>
      </w:pPr>
      <w:r>
        <w:rPr>
          <w:rFonts w:hint="eastAsia"/>
          <w:color w:val="333333"/>
        </w:rPr>
        <w:t>　　</w:t>
      </w:r>
      <w:r>
        <w:rPr>
          <w:rFonts w:hint="eastAsia"/>
          <w:color w:val="333333"/>
          <w:lang w:val="en-US" w:eastAsia="zh-CN"/>
        </w:rPr>
        <w:t>3</w:t>
      </w:r>
      <w:r>
        <w:rPr>
          <w:rFonts w:hint="eastAsia"/>
          <w:color w:val="333333"/>
        </w:rPr>
        <w:t>、乙方在撤场前，应当清理好工地、清除并运走所有乙方设备、剩余材料、残物、垃圾和甲方认为不再需要的临时工程设施，使现场和工程处于清洁和安全的状况。乙方如未按本合同要求清洁、清理工地的，甲方有权委托他人清理，所发生费用由乙方承担，甲方可在应付乙方的工程款中扣除。</w:t>
      </w:r>
    </w:p>
    <w:p w14:paraId="3F4F246C">
      <w:pPr>
        <w:pStyle w:val="5"/>
        <w:spacing w:beforeAutospacing="0" w:afterAutospacing="0" w:line="450" w:lineRule="atLeast"/>
        <w:rPr>
          <w:color w:val="333333"/>
        </w:rPr>
      </w:pPr>
      <w:r>
        <w:rPr>
          <w:rFonts w:hint="eastAsia"/>
          <w:color w:val="333333"/>
        </w:rPr>
        <w:t>　　</w:t>
      </w:r>
      <w:r>
        <w:rPr>
          <w:rFonts w:hint="eastAsia"/>
          <w:color w:val="333333"/>
          <w:lang w:val="en-US" w:eastAsia="zh-CN"/>
        </w:rPr>
        <w:t>4</w:t>
      </w:r>
      <w:r>
        <w:rPr>
          <w:rFonts w:hint="eastAsia"/>
          <w:color w:val="333333"/>
        </w:rPr>
        <w:t>、甲方须配合乙方或甲方指定人员对乙方工程涉及的电梯安防系统的调试工作，直到该系统正常运行。</w:t>
      </w:r>
    </w:p>
    <w:p w14:paraId="2F629560">
      <w:pPr>
        <w:pStyle w:val="5"/>
        <w:spacing w:beforeAutospacing="0" w:afterAutospacing="0" w:line="450" w:lineRule="atLeast"/>
        <w:rPr>
          <w:color w:val="333333"/>
        </w:rPr>
      </w:pPr>
      <w:r>
        <w:rPr>
          <w:rFonts w:hint="eastAsia"/>
          <w:color w:val="333333"/>
        </w:rPr>
        <w:t>　　第</w:t>
      </w:r>
      <w:r>
        <w:rPr>
          <w:rFonts w:hint="eastAsia"/>
          <w:color w:val="333333"/>
          <w:lang w:eastAsia="zh-CN"/>
        </w:rPr>
        <w:t>七</w:t>
      </w:r>
      <w:r>
        <w:rPr>
          <w:rFonts w:hint="eastAsia"/>
          <w:color w:val="333333"/>
        </w:rPr>
        <w:t>条已完工程量的确认</w:t>
      </w:r>
    </w:p>
    <w:p w14:paraId="168513E5">
      <w:pPr>
        <w:pStyle w:val="5"/>
        <w:spacing w:beforeAutospacing="0" w:afterAutospacing="0" w:line="450" w:lineRule="atLeast"/>
        <w:ind w:firstLine="465"/>
        <w:rPr>
          <w:color w:val="333333"/>
        </w:rPr>
      </w:pPr>
      <w:r>
        <w:rPr>
          <w:rFonts w:hint="eastAsia"/>
          <w:color w:val="333333"/>
        </w:rPr>
        <w:t>1、乙方应当在完工后3日内向甲方提交已完工程量报告，甲方自收到上述全部文件后及时核算已完工程量。　　</w:t>
      </w:r>
    </w:p>
    <w:p w14:paraId="11287357">
      <w:pPr>
        <w:pStyle w:val="5"/>
        <w:spacing w:beforeAutospacing="0" w:afterAutospacing="0" w:line="450" w:lineRule="atLeast"/>
        <w:ind w:firstLine="465"/>
        <w:rPr>
          <w:color w:val="333333"/>
        </w:rPr>
      </w:pPr>
      <w:r>
        <w:rPr>
          <w:rFonts w:hint="eastAsia"/>
          <w:color w:val="333333"/>
        </w:rPr>
        <w:t>2、甲方代表对乙方未按甲方要求施工而增加的工程量或因乙方自身原因造成的返工或浪费的工程量不予承认，不予顺延工期，不给予经济补偿。</w:t>
      </w:r>
    </w:p>
    <w:p w14:paraId="1906AB22">
      <w:pPr>
        <w:pStyle w:val="5"/>
        <w:spacing w:beforeAutospacing="0" w:afterAutospacing="0" w:line="450" w:lineRule="atLeast"/>
        <w:rPr>
          <w:color w:val="auto"/>
        </w:rPr>
      </w:pPr>
      <w:r>
        <w:rPr>
          <w:rFonts w:hint="eastAsia"/>
          <w:color w:val="333333"/>
        </w:rPr>
        <w:t>　　第</w:t>
      </w:r>
      <w:r>
        <w:rPr>
          <w:rFonts w:hint="eastAsia"/>
          <w:color w:val="333333"/>
          <w:lang w:eastAsia="zh-CN"/>
        </w:rPr>
        <w:t>八</w:t>
      </w:r>
      <w:r>
        <w:rPr>
          <w:rFonts w:hint="eastAsia"/>
          <w:color w:val="333333"/>
        </w:rPr>
        <w:t>条工程款支付</w:t>
      </w:r>
    </w:p>
    <w:p w14:paraId="5B4B5D62">
      <w:pPr>
        <w:pStyle w:val="5"/>
        <w:numPr>
          <w:ilvl w:val="0"/>
          <w:numId w:val="1"/>
        </w:numPr>
        <w:spacing w:beforeAutospacing="0" w:afterAutospacing="0" w:line="450" w:lineRule="atLeast"/>
        <w:ind w:left="480" w:leftChars="0" w:firstLine="0" w:firstLineChars="0"/>
        <w:rPr>
          <w:rFonts w:hint="eastAsia"/>
          <w:color w:val="auto"/>
          <w:lang w:val="en-US" w:eastAsia="zh-CN"/>
        </w:rPr>
      </w:pPr>
      <w:r>
        <w:rPr>
          <w:rFonts w:hint="eastAsia"/>
          <w:color w:val="auto"/>
        </w:rPr>
        <w:t>本工程施工</w:t>
      </w:r>
      <w:r>
        <w:rPr>
          <w:rFonts w:hint="eastAsia"/>
          <w:color w:val="auto"/>
          <w:lang w:val="en-US" w:eastAsia="zh-CN"/>
        </w:rPr>
        <w:t>无</w:t>
      </w:r>
      <w:r>
        <w:rPr>
          <w:rFonts w:hint="eastAsia"/>
          <w:color w:val="auto"/>
        </w:rPr>
        <w:t>预付款，</w:t>
      </w:r>
      <w:r>
        <w:rPr>
          <w:rFonts w:hint="eastAsia"/>
          <w:color w:val="auto"/>
          <w:lang w:val="en-US" w:eastAsia="zh-CN"/>
        </w:rPr>
        <w:t>验收完成</w:t>
      </w:r>
      <w:r>
        <w:rPr>
          <w:rFonts w:hint="eastAsia"/>
          <w:color w:val="auto"/>
        </w:rPr>
        <w:t>时</w:t>
      </w:r>
      <w:r>
        <w:rPr>
          <w:rFonts w:hint="eastAsia"/>
          <w:color w:val="auto"/>
          <w:lang w:val="en-US" w:eastAsia="zh-CN"/>
        </w:rPr>
        <w:t>30天内</w:t>
      </w:r>
      <w:r>
        <w:rPr>
          <w:rFonts w:hint="eastAsia"/>
          <w:color w:val="auto"/>
        </w:rPr>
        <w:t>支付</w:t>
      </w:r>
      <w:r>
        <w:rPr>
          <w:rFonts w:hint="eastAsia"/>
          <w:color w:val="auto"/>
          <w:lang w:val="en-US" w:eastAsia="zh-CN"/>
        </w:rPr>
        <w:t>全部款项。</w:t>
      </w:r>
    </w:p>
    <w:p w14:paraId="3BD60672">
      <w:pPr>
        <w:pStyle w:val="5"/>
        <w:numPr>
          <w:ilvl w:val="0"/>
          <w:numId w:val="0"/>
        </w:numPr>
        <w:spacing w:beforeAutospacing="0" w:afterAutospacing="0" w:line="450" w:lineRule="atLeast"/>
        <w:ind w:left="480" w:leftChars="0"/>
        <w:rPr>
          <w:color w:val="auto"/>
        </w:rPr>
      </w:pPr>
      <w:r>
        <w:rPr>
          <w:rFonts w:hint="eastAsia"/>
          <w:color w:val="auto"/>
        </w:rPr>
        <w:t>2、最终的工程造价以双方结算为准。</w:t>
      </w:r>
    </w:p>
    <w:p w14:paraId="3724F102">
      <w:pPr>
        <w:pStyle w:val="5"/>
        <w:spacing w:beforeAutospacing="0" w:afterAutospacing="0" w:line="450" w:lineRule="atLeast"/>
        <w:rPr>
          <w:color w:val="auto"/>
        </w:rPr>
      </w:pPr>
      <w:r>
        <w:rPr>
          <w:rFonts w:hint="eastAsia"/>
          <w:color w:val="auto"/>
        </w:rPr>
        <w:t>　　第九条竣工验收</w:t>
      </w:r>
    </w:p>
    <w:p w14:paraId="0DE92CDD">
      <w:pPr>
        <w:pStyle w:val="5"/>
        <w:spacing w:beforeAutospacing="0" w:afterAutospacing="0" w:line="450" w:lineRule="atLeast"/>
        <w:ind w:left="480" w:hanging="480" w:hangingChars="200"/>
        <w:rPr>
          <w:color w:val="333333"/>
        </w:rPr>
      </w:pPr>
      <w:r>
        <w:rPr>
          <w:rFonts w:hint="eastAsia"/>
          <w:color w:val="333333"/>
        </w:rPr>
        <w:t>　　1、工程完工具备竣工验收条件，向甲方提交工程竣工报告及完整竣工资料。　　</w:t>
      </w:r>
    </w:p>
    <w:p w14:paraId="49B78AD7">
      <w:pPr>
        <w:pStyle w:val="5"/>
        <w:spacing w:beforeAutospacing="0" w:afterAutospacing="0" w:line="450" w:lineRule="atLeast"/>
        <w:rPr>
          <w:color w:val="333333"/>
        </w:rPr>
      </w:pPr>
      <w:r>
        <w:rPr>
          <w:rFonts w:hint="eastAsia"/>
          <w:color w:val="333333"/>
        </w:rPr>
        <w:t>　　</w:t>
      </w:r>
      <w:r>
        <w:rPr>
          <w:rFonts w:hint="eastAsia"/>
          <w:color w:val="333333"/>
          <w:lang w:val="en-US" w:eastAsia="zh-CN"/>
        </w:rPr>
        <w:t>2</w:t>
      </w:r>
      <w:r>
        <w:rPr>
          <w:rFonts w:hint="eastAsia"/>
          <w:color w:val="333333"/>
        </w:rPr>
        <w:t>、工程经竣工验收合格符合本合同要求、乙方清理好场地可办理场地移交的，甲方应当签发竣工验收合格证，乙方应当在甲方签发之日起3日内移交全部工程。</w:t>
      </w:r>
    </w:p>
    <w:p w14:paraId="01A28E7E">
      <w:pPr>
        <w:pStyle w:val="5"/>
        <w:spacing w:beforeAutospacing="0" w:afterAutospacing="0" w:line="450" w:lineRule="atLeast"/>
        <w:rPr>
          <w:color w:val="333333"/>
        </w:rPr>
      </w:pPr>
      <w:r>
        <w:rPr>
          <w:rFonts w:hint="eastAsia"/>
          <w:color w:val="333333"/>
        </w:rPr>
        <w:t>　　第十条保修</w:t>
      </w:r>
    </w:p>
    <w:p w14:paraId="1C0F7376">
      <w:pPr>
        <w:pStyle w:val="5"/>
        <w:spacing w:beforeAutospacing="0" w:afterAutospacing="0" w:line="450" w:lineRule="atLeast"/>
        <w:ind w:firstLine="480"/>
        <w:rPr>
          <w:color w:val="333333"/>
        </w:rPr>
      </w:pPr>
      <w:r>
        <w:rPr>
          <w:rFonts w:hint="eastAsia"/>
          <w:color w:val="333333"/>
        </w:rPr>
        <w:t>自工程竣工验收合格符合合同要求并将工程、资料全部移交之日起开始计算保修期，保修期为</w:t>
      </w:r>
      <w:r>
        <w:rPr>
          <w:rFonts w:hint="eastAsia"/>
          <w:color w:val="333333"/>
          <w:lang w:val="en-US" w:eastAsia="zh-CN"/>
        </w:rPr>
        <w:t>一</w:t>
      </w:r>
      <w:r>
        <w:rPr>
          <w:rFonts w:hint="eastAsia"/>
          <w:color w:val="333333"/>
        </w:rPr>
        <w:t>年，保修期内由乙方保修（</w:t>
      </w:r>
      <w:r>
        <w:rPr>
          <w:rFonts w:hint="eastAsia"/>
          <w:color w:val="333333"/>
          <w:lang w:val="en-US" w:eastAsia="zh-CN"/>
        </w:rPr>
        <w:t>电子产品水淹火烧自然灾害不在保修范围之内</w:t>
      </w:r>
      <w:r>
        <w:rPr>
          <w:rFonts w:hint="eastAsia"/>
          <w:color w:val="333333"/>
        </w:rPr>
        <w:t>）。</w:t>
      </w:r>
    </w:p>
    <w:p w14:paraId="17355FB1">
      <w:pPr>
        <w:pStyle w:val="5"/>
        <w:spacing w:beforeAutospacing="0" w:afterAutospacing="0" w:line="450" w:lineRule="atLeast"/>
        <w:ind w:firstLine="360" w:firstLineChars="150"/>
        <w:rPr>
          <w:color w:val="333333"/>
        </w:rPr>
      </w:pPr>
      <w:r>
        <w:rPr>
          <w:rFonts w:hint="eastAsia"/>
          <w:color w:val="333333"/>
        </w:rPr>
        <w:t>第十一条违约责任</w:t>
      </w:r>
    </w:p>
    <w:p w14:paraId="0FEE8AC4">
      <w:pPr>
        <w:pStyle w:val="5"/>
        <w:spacing w:beforeAutospacing="0" w:afterAutospacing="0" w:line="450" w:lineRule="atLeast"/>
        <w:rPr>
          <w:color w:val="333333"/>
        </w:rPr>
      </w:pPr>
      <w:r>
        <w:rPr>
          <w:rFonts w:hint="eastAsia"/>
          <w:color w:val="333333"/>
        </w:rPr>
        <w:t>　　1、甲方责任</w:t>
      </w:r>
    </w:p>
    <w:p w14:paraId="307969E7">
      <w:pPr>
        <w:pStyle w:val="5"/>
        <w:spacing w:beforeAutospacing="0" w:afterAutospacing="0" w:line="450" w:lineRule="atLeast"/>
        <w:ind w:left="480" w:hanging="480" w:hangingChars="200"/>
        <w:rPr>
          <w:color w:val="333333"/>
        </w:rPr>
      </w:pPr>
      <w:r>
        <w:rPr>
          <w:rFonts w:hint="eastAsia"/>
          <w:color w:val="333333"/>
        </w:rPr>
        <w:t>　　甲方逾期付款的，每逾期一日，每日按总合同款的千分之一支付违约金。　      　2、乙方责任</w:t>
      </w:r>
      <w:bookmarkStart w:id="0" w:name="_GoBack"/>
      <w:bookmarkEnd w:id="0"/>
    </w:p>
    <w:p w14:paraId="216BD0CB">
      <w:pPr>
        <w:pStyle w:val="5"/>
        <w:spacing w:beforeAutospacing="0" w:afterAutospacing="0" w:line="450" w:lineRule="atLeast"/>
        <w:rPr>
          <w:color w:val="333333"/>
        </w:rPr>
      </w:pPr>
      <w:r>
        <w:rPr>
          <w:rFonts w:hint="eastAsia"/>
          <w:color w:val="333333"/>
        </w:rPr>
        <w:t>　　除本合同约定的违约责任外，乙方如有下述违约，并应当承担下列违约责任：</w:t>
      </w:r>
    </w:p>
    <w:p w14:paraId="601C7A4C">
      <w:pPr>
        <w:pStyle w:val="5"/>
        <w:spacing w:beforeAutospacing="0" w:afterAutospacing="0" w:line="450" w:lineRule="atLeast"/>
        <w:rPr>
          <w:color w:val="333333"/>
        </w:rPr>
      </w:pPr>
      <w:r>
        <w:rPr>
          <w:rFonts w:hint="eastAsia"/>
          <w:color w:val="333333"/>
        </w:rPr>
        <w:t>　　(1)乙方违反各项制度的，相应制度已规定了违约责任的，乙方应当按相应制度规定承担违约责任、违约金。</w:t>
      </w:r>
    </w:p>
    <w:p w14:paraId="703CC041">
      <w:pPr>
        <w:pStyle w:val="5"/>
        <w:spacing w:beforeAutospacing="0" w:afterAutospacing="0" w:line="450" w:lineRule="atLeast"/>
        <w:rPr>
          <w:color w:val="333333"/>
        </w:rPr>
      </w:pPr>
      <w:r>
        <w:rPr>
          <w:rFonts w:hint="eastAsia"/>
          <w:color w:val="333333"/>
        </w:rPr>
        <w:t>　　(2)乙方未经甲方许可停工达十日以上的，甲方有权解除合同，乙方并应当无条件于七日内退场。双方于乙方退场后，按照本合同约定的综合单价的50%结算工程款。</w:t>
      </w:r>
    </w:p>
    <w:p w14:paraId="7C295D79">
      <w:pPr>
        <w:pStyle w:val="5"/>
        <w:spacing w:beforeAutospacing="0" w:afterAutospacing="0" w:line="450" w:lineRule="atLeast"/>
        <w:rPr>
          <w:color w:val="333333"/>
        </w:rPr>
      </w:pPr>
      <w:r>
        <w:rPr>
          <w:rFonts w:hint="eastAsia"/>
          <w:color w:val="333333"/>
        </w:rPr>
        <w:t>　　第十二条保险</w:t>
      </w:r>
    </w:p>
    <w:p w14:paraId="1DAB17A1">
      <w:pPr>
        <w:pStyle w:val="5"/>
        <w:spacing w:beforeAutospacing="0" w:afterAutospacing="0" w:line="450" w:lineRule="atLeast"/>
        <w:rPr>
          <w:color w:val="333333"/>
        </w:rPr>
      </w:pPr>
      <w:r>
        <w:rPr>
          <w:rFonts w:hint="eastAsia"/>
          <w:color w:val="333333"/>
        </w:rPr>
        <w:t>　　由乙方负责施工现场的施工安全、施工人员安全，乙方需自行投保施工现场人员人身财产意外伤亡的保险、工程的一切保险及第三者责任险，并承担其费用。</w:t>
      </w:r>
    </w:p>
    <w:p w14:paraId="0C1EDE78">
      <w:pPr>
        <w:pStyle w:val="5"/>
        <w:spacing w:beforeAutospacing="0" w:afterAutospacing="0" w:line="450" w:lineRule="atLeast"/>
        <w:rPr>
          <w:color w:val="333333"/>
        </w:rPr>
      </w:pPr>
      <w:r>
        <w:rPr>
          <w:rFonts w:hint="eastAsia"/>
          <w:color w:val="333333"/>
        </w:rPr>
        <w:t>　　第十三条争议的解决</w:t>
      </w:r>
    </w:p>
    <w:p w14:paraId="4B16CF81">
      <w:pPr>
        <w:pStyle w:val="5"/>
        <w:spacing w:beforeAutospacing="0" w:afterAutospacing="0" w:line="450" w:lineRule="atLeast"/>
        <w:rPr>
          <w:color w:val="333333"/>
        </w:rPr>
      </w:pPr>
      <w:r>
        <w:rPr>
          <w:rFonts w:hint="eastAsia"/>
          <w:color w:val="333333"/>
        </w:rPr>
        <w:t>　　双方因履行本合同发生争议时，应当协商解决，协商不成时,任何一方均可向</w:t>
      </w:r>
      <w:r>
        <w:rPr>
          <w:rFonts w:hint="eastAsia"/>
          <w:color w:val="333333"/>
          <w:lang w:eastAsia="zh-CN"/>
        </w:rPr>
        <w:t>长春</w:t>
      </w:r>
      <w:r>
        <w:rPr>
          <w:rFonts w:hint="eastAsia"/>
          <w:color w:val="333333"/>
        </w:rPr>
        <w:t>市人民法院起诉。</w:t>
      </w:r>
    </w:p>
    <w:p w14:paraId="31B92F45">
      <w:pPr>
        <w:pStyle w:val="5"/>
        <w:spacing w:beforeAutospacing="0" w:afterAutospacing="0" w:line="450" w:lineRule="atLeast"/>
        <w:ind w:firstLine="465"/>
        <w:rPr>
          <w:rFonts w:hint="eastAsia"/>
          <w:color w:val="333333"/>
        </w:rPr>
      </w:pPr>
      <w:r>
        <w:rPr>
          <w:rFonts w:hint="eastAsia"/>
          <w:color w:val="333333"/>
        </w:rPr>
        <w:t>第十</w:t>
      </w:r>
      <w:r>
        <w:rPr>
          <w:rFonts w:hint="eastAsia"/>
          <w:color w:val="333333"/>
          <w:lang w:eastAsia="zh-CN"/>
        </w:rPr>
        <w:t>四</w:t>
      </w:r>
      <w:r>
        <w:rPr>
          <w:rFonts w:hint="eastAsia"/>
          <w:color w:val="333333"/>
        </w:rPr>
        <w:t>条</w:t>
      </w:r>
    </w:p>
    <w:p w14:paraId="1B9D4FC2">
      <w:pPr>
        <w:pStyle w:val="5"/>
        <w:spacing w:beforeAutospacing="0" w:afterAutospacing="0" w:line="450" w:lineRule="atLeast"/>
        <w:ind w:firstLine="465"/>
        <w:rPr>
          <w:color w:val="333333"/>
        </w:rPr>
      </w:pPr>
      <w:r>
        <w:rPr>
          <w:rFonts w:hint="eastAsia"/>
          <w:color w:val="333333"/>
        </w:rPr>
        <w:t>本合同自双方签字盖章之日起生效。本合同一式</w:t>
      </w:r>
      <w:r>
        <w:rPr>
          <w:rFonts w:hint="eastAsia"/>
          <w:color w:val="333333"/>
          <w:lang w:eastAsia="zh-CN"/>
        </w:rPr>
        <w:t>两</w:t>
      </w:r>
      <w:r>
        <w:rPr>
          <w:rFonts w:hint="eastAsia"/>
          <w:color w:val="333333"/>
        </w:rPr>
        <w:t>份，双方各执</w:t>
      </w:r>
      <w:r>
        <w:rPr>
          <w:rFonts w:hint="eastAsia"/>
          <w:color w:val="333333"/>
          <w:lang w:eastAsia="zh-CN"/>
        </w:rPr>
        <w:t>一</w:t>
      </w:r>
      <w:r>
        <w:rPr>
          <w:rFonts w:hint="eastAsia"/>
          <w:color w:val="333333"/>
        </w:rPr>
        <w:t>份。</w:t>
      </w:r>
    </w:p>
    <w:p w14:paraId="788338CE">
      <w:pPr>
        <w:pStyle w:val="5"/>
        <w:spacing w:beforeAutospacing="0" w:afterAutospacing="0" w:line="450" w:lineRule="atLeast"/>
        <w:rPr>
          <w:color w:val="333333"/>
        </w:rPr>
      </w:pPr>
      <w:r>
        <w:rPr>
          <w:rFonts w:hint="eastAsia"/>
          <w:color w:val="333333"/>
        </w:rPr>
        <w:t>　　</w:t>
      </w:r>
    </w:p>
    <w:p w14:paraId="6B5699BD">
      <w:pPr>
        <w:pStyle w:val="5"/>
        <w:spacing w:beforeAutospacing="0" w:afterAutospacing="0" w:line="450" w:lineRule="atLeast"/>
        <w:rPr>
          <w:rFonts w:hint="eastAsia"/>
          <w:color w:val="333333"/>
        </w:rPr>
      </w:pPr>
    </w:p>
    <w:p w14:paraId="126B1584">
      <w:pPr>
        <w:pStyle w:val="5"/>
        <w:spacing w:beforeAutospacing="0" w:afterAutospacing="0" w:line="450" w:lineRule="atLeast"/>
        <w:rPr>
          <w:rFonts w:hint="eastAsia"/>
          <w:color w:val="333333"/>
        </w:rPr>
      </w:pPr>
    </w:p>
    <w:p w14:paraId="00539FFA">
      <w:pPr>
        <w:pStyle w:val="5"/>
        <w:spacing w:beforeAutospacing="0" w:afterAutospacing="0" w:line="450" w:lineRule="atLeast"/>
        <w:rPr>
          <w:rFonts w:hint="default" w:eastAsia="宋体"/>
          <w:color w:val="333333"/>
          <w:lang w:val="en-US" w:eastAsia="zh-CN"/>
        </w:rPr>
      </w:pPr>
      <w:r>
        <w:rPr>
          <w:rFonts w:hint="eastAsia"/>
          <w:color w:val="333333"/>
        </w:rPr>
        <w:t>甲方：</w:t>
      </w:r>
      <w:r>
        <w:rPr>
          <w:rFonts w:hint="eastAsia"/>
          <w:b w:val="0"/>
          <w:bCs w:val="0"/>
          <w:sz w:val="24"/>
          <w:szCs w:val="24"/>
          <w:lang w:eastAsia="zh-CN"/>
        </w:rPr>
        <w:t>长春光华荣昌汽车部件有限公司</w:t>
      </w:r>
      <w:r>
        <w:rPr>
          <w:rFonts w:hint="eastAsia"/>
          <w:b w:val="0"/>
          <w:bCs w:val="0"/>
          <w:color w:val="333333"/>
          <w:sz w:val="21"/>
          <w:szCs w:val="21"/>
          <w:lang w:val="en-US" w:eastAsia="zh-CN"/>
        </w:rPr>
        <w:t xml:space="preserve"> </w:t>
      </w:r>
      <w:r>
        <w:rPr>
          <w:rFonts w:hint="eastAsia"/>
          <w:color w:val="333333"/>
          <w:lang w:val="en-US" w:eastAsia="zh-CN"/>
        </w:rPr>
        <w:t xml:space="preserve"> </w:t>
      </w:r>
      <w:r>
        <w:rPr>
          <w:rFonts w:hint="eastAsia"/>
          <w:color w:val="333333"/>
        </w:rPr>
        <w:t>乙方：</w:t>
      </w:r>
      <w:r>
        <w:rPr>
          <w:rFonts w:hint="eastAsia"/>
          <w:color w:val="333333"/>
          <w:lang w:val="en-US" w:eastAsia="zh-CN"/>
        </w:rPr>
        <w:t>长春市云视联安防网络科技有限公司</w:t>
      </w:r>
    </w:p>
    <w:p w14:paraId="0EC0C362">
      <w:pPr>
        <w:pStyle w:val="5"/>
        <w:spacing w:beforeAutospacing="0" w:afterAutospacing="0" w:line="450" w:lineRule="atLeast"/>
        <w:rPr>
          <w:color w:val="333333"/>
        </w:rPr>
      </w:pPr>
      <w:r>
        <w:rPr>
          <w:rFonts w:hint="eastAsia"/>
          <w:color w:val="333333"/>
        </w:rPr>
        <w:t>　</w:t>
      </w:r>
    </w:p>
    <w:p w14:paraId="7E5F0BAF">
      <w:pPr>
        <w:pStyle w:val="5"/>
        <w:spacing w:beforeAutospacing="0" w:afterAutospacing="0" w:line="450" w:lineRule="atLeast"/>
        <w:rPr>
          <w:color w:val="333333"/>
        </w:rPr>
      </w:pPr>
      <w:r>
        <w:rPr>
          <w:rFonts w:hint="eastAsia"/>
          <w:color w:val="333333"/>
        </w:rPr>
        <w:t>代表人</w:t>
      </w:r>
      <w:r>
        <w:rPr>
          <w:rFonts w:hint="eastAsia"/>
          <w:color w:val="333333"/>
          <w:lang w:eastAsia="zh-CN"/>
        </w:rPr>
        <w:t>：</w:t>
      </w:r>
      <w:r>
        <w:rPr>
          <w:rFonts w:hint="eastAsia"/>
          <w:color w:val="333333"/>
          <w:lang w:val="en-US" w:eastAsia="zh-CN"/>
        </w:rPr>
        <w:t xml:space="preserve">                   </w:t>
      </w:r>
      <w:r>
        <w:rPr>
          <w:rFonts w:hint="eastAsia"/>
          <w:color w:val="333333"/>
        </w:rPr>
        <w:t xml:space="preserve">      </w:t>
      </w:r>
      <w:r>
        <w:rPr>
          <w:rFonts w:hint="eastAsia"/>
          <w:color w:val="333333"/>
          <w:lang w:val="en-US" w:eastAsia="zh-CN"/>
        </w:rPr>
        <w:t xml:space="preserve"> </w:t>
      </w:r>
      <w:r>
        <w:rPr>
          <w:rFonts w:hint="eastAsia"/>
          <w:color w:val="333333"/>
        </w:rPr>
        <w:t xml:space="preserve"> 代表人：</w:t>
      </w:r>
    </w:p>
    <w:p w14:paraId="13CFF360">
      <w:pPr>
        <w:pStyle w:val="5"/>
        <w:spacing w:beforeAutospacing="0" w:afterAutospacing="0" w:line="450" w:lineRule="atLeast"/>
        <w:rPr>
          <w:color w:val="333333"/>
        </w:rPr>
      </w:pPr>
      <w:r>
        <w:rPr>
          <w:rFonts w:hint="eastAsia"/>
          <w:color w:val="333333"/>
        </w:rPr>
        <w:t>　　</w:t>
      </w:r>
    </w:p>
    <w:p w14:paraId="7CB84A2D">
      <w:pPr>
        <w:pStyle w:val="5"/>
        <w:spacing w:beforeAutospacing="0" w:afterAutospacing="0" w:line="450" w:lineRule="atLeast"/>
        <w:rPr>
          <w:color w:val="333333"/>
        </w:rPr>
      </w:pPr>
      <w:r>
        <w:rPr>
          <w:rFonts w:hint="eastAsia"/>
          <w:color w:val="333333"/>
        </w:rPr>
        <w:t>签署日期：     年     月     日</w:t>
      </w:r>
    </w:p>
    <w:p w14:paraId="79BDF8D1"/>
    <w:p w14:paraId="656185B3"/>
    <w:p w14:paraId="6958F244">
      <w:pPr>
        <w:tabs>
          <w:tab w:val="left" w:pos="1038"/>
        </w:tabs>
      </w:pPr>
    </w:p>
    <w:sectPr>
      <w:headerReference r:id="rId5" w:type="first"/>
      <w:headerReference r:id="rId3" w:type="default"/>
      <w:footerReference r:id="rId6" w:type="default"/>
      <w:headerReference r:id="rId4" w:type="even"/>
      <w:pgSz w:w="11906" w:h="16838"/>
      <w:pgMar w:top="1247" w:right="1134" w:bottom="1247" w:left="1701" w:header="1021" w:footer="75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73EB">
    <w:pPr>
      <w:pStyle w:val="3"/>
      <w:framePr w:wrap="around" w:vAnchor="text" w:hAnchor="page" w:x="6022" w:y="141"/>
      <w:rPr>
        <w:rStyle w:val="8"/>
      </w:rPr>
    </w:pPr>
    <w:r>
      <w:fldChar w:fldCharType="begin"/>
    </w:r>
    <w:r>
      <w:rPr>
        <w:rStyle w:val="8"/>
      </w:rPr>
      <w:instrText xml:space="preserve">PAGE  </w:instrText>
    </w:r>
    <w:r>
      <w:fldChar w:fldCharType="separate"/>
    </w:r>
    <w:r>
      <w:rPr>
        <w:rStyle w:val="8"/>
      </w:rPr>
      <w:t>- 6 -</w:t>
    </w:r>
    <w:r>
      <w:fldChar w:fldCharType="end"/>
    </w:r>
  </w:p>
  <w:p w14:paraId="7CE85510">
    <w:pPr>
      <w:rPr>
        <w:rFonts w:hint="eastAsia"/>
      </w:rPr>
    </w:pPr>
  </w:p>
  <w:p w14:paraId="034E36A6">
    <w:pPr>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B22A">
    <w:pPr>
      <w:pStyle w:val="4"/>
      <w:pBdr>
        <w:bottom w:val="none" w:color="auto" w:sz="0" w:space="0"/>
      </w:pBdr>
      <w:ind w:right="26"/>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2350">
    <w:pPr>
      <w:pStyle w:val="4"/>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755640" cy="1574165"/>
          <wp:effectExtent l="0" t="0" r="16510" b="6985"/>
          <wp:wrapNone/>
          <wp:docPr id="1" name="WordPictureWatermark5"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5" descr="公司"/>
                  <pic:cNvPicPr>
                    <a:picLocks noChangeAspect="1"/>
                  </pic:cNvPicPr>
                </pic:nvPicPr>
                <pic:blipFill>
                  <a:blip r:embed="rId1">
                    <a:lum bright="70001" contrast="-70000"/>
                  </a:blip>
                  <a:stretch>
                    <a:fillRect/>
                  </a:stretch>
                </pic:blipFill>
                <pic:spPr>
                  <a:xfrm>
                    <a:off x="0" y="0"/>
                    <a:ext cx="5755640" cy="15741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0D55">
    <w:pPr>
      <w:pStyle w:val="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55640" cy="1574165"/>
          <wp:effectExtent l="0" t="0" r="16510" b="6985"/>
          <wp:wrapNone/>
          <wp:docPr id="4" name="WordPictureWatermark4"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 descr="公司"/>
                  <pic:cNvPicPr>
                    <a:picLocks noChangeAspect="1"/>
                  </pic:cNvPicPr>
                </pic:nvPicPr>
                <pic:blipFill>
                  <a:blip r:embed="rId1">
                    <a:lum bright="70001" contrast="-70000"/>
                  </a:blip>
                  <a:stretch>
                    <a:fillRect/>
                  </a:stretch>
                </pic:blipFill>
                <pic:spPr>
                  <a:xfrm>
                    <a:off x="0" y="0"/>
                    <a:ext cx="5755640" cy="15741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80DD1"/>
    <w:multiLevelType w:val="singleLevel"/>
    <w:tmpl w:val="B2780DD1"/>
    <w:lvl w:ilvl="0" w:tentative="0">
      <w:start w:val="1"/>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NjY0MmZjNTMyNjUxMTJmZGZiOTUyNzVkNDE2MmIifQ=="/>
  </w:docVars>
  <w:rsids>
    <w:rsidRoot w:val="527E1307"/>
    <w:rsid w:val="11651569"/>
    <w:rsid w:val="1679630B"/>
    <w:rsid w:val="1F3C495C"/>
    <w:rsid w:val="22F92970"/>
    <w:rsid w:val="2B2838DB"/>
    <w:rsid w:val="2BE45A54"/>
    <w:rsid w:val="30E11244"/>
    <w:rsid w:val="39D32192"/>
    <w:rsid w:val="3F632CDC"/>
    <w:rsid w:val="527E1307"/>
    <w:rsid w:val="52C43CD8"/>
    <w:rsid w:val="557F1C19"/>
    <w:rsid w:val="5A151C64"/>
    <w:rsid w:val="614E0C9A"/>
    <w:rsid w:val="6DDD3AD6"/>
    <w:rsid w:val="6E166FE8"/>
    <w:rsid w:val="6E922B12"/>
    <w:rsid w:val="70F84783"/>
    <w:rsid w:val="723E57CB"/>
    <w:rsid w:val="7AA7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Words>
  <Characters>118</Characters>
  <Lines>0</Lines>
  <Paragraphs>0</Paragraphs>
  <TotalTime>66</TotalTime>
  <ScaleCrop>false</ScaleCrop>
  <LinksUpToDate>false</LinksUpToDate>
  <CharactersWithSpaces>118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2024-07-01T07:44:00Z</dcterms:created>
  <dc:creator>小伙 金点子广告</dc:creator>
  <cp:lastModifiedBy>慕缇</cp:lastModifiedBy>
  <cp:lastPrinted>2025-07-03T02:06:33Z</cp:lastPrinted>
  <dcterms:modified xsi:type="dcterms:W3CDTF">2025-07-03T02:14:12Z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A694B07E06D74849BAD94718595A51DF_13</vt:lpwstr>
  </property>
  <property fmtid="{D5CDD505-2E9C-101B-9397-08002B2CF9AE}" pid="4" name="KSOTemplateDocerSaveRecord">
    <vt:lpwstr>eyJoZGlkIjoiYmU3MDJjNWYwMTI4MGEwOGY2YmU5YWE3N2VkMzMzOWQiLCJ1c2VySWQiOiIyMzMwMDUzNjAifQ==</vt:lpwstr>
  </property>
</Properties>
</file>