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7CB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center"/>
        <w:rPr>
          <w:rFonts w:ascii="黑体" w:hAnsi="宋体" w:eastAsia="黑体" w:cs="黑体"/>
          <w:i w:val="0"/>
          <w:iCs w:val="0"/>
          <w:caps w:val="0"/>
          <w:color w:val="333333"/>
          <w:spacing w:val="0"/>
          <w:sz w:val="36"/>
          <w:szCs w:val="36"/>
        </w:rPr>
      </w:pPr>
      <w:r>
        <w:rPr>
          <w:rFonts w:hint="default" w:ascii="黑体" w:hAnsi="宋体" w:eastAsia="黑体" w:cs="黑体"/>
          <w:i w:val="0"/>
          <w:iCs w:val="0"/>
          <w:caps w:val="0"/>
          <w:color w:val="333333"/>
          <w:spacing w:val="0"/>
          <w:kern w:val="0"/>
          <w:sz w:val="36"/>
          <w:szCs w:val="36"/>
          <w:bdr w:val="none" w:color="auto" w:sz="0" w:space="0"/>
          <w:shd w:val="clear" w:fill="FFFFFF"/>
          <w:lang w:val="en-US" w:eastAsia="zh-CN" w:bidi="ar"/>
        </w:rPr>
        <w:t>北京市第一中级人民法院</w:t>
      </w:r>
    </w:p>
    <w:p w14:paraId="2B4215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center"/>
        <w:rPr>
          <w:rFonts w:hint="default" w:ascii="黑体" w:hAnsi="宋体" w:eastAsia="黑体" w:cs="黑体"/>
          <w:i w:val="0"/>
          <w:iCs w:val="0"/>
          <w:caps w:val="0"/>
          <w:color w:val="333333"/>
          <w:spacing w:val="0"/>
          <w:sz w:val="36"/>
          <w:szCs w:val="36"/>
        </w:rPr>
      </w:pPr>
      <w:r>
        <w:rPr>
          <w:rFonts w:hint="default" w:ascii="黑体" w:hAnsi="宋体" w:eastAsia="黑体" w:cs="黑体"/>
          <w:i w:val="0"/>
          <w:iCs w:val="0"/>
          <w:caps w:val="0"/>
          <w:color w:val="333333"/>
          <w:spacing w:val="0"/>
          <w:kern w:val="0"/>
          <w:sz w:val="36"/>
          <w:szCs w:val="36"/>
          <w:bdr w:val="none" w:color="auto" w:sz="0" w:space="0"/>
          <w:shd w:val="clear" w:fill="FFFFFF"/>
          <w:lang w:val="en-US" w:eastAsia="zh-CN" w:bidi="ar"/>
        </w:rPr>
        <w:t>民 事 判 决 书</w:t>
      </w:r>
    </w:p>
    <w:p w14:paraId="04619D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right"/>
        <w:rPr>
          <w:rFonts w:hint="eastAsia" w:ascii="宋体" w:hAnsi="宋体" w:eastAsia="宋体" w:cs="宋体"/>
          <w:i w:val="0"/>
          <w:iCs w:val="0"/>
          <w:caps w:val="0"/>
          <w:color w:val="333333"/>
          <w:spacing w:val="0"/>
          <w:sz w:val="21"/>
          <w:szCs w:val="21"/>
        </w:rPr>
      </w:pPr>
      <w:bookmarkStart w:id="0" w:name="_GoBack"/>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(2019)京01民终2445号</w:t>
      </w:r>
    </w:p>
    <w:bookmarkEnd w:id="0"/>
    <w:p w14:paraId="3592E9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上诉人(原审被告)：北京光华荣昌汽车部件有限公司，住所地北京市昌平区科技园区中兴路10号B213室。</w:t>
      </w:r>
    </w:p>
    <w:p w14:paraId="4304B1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法定代表人：赵月强，董事长。</w:t>
      </w:r>
    </w:p>
    <w:p w14:paraId="4550A3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委托诉讼代理人：王福成，男，北京光华荣昌汽车部件有限公司法务经理。</w:t>
      </w:r>
    </w:p>
    <w:p w14:paraId="7A9995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委托诉讼代理人：李娇，女，北京光华荣昌汽车部件有限公司人事专员。</w:t>
      </w:r>
    </w:p>
    <w:p w14:paraId="7FC39E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被上诉人(原审原告)：张学友，男，1988年8月6日出生，住北京市昌平区。</w:t>
      </w:r>
    </w:p>
    <w:p w14:paraId="286272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上诉人北京光华荣昌汽车部件有限公司（以下简称光华荣昌公司）因与被上诉人张学友劳动争议一案，不服北京市昌平区人民法院（2018）京0114民初16763号民事判决，向本院提起上诉。本院于2019年2月21日立案后，因当事人在二审中未提出新的事实和理由，不开庭进行审理。本案现已审理终结。</w:t>
      </w:r>
    </w:p>
    <w:p w14:paraId="2C526D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光华荣昌公司上诉请求：撤销一审判决第一、二、三项，依法发回重审或进行改判。事实与理由：1、一审法院认定光华荣昌公司与张学友协商一致解除劳动关系与事实不符；光华荣昌公司没有与张学友解除劳动关系，系其主动离开工作岗位。2、光华荣昌公司每年春节及年中会统一安排带薪休假，张学友在职期间实际放假天数已经超出其应享受的年休假。3、根据法律规定，劳动者主张加班费的应对加班的事实承担举证责任。一审法院根据张学友提供的部分考勤表复印件就认定加班事实的存在，属于认定事实错误。</w:t>
      </w:r>
    </w:p>
    <w:p w14:paraId="238117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张学友辩称，同意一审判决，光华荣昌公司的上诉请求不符合实际。</w:t>
      </w:r>
    </w:p>
    <w:p w14:paraId="78E232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张学友向一审法院起诉请求：1、支付解除劳动关系补偿金7992元；2、支付2016年5月16日至2018年4月13日未休年假工资3996元；3、支付2016年5月至2018年3月份工作日加班费与周六日加班费115202.2元。以上共计127190.2元。</w:t>
      </w:r>
    </w:p>
    <w:p w14:paraId="5EED31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一审法院认定事实：张学友于2016年5月16日入职光华荣昌公司，双方签署书面劳动合同，合同期限为固定期限劳动合同，合同期限为一年，2017年5月16日，双方续签劳动合同至2020年5月15日。张学友担任车间操作工，工作地点为京津冀，公司有权在上述区域的工厂进行调整，实行标准工时，月工资为基本工资+绩效，基本工资为北京市最低工资。</w:t>
      </w:r>
    </w:p>
    <w:p w14:paraId="26D93B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张学友工作至2018年4月13日，其称当日其去上班，公司领导找其谈话，终止其考勤，要求其到黄骅上班，或者走法律程序。光华荣昌公司称其公司没有搬迁，张学友系自行离职，后来打电话没人接，张学友称从没有人联系过其本人。</w:t>
      </w:r>
    </w:p>
    <w:p w14:paraId="694FED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张学友称其长期存在加班，其提供了2017年4月，2017年9月至2018年3月的考勤表，考勤表中有员工的签名，有编制、审核、批准人的签字。考勤表显示，张学友在2017年4月实际出勤24天、2017年9月实际出勤29天、2017年10月实际出勤27天、2017年11月实际出勤21天、2017年12月实际出勤29.5天、2018年1月实际出勤29天、2018年2月实际出勤25天、2018年3月实际出勤27天。光华荣昌公司称张学友提交的考勤表为复印件，不予认可。</w:t>
      </w:r>
    </w:p>
    <w:p w14:paraId="6687D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根据光华荣昌公司提交的工资明细显示，张学友离职前12个月（2017年4月至2018年3月）的平均工资为3960.04元。张学友称其在2016年5月16日至2018年4月13日期间未休年休假。光华荣昌公司称其公司每年都放假，提交放假通知三份，显示2016年7月29日至2016年8月1日放假四天、2017年1月25日至2017年2月4日期间春节放假11天、2017年7月31日至2017年8月6日放假7天，张学友称放假通知从没见过，几乎很少休息，经常整月上班。</w:t>
      </w:r>
    </w:p>
    <w:p w14:paraId="11CD82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张学友于2018年4月16日向北京市昌平区劳动人事争议仲裁委员会申请仲裁，请求裁决：1、支付2016年5月16日至2018年4月13日延时加班费10000元、周六日加班费140000元；2、支付解除劳动关系经济补偿金8000元；3、支付2016年5月16日至2018年4月13日未休年休假工资4000元。后该委作出裁决：1、光华荣昌公司支付张学友2017年5月16日至2017年12月31日期间未休年休假工资1103.44元；2、驳回张学友的其他申请请求。张学友不服该裁决，在法定期限内诉至法院。</w:t>
      </w:r>
    </w:p>
    <w:p w14:paraId="3E3194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另查，光华荣昌公司的股东为河北光华荣昌汽车部件有限公司，持股比例为100％，该公司注册地址位于河北省黄骅经济开发区。</w:t>
      </w:r>
    </w:p>
    <w:p w14:paraId="2AD36B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一审法院认为，用人单位应当按照国家规定和劳动合同约定全面履行自己的义务。本案中，张学友于2016年5月16日入职光华荣昌公司，工作至2018年4月13日。按照劳动法理论通说，劳动关系是劳动者与用人单位之间为实现劳动过程而发生的劳动力与生产资料相结合的社会关系，兼有平等性与隶属性、人身性与财产性的特征。其中从属性包括人身从属性和财产从属性，是劳动关系的本质属性，也是劳动关系客观外在的表征。在本案中，张学友作为劳动者，接受用人单位光华荣昌公司的日常管理，其与光华荣昌公司期间存在着劳动法意义上的人身和财产从属关系，因此法院认为光华荣昌公司作为劳动关系中的管理一方，应尽到相应的义务，比如在劳动者未按时到岗时，其公司起码应履行必要的通知手续，而非置之不理。张学友与光华荣昌公司的劳动合同期限截止2020年5月15日，因此2018年4月13日之后，双方劳动关系并未到期，光华荣昌公司称张学友系自行离职，但并未提交任何通知其到岗的证据，光华荣昌公司提交的员工登记表和劳动合同中有张学友的住址和电话，但光华荣昌公司并未采取相应措施履行通知手续，其虽称打过电话，但亦未提交任何通话记录。张学友称因光华荣昌公司搬迁，要求其到河北省黄骅区上班其不同意，当日口头将其辞退，后没再来上班，鉴于双方均未提交张学友离职的相关证据和张学友已离职的事实，法院认定双方劳动关系的解除系由用人单位提出，双方协商一致解除劳动关系，故光华荣昌公司应当支付经济补偿金，结合张学友的工作年限，经核算，数额为7920.08元（3960.04×2）。</w:t>
      </w:r>
    </w:p>
    <w:p w14:paraId="57183B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关于张学友主张的未休年休假工资一节。劳动者连续工作满一年的，可以享受带薪年休假5天。张学友于2016年5月16日入职，故应当自2017年5月16日起享有带薪年休假，经核算在2017年5月16日至2018年4月13日期间张学友可享有的年休假天数为4天，故光华荣昌公司应当支付张学友该期间未休年休假工资1456.57元（3960.04÷21.75×4×2）。光华荣昌公司虽称其公司在平时和春节期间已放假，法院认为一方面其提交的放假通知为单方制作，张学友对放假通知不认可，光华荣昌公司也未提交相应的考勤记录等予以证明；另一方面张学友享有的年休假为带薪年休假，即使确实存在放假，但放假期间未支付劳动者工资的，也不能视为已休年休假，鉴于光华荣昌公司并未提交张学友休年休假的证据，故法院对其陈述不予采信。</w:t>
      </w:r>
    </w:p>
    <w:p w14:paraId="1F1D03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劳动者主张加班费的，应当对加班的事实承担举证责任。关于张学友主张的工作日延时加班费一节，其并未提交相应的证据，故对该部分请求不予支持。关于张学友提交的考勤表一节，张学友提交的考勤有劳动者的签字确认，也有考勤人员、审核人员的签字确认，符合正常考勤表的要件，相反，光华荣昌公司向法庭出示的考勤表明显为事后制作，无法体现劳动者的日常出勤情况，也没有劳动者的签字确认，故法院对光华荣昌公司提交的考勤表真实性和证明目的均不予采信，至于张学友提交的考勤表为复印件，法院认为考勤表系由用人单位制作，且作为用人单位的日常管理手段之一，相应原件理应保存在用人单位，张学友作为劳动者无法或者极难通过正常途径持有考勤表的原件，因此要求张学友出示考勤表原件系对其苛求，其已尽到初步的举证责任，光华荣昌公司并未提交原始的考勤记录予以反驳，故法院对张学友提交的考勤表予以采信。关于加班费的计算基数，张学友的工资由基本工资和绩效工资构成，故加班费计算基数以基本工资为准，经核算，光华荣昌公司应当支付张学友2017年4月、2017年9月至2018年3月的周六日加班费共计7949.43元（注：因张学友主张的项目为周六日加班费，故国庆和春节放假期间上班的只计算周六日，在法定节假日上班未计算，若当月存在工作日未出勤，视为调休，在周六日加班天数中扣减，具体计算天数见附表）。</w:t>
      </w:r>
    </w:p>
    <w:p w14:paraId="40AFE9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一审法院依据《中华人民共和国劳动合同法》第二十九条、第四十六条、第四十七条，《中华人民共和国民事诉讼法》第六十四条之规定，判决：一、北京光华荣昌汽车部件有限公司于判决生效后七日内支付张学友解除劳动关系经济补偿金7920.08元；二、北京光华荣昌汽车部件有限公司于判决生效后七日内支付张学友未休年休假工资1456.57元；三、北京光华荣昌汽车部件有限公司于判决生效后七日内支付张学友2017年4月、2017年9月至2018年3月期间的周六日加班费共计7949.43元；四、驳回张学友的其他诉讼请求。</w:t>
      </w:r>
    </w:p>
    <w:p w14:paraId="250A5F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二审中，当事人没有提交新的证据。本院对一审法院查明的事实予以确认。</w:t>
      </w:r>
    </w:p>
    <w:p w14:paraId="12E6DD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本院认为，关于解除劳动关系经济补偿金一节。光华荣昌公司作为劳动关系中的负有管理责任的一方，应尽到相应的管理责任，而其在张学友未按时到岗情况下，并未了解未到岗原因并发出相应通知，显属未尽到管理责任。光华荣昌公司称张学友系自行离职，亦未提交证据予以证明。张学友主张系光华荣昌公司口头将其辞退，但未提交相关证据予以证明。鉴于双方均未提交确实、有效的证据证明劳动关系解除的原因，一审法院认定视为系由用人单位提出，双方协商一致解除劳动关系，并判决光华荣昌公司支付张学友解除劳动关系经济补偿金并无不当，本院予以确认。</w:t>
      </w:r>
    </w:p>
    <w:p w14:paraId="75AB47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关于未休年休假工资一节。光华荣昌公司虽主张每年春节及年中会统一安排张学友带薪休假，但光华荣昌公司并未提交有效证据予以证明，故本院对其主张不予采信，并就一审法院认定的光华荣昌公司需支付张学友未休年休假工资数额予以确认。</w:t>
      </w:r>
    </w:p>
    <w:p w14:paraId="0E24E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关于周六日加班费一节。张学友就其主张的周六日加班费，提交了考勤表，该考勤表虽然是复印件，但其中有考勤人员、审核人员、劳动者的签字确认，符合正常考勤表的要件，张学友作为劳动者已尽到初步的举证责任。光华荣昌公司在诉讼中出示的考勤表无法如实体现劳动者的日常出勤情况，也没有劳动者的签字确认。故一审法院对张学友提交的考勤表的真实性予以采信并据此认定加班天数并无不当。一审判决光华荣昌公司支付张学友的周六日加班费金额未高于其应付数额，且张学友未上诉，本院予以确认。</w:t>
      </w:r>
    </w:p>
    <w:p w14:paraId="460540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综上所述，光华荣昌公司的上诉请求不能成立，应予驳回；一审判决认定事实清楚，适用法律正确，应予维持。依照《中华人民共和国民事诉讼法》第一百七十条第一款第（一）项规定，判决如下：</w:t>
      </w:r>
    </w:p>
    <w:p w14:paraId="592EBE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驳回上诉，维持原判。</w:t>
      </w:r>
    </w:p>
    <w:p w14:paraId="05BC31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二审案件受理费十元，由北京光华荣昌汽车部件有限公司负担。</w:t>
      </w:r>
    </w:p>
    <w:p w14:paraId="4AA479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本判决为终审判决。</w:t>
      </w:r>
    </w:p>
    <w:p w14:paraId="417B9C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审判长　　赵斌</w:t>
      </w:r>
    </w:p>
    <w:p w14:paraId="202720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审判员　　刘芳</w:t>
      </w:r>
    </w:p>
    <w:p w14:paraId="348F21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审判员　　姚红</w:t>
      </w:r>
    </w:p>
    <w:p w14:paraId="36EADD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二〇一九年三月二十日</w:t>
      </w:r>
    </w:p>
    <w:p w14:paraId="44F84B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法官助理王飞</w:t>
      </w:r>
    </w:p>
    <w:p w14:paraId="213365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书记员苑要楠</w:t>
      </w:r>
    </w:p>
    <w:p w14:paraId="5A4E0F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黑体">
    <w:altName w:val="汉仪中黑KW"/>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365D87"/>
    <w:rsid w:val="4C365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2025-07-01T11:20:00Z</dcterms:created>
  <dc:creator>常青</dc:creator>
  <cp:lastModifiedBy>常青</cp:lastModifiedBy>
  <dcterms:modified xsi:type="dcterms:W3CDTF">2025-07-01T11:21:46Z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B641114E743965C11B546368BDFA3AFA_41</vt:lpwstr>
  </property>
</Properties>
</file>