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344E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0"/>
        <w:jc w:val="center"/>
        <w:rPr>
          <w:rFonts w:ascii="黑体" w:hAnsi="宋体" w:eastAsia="黑体" w:cs="黑体"/>
          <w:i w:val="0"/>
          <w:iCs w:val="0"/>
          <w:caps w:val="0"/>
          <w:color w:val="333333"/>
          <w:spacing w:val="0"/>
          <w:sz w:val="36"/>
          <w:szCs w:val="36"/>
        </w:rPr>
      </w:pPr>
      <w:r>
        <w:rPr>
          <w:rFonts w:hint="default" w:ascii="黑体" w:hAnsi="宋体" w:eastAsia="黑体" w:cs="黑体"/>
          <w:i w:val="0"/>
          <w:iCs w:val="0"/>
          <w:caps w:val="0"/>
          <w:color w:val="333333"/>
          <w:spacing w:val="0"/>
          <w:kern w:val="0"/>
          <w:sz w:val="36"/>
          <w:szCs w:val="36"/>
          <w:bdr w:val="none" w:color="auto" w:sz="0" w:space="0"/>
          <w:shd w:val="clear" w:fill="FFFFFF"/>
          <w:lang w:val="en-US" w:eastAsia="zh-CN" w:bidi="ar"/>
        </w:rPr>
        <w:t>西安市高陵区人民法院</w:t>
      </w:r>
    </w:p>
    <w:p w14:paraId="29EE21E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0"/>
        <w:jc w:val="center"/>
        <w:rPr>
          <w:rFonts w:hint="default" w:ascii="黑体" w:hAnsi="宋体" w:eastAsia="黑体" w:cs="黑体"/>
          <w:i w:val="0"/>
          <w:iCs w:val="0"/>
          <w:caps w:val="0"/>
          <w:color w:val="333333"/>
          <w:spacing w:val="0"/>
          <w:sz w:val="36"/>
          <w:szCs w:val="36"/>
        </w:rPr>
      </w:pPr>
      <w:r>
        <w:rPr>
          <w:rFonts w:hint="default" w:ascii="黑体" w:hAnsi="宋体" w:eastAsia="黑体" w:cs="黑体"/>
          <w:i w:val="0"/>
          <w:iCs w:val="0"/>
          <w:caps w:val="0"/>
          <w:color w:val="333333"/>
          <w:spacing w:val="0"/>
          <w:kern w:val="0"/>
          <w:sz w:val="36"/>
          <w:szCs w:val="36"/>
          <w:bdr w:val="none" w:color="auto" w:sz="0" w:space="0"/>
          <w:shd w:val="clear" w:fill="FFFFFF"/>
          <w:lang w:val="en-US" w:eastAsia="zh-CN" w:bidi="ar"/>
        </w:rPr>
        <w:t>民 事 裁 定 书</w:t>
      </w:r>
    </w:p>
    <w:p w14:paraId="2DCE4E0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0"/>
        <w:jc w:val="right"/>
        <w:rPr>
          <w:rFonts w:hint="eastAsia" w:ascii="宋体" w:hAnsi="宋体" w:eastAsia="宋体" w:cs="宋体"/>
          <w:i w:val="0"/>
          <w:iCs w:val="0"/>
          <w:caps w:val="0"/>
          <w:color w:val="333333"/>
          <w:spacing w:val="0"/>
          <w:sz w:val="24"/>
          <w:szCs w:val="24"/>
        </w:rPr>
      </w:pPr>
      <w:bookmarkStart w:id="0" w:name="_GoBack"/>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（2022）陕0117民初4362号</w:t>
      </w:r>
    </w:p>
    <w:bookmarkEnd w:id="0"/>
    <w:p w14:paraId="47E049E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申请人：常州华阳万联汽车附件有限公司，住所地常州市钟楼经济开发区合欢路54号。统一社会信用代码：913204007651040719。</w:t>
      </w:r>
    </w:p>
    <w:p w14:paraId="4C846ED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法定代表人：岳逸德，该公司董事长。</w:t>
      </w:r>
    </w:p>
    <w:p w14:paraId="352F14C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委托诉讼代理人：王艺霖，陕西恒合律师事务所律师。</w:t>
      </w:r>
    </w:p>
    <w:p w14:paraId="4262C2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被申请人：西安光华荣昌汽车部件有限公司，住所地西安市高陵区泾河工业园泾高南路西段。统一社会信用代码：91610132MA6U02NH6X。</w:t>
      </w:r>
    </w:p>
    <w:p w14:paraId="363C5F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法定代表人：刘东明，该公司总经理。</w:t>
      </w:r>
    </w:p>
    <w:p w14:paraId="0793617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委托诉讼代理人：宫煜，北京市长安律师事务所律师。</w:t>
      </w:r>
    </w:p>
    <w:p w14:paraId="5BD880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委托诉讼代理人：罗让平，男，1984年8月15日出生，汉族，住陕西省咸阳市杨凌区。</w:t>
      </w:r>
    </w:p>
    <w:p w14:paraId="032E7EA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被申请人：北京光华荣昌汽车部件有限公司，住所地北京市昌平区北流村600号院9号楼1至3层101。统一社会信用代码：91110114801184540U。</w:t>
      </w:r>
    </w:p>
    <w:p w14:paraId="23740B5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法定代表人：赵月强，该公司董事、经理。</w:t>
      </w:r>
    </w:p>
    <w:p w14:paraId="527362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委托诉讼代理人：宫煜，北京市长安律师事务所律师。</w:t>
      </w:r>
    </w:p>
    <w:p w14:paraId="7E3DDDA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委托诉讼代理人：张艳菊，女，1978年6月5日出生，汉族，住黑龙江省齐齐哈尔市铁锋区。</w:t>
      </w:r>
    </w:p>
    <w:p w14:paraId="465711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本院受理原告常州华阳万联汽车附件有限公司与被告西安光华荣昌汽车部件有限公司、北京光华荣昌汽车部件有限公司买卖合同纠纷一案，申请人常州华阳万联汽车附件有限公司于2022年9月26日向本院申请财产保全，请求冻结被申请人西安光华荣昌汽车部件有限公司、北京光华荣昌汽车部件有限公司名下银行存款1400000元或者查封、扣押被申请人西安光华荣昌汽车部件有限公司、北京光华荣昌汽车部件有限公司名下同等价值的其他财产。申请人以中国人民财产保险股份有限公司西安市分公司诉讼保全责任保险金额为1400000元保单保函向本院提供担保。</w:t>
      </w:r>
    </w:p>
    <w:p w14:paraId="23B737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本院经审查认为，申请人常州华阳万联汽车附件有限公司的申请符合法律规定，依法予以准许。依照《中华人民共和国民事诉讼法》第一百零三条、第一百零五条、第一百零六条规定，裁定如下：</w:t>
      </w:r>
    </w:p>
    <w:p w14:paraId="552058C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冻结被申请人西安光华荣昌汽车部件有限公司、北京光华荣昌汽车部件有限公司名下银行存款1400000元或者查封、扣押被申请人西安光华荣昌汽车部件有限公司、北京光华荣昌汽车部件有限公司名下同等价值的其他财产。冻结银行存款的期限为一年，查封、扣押动产的期限为两年，查封不动产、其他财产权的期限为三年。</w:t>
      </w:r>
    </w:p>
    <w:p w14:paraId="782090C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申请保全人申请续行财产保全的，应当在保全期限届满七日前向人民法院提出；逾期申请或者不申请的，自行承担不能续行保全的法律后果。</w:t>
      </w:r>
    </w:p>
    <w:p w14:paraId="73353D7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本裁定立即开始执行。</w:t>
      </w:r>
    </w:p>
    <w:p w14:paraId="102E9DA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如不服本裁定，可以自收到裁定书之日起五日内向本院申请复议一次。复议期间不停止裁定的执行。</w:t>
      </w:r>
    </w:p>
    <w:p w14:paraId="280891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72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审判员　王　锋</w:t>
      </w:r>
    </w:p>
    <w:p w14:paraId="4B7C23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72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二〇二二年九月二十六日</w:t>
      </w:r>
    </w:p>
    <w:p w14:paraId="14B551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72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书记员　王迎香</w:t>
      </w:r>
    </w:p>
    <w:p w14:paraId="7D705EE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altName w:val="Helvetica Neue"/>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黑体">
    <w:altName w:val="汉仪中黑KW"/>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F72483"/>
    <w:rsid w:val="6AF72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2025-07-01T12:19:00Z</dcterms:created>
  <dc:creator>常青</dc:creator>
  <cp:lastModifiedBy>常青</cp:lastModifiedBy>
  <dcterms:modified xsi:type="dcterms:W3CDTF">2025-07-01T12:20:39Z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C595411BA8BE827CEC616368859A2300_41</vt:lpwstr>
  </property>
</Properties>
</file>