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6E4F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1D82D16B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50361</w:t>
      </w:r>
    </w:p>
    <w:p w14:paraId="488C8D50">
      <w:pPr>
        <w:spacing w:line="360" w:lineRule="auto"/>
        <w:rPr>
          <w:rFonts w:ascii="仿宋" w:hAnsi="仿宋" w:eastAsia="仿宋"/>
          <w:b/>
          <w:sz w:val="24"/>
        </w:rPr>
      </w:pPr>
    </w:p>
    <w:p w14:paraId="7C480628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43DD0766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4AB8428F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乙方：上海明芳汽车零件有限公司</w:t>
      </w:r>
    </w:p>
    <w:p w14:paraId="546A5D5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91310000607211349G</w:t>
      </w:r>
    </w:p>
    <w:p w14:paraId="68D748D1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50AC84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6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58"/>
        <w:gridCol w:w="1592"/>
        <w:gridCol w:w="500"/>
        <w:gridCol w:w="698"/>
        <w:gridCol w:w="1096"/>
        <w:gridCol w:w="1059"/>
        <w:gridCol w:w="1138"/>
        <w:gridCol w:w="1099"/>
        <w:gridCol w:w="881"/>
      </w:tblGrid>
      <w:tr w14:paraId="127A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C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8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27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D0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4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9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3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0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7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2D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EEB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8A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66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F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手动滑轨总成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2A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B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59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A8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C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B75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ZY2422</w:t>
            </w:r>
          </w:p>
        </w:tc>
      </w:tr>
      <w:tr w14:paraId="6D48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EE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6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3A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电动滑轨总成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8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9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1025.145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A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2050.29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41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266.54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50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2316.83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0208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0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2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5C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D0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43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0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4050.29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A3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5D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0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4E265D55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1D81353B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6C3B38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4576.83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肆仟伍佰柒拾陆元捌角叁分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175417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B8407D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C2ABAA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DC9A0EA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60天/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90天）以电汇</w:t>
      </w:r>
      <w:bookmarkStart w:id="1" w:name="_GoBack"/>
      <w:bookmarkEnd w:id="1"/>
      <w:r>
        <w:rPr>
          <w:rFonts w:hint="eastAsia" w:ascii="仿宋" w:hAnsi="仿宋" w:eastAsia="仿宋" w:cs="宋体"/>
          <w:bCs/>
          <w:kern w:val="0"/>
          <w:sz w:val="24"/>
        </w:rPr>
        <w:t>或商业汇票支付给乙方。</w:t>
      </w:r>
    </w:p>
    <w:p w14:paraId="4D9477D4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2DCE9BC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C5D1BC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ECCCCE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40E3718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4F83C1B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784286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017456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D4E719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1745737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8F506D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2547A151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1D0EAC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53EC2D6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B6CD1F0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上海明芳汽车零件有限公司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36217FF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765B15A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6B982A7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454191B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8910151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3114282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7EB279FB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8DE84C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E722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28D19990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E4C49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C228E"/>
    <w:rsid w:val="00CE2D73"/>
    <w:rsid w:val="00D25355"/>
    <w:rsid w:val="00D539E4"/>
    <w:rsid w:val="00D85CBE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23F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5C375FE"/>
    <w:rsid w:val="0A8A693C"/>
    <w:rsid w:val="39810D86"/>
    <w:rsid w:val="582E1F5F"/>
    <w:rsid w:val="5E7D4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1211</Characters>
  <Lines>11</Lines>
  <Paragraphs>3</Paragraphs>
  <TotalTime>1</TotalTime>
  <ScaleCrop>false</ScaleCrop>
  <LinksUpToDate>false</LinksUpToDate>
  <CharactersWithSpaces>1462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2025-07-14T03:24:02Z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9C9C5F910F7249A696508781512EB1D5_12</vt:lpwstr>
  </property>
</Properties>
</file>