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新宋体" w:hAnsi="新宋体" w:eastAsia="新宋体"/>
          <w:szCs w:val="21"/>
        </w:rPr>
      </w:pPr>
    </w:p>
    <w:p>
      <w:pPr>
        <w:rPr>
          <w:rFonts w:ascii="新宋体" w:hAnsi="新宋体" w:eastAsia="新宋体"/>
          <w:szCs w:val="21"/>
        </w:rPr>
      </w:pPr>
    </w:p>
    <w:p>
      <w:pPr>
        <w:rPr>
          <w:rFonts w:ascii="新宋体" w:hAnsi="新宋体" w:eastAsia="新宋体"/>
          <w:szCs w:val="21"/>
        </w:rPr>
      </w:pPr>
    </w:p>
    <w:p>
      <w:pPr>
        <w:rPr>
          <w:rFonts w:ascii="新宋体" w:hAnsi="新宋体" w:eastAsia="新宋体"/>
          <w:szCs w:val="21"/>
        </w:rPr>
      </w:pPr>
    </w:p>
    <w:p/>
    <w:p/>
    <w:p/>
    <w:p/>
    <w:p/>
    <w:p/>
    <w:p/>
    <w:p/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北京光华荣昌汽车部件有限公司</w:t>
      </w:r>
    </w:p>
    <w:p>
      <w:pPr>
        <w:jc w:val="center"/>
        <w:rPr>
          <w:rFonts w:ascii="黑体" w:eastAsia="黑体"/>
          <w:b/>
          <w:sz w:val="44"/>
          <w:szCs w:val="44"/>
        </w:rPr>
      </w:pPr>
    </w:p>
    <w:p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立项报告</w:t>
      </w:r>
    </w:p>
    <w:p>
      <w:pPr>
        <w:rPr>
          <w:rFonts w:ascii="黑体" w:eastAsia="黑体"/>
          <w:b/>
          <w:sz w:val="32"/>
          <w:szCs w:val="32"/>
        </w:rPr>
      </w:pPr>
    </w:p>
    <w:p>
      <w:pPr>
        <w:rPr>
          <w:rFonts w:ascii="黑体" w:eastAsia="黑体"/>
          <w:b/>
          <w:sz w:val="32"/>
          <w:szCs w:val="32"/>
        </w:rPr>
      </w:pPr>
    </w:p>
    <w:p>
      <w:pPr>
        <w:rPr>
          <w:rFonts w:ascii="黑体" w:eastAsia="黑体"/>
          <w:b/>
          <w:sz w:val="32"/>
          <w:szCs w:val="32"/>
        </w:rPr>
      </w:pPr>
    </w:p>
    <w:p>
      <w:pPr>
        <w:rPr>
          <w:rFonts w:ascii="黑体" w:eastAsia="黑体"/>
          <w:b/>
          <w:sz w:val="32"/>
          <w:szCs w:val="32"/>
        </w:rPr>
      </w:pPr>
    </w:p>
    <w:p>
      <w:pPr>
        <w:rPr>
          <w:rFonts w:ascii="黑体" w:eastAsia="黑体"/>
          <w:b/>
          <w:sz w:val="32"/>
          <w:szCs w:val="32"/>
        </w:rPr>
      </w:pPr>
    </w:p>
    <w:p>
      <w:pPr>
        <w:rPr>
          <w:rFonts w:ascii="黑体" w:eastAsia="黑体"/>
          <w:b/>
          <w:sz w:val="32"/>
          <w:szCs w:val="32"/>
        </w:rPr>
      </w:pPr>
    </w:p>
    <w:p>
      <w:pPr>
        <w:rPr>
          <w:rFonts w:ascii="黑体" w:eastAsia="黑体"/>
          <w:b/>
          <w:sz w:val="32"/>
          <w:szCs w:val="32"/>
        </w:rPr>
      </w:pPr>
    </w:p>
    <w:p>
      <w:pPr>
        <w:rPr>
          <w:rFonts w:ascii="黑体" w:eastAsia="黑体"/>
          <w:b/>
          <w:sz w:val="32"/>
          <w:szCs w:val="32"/>
        </w:rPr>
      </w:pPr>
    </w:p>
    <w:p>
      <w:pPr>
        <w:rPr>
          <w:rFonts w:ascii="黑体" w:eastAsia="黑体"/>
          <w:b/>
          <w:sz w:val="32"/>
          <w:szCs w:val="32"/>
        </w:rPr>
      </w:pPr>
    </w:p>
    <w:p>
      <w:pPr>
        <w:ind w:firstLine="630" w:firstLineChars="196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项目名称</w:t>
      </w:r>
      <w:r>
        <w:rPr>
          <w:rFonts w:ascii="黑体" w:eastAsia="黑体"/>
          <w:b/>
          <w:sz w:val="32"/>
          <w:szCs w:val="32"/>
        </w:rPr>
        <w:t xml:space="preserve">  </w:t>
      </w:r>
      <w:r>
        <w:rPr>
          <w:rFonts w:hint="eastAsia" w:ascii="黑体" w:eastAsia="黑体"/>
          <w:b/>
          <w:sz w:val="32"/>
          <w:szCs w:val="32"/>
        </w:rPr>
        <w:t>：轻卡气囊减震平台及应用座椅项目</w:t>
      </w:r>
    </w:p>
    <w:p>
      <w:pPr>
        <w:ind w:firstLine="630" w:firstLineChars="196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项目负责人：吴孝伟</w:t>
      </w:r>
    </w:p>
    <w:p>
      <w:pPr>
        <w:ind w:firstLine="630" w:firstLineChars="196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项目起止时间：2020年7月1日--2022年12月31日</w:t>
      </w:r>
    </w:p>
    <w:tbl>
      <w:tblPr>
        <w:tblStyle w:val="5"/>
        <w:tblW w:w="949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一、项目简介、立项目的及组织实施方式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近几年，国内轻卡市场异军突起，各大商用车主机厂销量直线飙升，且呈现轻卡高端化的趋势。为夺回国内轻卡市场份额，公司拟定了从高端轻卡市场切入的经营战略。为此经过客户的走访及轻卡销量的市场调研，拟定了开发轻卡气囊减震平台的技术方案，以此核心技术为基础，适配各主机厂轻卡车身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进行各主机厂</w:t>
            </w:r>
            <w:r>
              <w:rPr>
                <w:sz w:val="24"/>
              </w:rPr>
              <w:t>外观造型</w:t>
            </w:r>
            <w:r>
              <w:rPr>
                <w:rFonts w:hint="eastAsia"/>
                <w:sz w:val="24"/>
              </w:rPr>
              <w:t>设计、</w:t>
            </w:r>
            <w:r>
              <w:rPr>
                <w:sz w:val="24"/>
              </w:rPr>
              <w:t>车身</w:t>
            </w:r>
            <w:r>
              <w:rPr>
                <w:rFonts w:hint="eastAsia"/>
                <w:sz w:val="24"/>
              </w:rPr>
              <w:t>底板</w:t>
            </w:r>
            <w:r>
              <w:rPr>
                <w:sz w:val="24"/>
              </w:rPr>
              <w:t>结构</w:t>
            </w:r>
            <w:r>
              <w:rPr>
                <w:rFonts w:hint="eastAsia"/>
                <w:sz w:val="24"/>
              </w:rPr>
              <w:t>及配置要求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 xml:space="preserve">进行了适配性开发，同时可满足各大主机厂轻卡高端车型的车身环境及配置要求。   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开发</w:t>
            </w:r>
            <w:r>
              <w:rPr>
                <w:sz w:val="24"/>
              </w:rPr>
              <w:t>工作</w:t>
            </w:r>
            <w:r>
              <w:rPr>
                <w:rFonts w:hint="eastAsia"/>
                <w:sz w:val="24"/>
              </w:rPr>
              <w:t>主要内容包括气囊减震平台的设计开发、泡沫及橡塑件</w:t>
            </w:r>
            <w:r>
              <w:rPr>
                <w:sz w:val="24"/>
              </w:rPr>
              <w:t>外观造型设计、表皮设计、</w:t>
            </w:r>
            <w:r>
              <w:rPr>
                <w:rFonts w:hint="eastAsia"/>
                <w:sz w:val="24"/>
              </w:rPr>
              <w:t>车身</w:t>
            </w:r>
            <w:r>
              <w:rPr>
                <w:sz w:val="24"/>
              </w:rPr>
              <w:t>连接结构设计、各功能模块如通风、加热、按摩的开发、匹配及测试验证</w:t>
            </w:r>
            <w:r>
              <w:rPr>
                <w:rFonts w:hint="eastAsia"/>
                <w:sz w:val="24"/>
              </w:rPr>
              <w:t>。开发产品</w:t>
            </w:r>
            <w:r>
              <w:rPr>
                <w:sz w:val="24"/>
              </w:rPr>
              <w:t>主要</w:t>
            </w:r>
            <w:r>
              <w:rPr>
                <w:rFonts w:hint="eastAsia"/>
                <w:sz w:val="24"/>
              </w:rPr>
              <w:t>匹配</w:t>
            </w:r>
            <w:r>
              <w:rPr>
                <w:sz w:val="24"/>
              </w:rPr>
              <w:t>的</w:t>
            </w:r>
            <w:r>
              <w:rPr>
                <w:rFonts w:hint="eastAsia"/>
                <w:sz w:val="24"/>
              </w:rPr>
              <w:t>主机厂车型</w:t>
            </w:r>
            <w:r>
              <w:rPr>
                <w:sz w:val="24"/>
              </w:rPr>
              <w:t>如下：</w:t>
            </w:r>
            <w:r>
              <w:rPr>
                <w:rFonts w:hint="eastAsia"/>
                <w:sz w:val="24"/>
              </w:rPr>
              <w:t xml:space="preserve"> 一汽解放（青岛）J</w:t>
            </w:r>
            <w:r>
              <w:rPr>
                <w:sz w:val="24"/>
              </w:rPr>
              <w:t>7F</w:t>
            </w:r>
            <w:r>
              <w:rPr>
                <w:rFonts w:hint="eastAsia"/>
                <w:sz w:val="24"/>
              </w:rPr>
              <w:t>系列车型、济南重汽统帅系列轻卡车型、北汽福田奥杰车型、重庆铁马武警车、M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中期改款车型等。</w:t>
            </w:r>
          </w:p>
          <w:p>
            <w:pPr>
              <w:spacing w:line="360" w:lineRule="auto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</w:rPr>
              <w:t>该项目气囊减震模块由工程研究院自主立项正向开发，在功能性耐久试验通过后，结合其它模块的开发，在各主机厂车型上进行应用。开发总体目标要求为产品质量稳定可靠，以舒适性及性能优势占领国内高端轻卡市场。该项目在公司技术副总经理的领导下，公司项目部门抽调一名专业项目经理，并组织研发人员</w:t>
            </w:r>
            <w:r>
              <w:rPr>
                <w:sz w:val="24"/>
              </w:rPr>
              <w:t>22</w:t>
            </w:r>
            <w:r>
              <w:rPr>
                <w:rFonts w:hint="eastAsia"/>
                <w:sz w:val="24"/>
              </w:rPr>
              <w:t>人，按照公司设计开发控制程序及相关管理文件，从项目预研，启动、策划、执行，监控，收尾6个方面展开项目开发工作。项目开发周期预计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</w:rPr>
              <w:t>个月，</w:t>
            </w:r>
            <w:r>
              <w:rPr>
                <w:rFonts w:hint="eastAsia"/>
                <w:sz w:val="24"/>
                <w:highlight w:val="yellow"/>
              </w:rPr>
              <w:t>预计的研发费用投入为</w:t>
            </w:r>
            <w:r>
              <w:rPr>
                <w:sz w:val="24"/>
                <w:highlight w:val="yellow"/>
              </w:rPr>
              <w:t>1300</w:t>
            </w:r>
            <w:r>
              <w:rPr>
                <w:rFonts w:hint="eastAsia"/>
                <w:sz w:val="24"/>
                <w:highlight w:val="yellow"/>
              </w:rPr>
              <w:t>万元，</w:t>
            </w:r>
            <w:r>
              <w:rPr>
                <w:rFonts w:hint="eastAsia"/>
                <w:sz w:val="24"/>
              </w:rPr>
              <w:t>项目投产后预计产品生命周期3年内实现销售输入</w:t>
            </w:r>
            <w:r>
              <w:rPr>
                <w:sz w:val="24"/>
              </w:rPr>
              <w:t>10.5</w:t>
            </w:r>
            <w:r>
              <w:rPr>
                <w:rFonts w:hint="eastAsia"/>
                <w:sz w:val="24"/>
              </w:rPr>
              <w:t>亿，净利润</w:t>
            </w:r>
            <w:r>
              <w:rPr>
                <w:sz w:val="24"/>
              </w:rPr>
              <w:t>1.5</w:t>
            </w:r>
            <w:r>
              <w:rPr>
                <w:rFonts w:hint="eastAsia"/>
                <w:sz w:val="24"/>
              </w:rPr>
              <w:t>亿元。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二、项目的技术内容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1、振动性能：座椅的加速度传递特性的传递率A不大于1.0，共振频率 f0 在2HZ～4HZ的范围内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2、座椅舒适性参数：气囊减震模块可实现±20mm的适应性调节，可减少或消除驾驶员对颠簸路段的感知，保证驾驶员行驶的平顺性及稳定性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3、电控性能参数：所有电控开关，耐久操作5000次功能正常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4、座椅靠背调节参数：向前折叠放平，向后180°放平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5、前后调整行程(mm)：max：180mm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6、可靠性指标：平均首次故障里程≥30万公里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7、座椅总成振动耐久性：5万公里综合路试，零件无变形、破损，无部件脱落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三、项目的技术创新点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spacing w:line="360" w:lineRule="auto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四、项目实施进度安排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spacing w:line="360" w:lineRule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/>
                <w:sz w:val="24"/>
              </w:rPr>
              <w:t>2</w:t>
            </w:r>
            <w:r>
              <w:rPr>
                <w:rFonts w:ascii="宋体"/>
                <w:sz w:val="24"/>
              </w:rPr>
              <w:t xml:space="preserve">020.7—2021.9 </w:t>
            </w:r>
            <w:r>
              <w:rPr>
                <w:rFonts w:hint="eastAsia" w:ascii="宋体"/>
                <w:sz w:val="24"/>
              </w:rPr>
              <w:t>轻卡市场座椅需求调研及可行性分析</w:t>
            </w:r>
            <w:r>
              <w:rPr>
                <w:rFonts w:hint="eastAsia" w:ascii="宋体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/>
                <w:sz w:val="24"/>
              </w:rPr>
              <w:t>2</w:t>
            </w:r>
            <w:r>
              <w:rPr>
                <w:rFonts w:ascii="宋体"/>
                <w:sz w:val="24"/>
              </w:rPr>
              <w:t xml:space="preserve">020.10—2020.12 </w:t>
            </w:r>
            <w:r>
              <w:rPr>
                <w:rFonts w:hint="eastAsia" w:ascii="宋体"/>
                <w:sz w:val="24"/>
              </w:rPr>
              <w:t>气囊减震模块技术开发方案确定,</w:t>
            </w:r>
            <w:r>
              <w:rPr>
                <w:rFonts w:ascii="宋体"/>
                <w:sz w:val="24"/>
              </w:rPr>
              <w:t>3D</w:t>
            </w:r>
            <w:r>
              <w:rPr>
                <w:rFonts w:hint="eastAsia" w:ascii="宋体"/>
                <w:sz w:val="24"/>
              </w:rPr>
              <w:t>数据方案冻结</w:t>
            </w:r>
            <w:r>
              <w:rPr>
                <w:rFonts w:hint="eastAsia" w:ascii="宋体"/>
                <w:sz w:val="24"/>
                <w:lang w:eastAsia="zh-CN"/>
              </w:rPr>
              <w:t>。</w:t>
            </w:r>
          </w:p>
          <w:p>
            <w:pPr>
              <w:pStyle w:val="8"/>
              <w:widowControl w:val="0"/>
              <w:ind w:firstLine="0"/>
              <w:jc w:val="left"/>
              <w:rPr>
                <w:rFonts w:hint="eastAsia" w:ascii="宋体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/>
                <w:sz w:val="24"/>
              </w:rPr>
              <w:t>2</w:t>
            </w:r>
            <w:r>
              <w:rPr>
                <w:rFonts w:ascii="宋体"/>
                <w:sz w:val="24"/>
              </w:rPr>
              <w:t xml:space="preserve">021.1--2021.6  </w:t>
            </w:r>
            <w:r>
              <w:rPr>
                <w:rFonts w:hint="eastAsia" w:ascii="宋体"/>
                <w:sz w:val="24"/>
              </w:rPr>
              <w:t>气囊减震模块工装开发及工装件确认，功能耐久验证完成</w:t>
            </w:r>
            <w:r>
              <w:rPr>
                <w:rFonts w:hint="eastAsia" w:ascii="宋体"/>
                <w:sz w:val="24"/>
                <w:lang w:eastAsia="zh-CN"/>
              </w:rPr>
              <w:t>。</w:t>
            </w:r>
          </w:p>
          <w:p>
            <w:pPr>
              <w:pStyle w:val="8"/>
              <w:widowControl w:val="0"/>
              <w:ind w:left="381" w:leftChars="10" w:hanging="360" w:hangingChars="150"/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hint="eastAsia" w:ascii="宋体"/>
                <w:sz w:val="24"/>
                <w:szCs w:val="24"/>
              </w:rPr>
              <w:t>2</w:t>
            </w:r>
            <w:r>
              <w:rPr>
                <w:rFonts w:ascii="宋体"/>
                <w:sz w:val="24"/>
                <w:szCs w:val="24"/>
              </w:rPr>
              <w:t xml:space="preserve">021.7—2021.12  </w:t>
            </w:r>
            <w:r>
              <w:rPr>
                <w:rFonts w:hint="eastAsia" w:ascii="宋体"/>
                <w:sz w:val="24"/>
                <w:szCs w:val="24"/>
              </w:rPr>
              <w:t>适配一汽青岛解放J</w:t>
            </w:r>
            <w:r>
              <w:rPr>
                <w:rFonts w:ascii="宋体"/>
                <w:sz w:val="24"/>
                <w:szCs w:val="24"/>
              </w:rPr>
              <w:t>7F</w:t>
            </w:r>
            <w:r>
              <w:rPr>
                <w:rFonts w:hint="eastAsia" w:ascii="宋体"/>
                <w:sz w:val="24"/>
                <w:szCs w:val="24"/>
              </w:rPr>
              <w:t>系列车型、济南重汽统帅系列车型、奥杰车型并完成整椅造型、骨架、注塑件、电控及气阀类各模块的工装模具开发与验证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8"/>
              <w:widowControl w:val="0"/>
              <w:ind w:left="381" w:leftChars="10" w:hanging="360" w:hangingChars="150"/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ascii="宋体"/>
                <w:sz w:val="24"/>
                <w:szCs w:val="24"/>
              </w:rPr>
              <w:t>5</w:t>
            </w:r>
            <w:r>
              <w:rPr>
                <w:rFonts w:hint="eastAsia" w:ascii="宋体"/>
                <w:sz w:val="24"/>
                <w:szCs w:val="24"/>
              </w:rPr>
              <w:t>、2</w:t>
            </w:r>
            <w:r>
              <w:rPr>
                <w:rFonts w:ascii="宋体"/>
                <w:sz w:val="24"/>
                <w:szCs w:val="24"/>
              </w:rPr>
              <w:t xml:space="preserve">022.1—2022.3  </w:t>
            </w:r>
            <w:r>
              <w:rPr>
                <w:rFonts w:hint="eastAsia" w:ascii="宋体"/>
                <w:sz w:val="24"/>
                <w:szCs w:val="24"/>
              </w:rPr>
              <w:t>一汽解放</w:t>
            </w:r>
            <w:r>
              <w:rPr>
                <w:rFonts w:ascii="宋体"/>
                <w:sz w:val="24"/>
                <w:szCs w:val="24"/>
              </w:rPr>
              <w:t>J7F</w:t>
            </w:r>
            <w:r>
              <w:rPr>
                <w:rFonts w:hint="eastAsia" w:ascii="宋体"/>
                <w:sz w:val="24"/>
                <w:szCs w:val="24"/>
              </w:rPr>
              <w:t>系列车型、济南重汽统帅系列车型、奥杰车型的试生产验证，产品交付生产系统，生产跟踪。同步适配重庆铁马武警军车、北汽福田M</w:t>
            </w:r>
            <w:r>
              <w:rPr>
                <w:rFonts w:ascii="宋体"/>
                <w:sz w:val="24"/>
                <w:szCs w:val="24"/>
              </w:rPr>
              <w:t>4</w:t>
            </w:r>
            <w:r>
              <w:rPr>
                <w:rFonts w:hint="eastAsia" w:ascii="宋体"/>
                <w:sz w:val="24"/>
                <w:szCs w:val="24"/>
              </w:rPr>
              <w:t>中期改款车型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8"/>
              <w:widowControl w:val="0"/>
              <w:ind w:firstLine="0"/>
              <w:jc w:val="left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6</w:t>
            </w:r>
            <w:r>
              <w:rPr>
                <w:rFonts w:hint="eastAsia" w:ascii="宋体"/>
                <w:sz w:val="24"/>
                <w:szCs w:val="24"/>
              </w:rPr>
              <w:t>、2</w:t>
            </w:r>
            <w:r>
              <w:rPr>
                <w:rFonts w:ascii="宋体"/>
                <w:sz w:val="24"/>
                <w:szCs w:val="24"/>
              </w:rPr>
              <w:t xml:space="preserve">022.4--2022.12  </w:t>
            </w:r>
            <w:r>
              <w:rPr>
                <w:rFonts w:hint="eastAsia" w:ascii="宋体"/>
                <w:sz w:val="24"/>
                <w:szCs w:val="24"/>
              </w:rPr>
              <w:t>完成重庆铁马武警军车、北汽福田M</w:t>
            </w:r>
            <w:r>
              <w:rPr>
                <w:rFonts w:ascii="宋体"/>
                <w:sz w:val="24"/>
                <w:szCs w:val="24"/>
              </w:rPr>
              <w:t>4</w:t>
            </w:r>
            <w:r>
              <w:rPr>
                <w:rFonts w:hint="eastAsia" w:ascii="宋体"/>
                <w:sz w:val="24"/>
                <w:szCs w:val="24"/>
              </w:rPr>
              <w:t>中期改款车型的工装模具开发、试验验证、生产过程确认并进行产品交付生产系统，实现批产。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五、与同类产品（服务）的竞争优势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pStyle w:val="8"/>
              <w:widowControl w:val="0"/>
              <w:ind w:left="360" w:hanging="360" w:hangingChars="15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、过程制造优势：</w:t>
            </w:r>
            <w:r>
              <w:rPr>
                <w:rFonts w:hint="eastAsia" w:ascii="宋体"/>
                <w:sz w:val="24"/>
                <w:szCs w:val="24"/>
              </w:rPr>
              <w:t>公司经过几十年的汽车零部件制造经验积累，已具备除调角器、滑轨外的其它所有零件的生产制造能力，焊接工序全部实现了机械手焊接，且公司拥有先进的喷涂生产线设备，并可实现产品下线前的自动化检测，可完全满足客户对产品的质量要求；</w:t>
            </w:r>
          </w:p>
          <w:p>
            <w:pPr>
              <w:pStyle w:val="8"/>
              <w:widowControl w:val="0"/>
              <w:ind w:left="360" w:hanging="360" w:hangingChars="15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hint="eastAsia" w:ascii="宋体"/>
                <w:sz w:val="24"/>
                <w:szCs w:val="24"/>
              </w:rPr>
              <w:t>设计成本优势：开发的价值版底座模块化总成在前期市场调研的基础上，与市场同配置座椅进行了比较分析，在</w:t>
            </w:r>
            <w:r>
              <w:rPr>
                <w:rFonts w:ascii="宋体"/>
                <w:sz w:val="24"/>
                <w:szCs w:val="24"/>
              </w:rPr>
              <w:t>3D</w:t>
            </w:r>
            <w:r>
              <w:rPr>
                <w:rFonts w:hint="eastAsia" w:ascii="宋体"/>
                <w:sz w:val="24"/>
                <w:szCs w:val="24"/>
              </w:rPr>
              <w:t>模型的基础上，进行了C</w:t>
            </w:r>
            <w:r>
              <w:rPr>
                <w:rFonts w:ascii="宋体"/>
                <w:sz w:val="24"/>
                <w:szCs w:val="24"/>
              </w:rPr>
              <w:t>AE</w:t>
            </w:r>
            <w:r>
              <w:rPr>
                <w:rFonts w:hint="eastAsia" w:ascii="宋体"/>
                <w:sz w:val="24"/>
                <w:szCs w:val="24"/>
              </w:rPr>
              <w:t>详细分析，在满足1</w:t>
            </w:r>
            <w:r>
              <w:rPr>
                <w:rFonts w:ascii="宋体"/>
                <w:sz w:val="24"/>
                <w:szCs w:val="24"/>
              </w:rPr>
              <w:t>20%</w:t>
            </w:r>
            <w:r>
              <w:rPr>
                <w:rFonts w:hint="eastAsia" w:ascii="宋体"/>
                <w:sz w:val="24"/>
                <w:szCs w:val="24"/>
              </w:rPr>
              <w:t>强度要求的前提下，尽可能的优化结构设计，将产品重量尽可能降到了最低。</w:t>
            </w:r>
          </w:p>
          <w:p>
            <w:pPr>
              <w:pStyle w:val="8"/>
              <w:widowControl w:val="0"/>
              <w:ind w:left="360" w:hanging="360" w:hangingChars="150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、过程开发优势：</w:t>
            </w:r>
            <w:r>
              <w:rPr>
                <w:rFonts w:hint="eastAsia" w:ascii="宋体"/>
                <w:sz w:val="24"/>
                <w:szCs w:val="24"/>
              </w:rPr>
              <w:t>公司具备市级企业中心，拥有1</w:t>
            </w:r>
            <w:r>
              <w:rPr>
                <w:rFonts w:ascii="宋体"/>
                <w:sz w:val="24"/>
                <w:szCs w:val="24"/>
              </w:rPr>
              <w:t>00</w:t>
            </w:r>
            <w:r>
              <w:rPr>
                <w:rFonts w:hint="eastAsia" w:ascii="宋体"/>
                <w:sz w:val="24"/>
                <w:szCs w:val="24"/>
              </w:rPr>
              <w:t>余人的技术开发团队，且内部实验室已通过国家C</w:t>
            </w:r>
            <w:r>
              <w:rPr>
                <w:rFonts w:ascii="宋体"/>
                <w:sz w:val="24"/>
                <w:szCs w:val="24"/>
              </w:rPr>
              <w:t>NAS</w:t>
            </w:r>
            <w:r>
              <w:rPr>
                <w:rFonts w:hint="eastAsia" w:ascii="宋体"/>
                <w:sz w:val="24"/>
                <w:szCs w:val="24"/>
              </w:rPr>
              <w:t>实验室认可，可实现D</w:t>
            </w:r>
            <w:r>
              <w:rPr>
                <w:rFonts w:ascii="宋体"/>
                <w:sz w:val="24"/>
                <w:szCs w:val="24"/>
              </w:rPr>
              <w:t>VP</w:t>
            </w:r>
            <w:r>
              <w:rPr>
                <w:rFonts w:hint="eastAsia" w:ascii="宋体"/>
                <w:sz w:val="24"/>
                <w:szCs w:val="24"/>
              </w:rPr>
              <w:t>试验的自我试验验证，满足产品开发的先期质量策划得到充分验证。</w:t>
            </w:r>
          </w:p>
          <w:p>
            <w:pPr>
              <w:pStyle w:val="8"/>
              <w:widowControl w:val="0"/>
              <w:ind w:left="360" w:hanging="360" w:hangingChars="15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hint="eastAsia" w:ascii="宋体"/>
                <w:sz w:val="24"/>
                <w:szCs w:val="24"/>
              </w:rPr>
              <w:t>市场优势：该项目的主要应用市场为一汽解放商用车、济南重汽商用车、陕汽商用车市场，目前公司已在此三个市场耕耘多年，建立了稳定长期的业务合作关系，开发成功后，通过质量及价格优势，可市场目标车型的快速切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p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六、项目参加人员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9498" w:type="dxa"/>
          </w:tcPr>
          <w:tbl>
            <w:tblPr>
              <w:tblStyle w:val="5"/>
              <w:tblW w:w="9234" w:type="dxa"/>
              <w:tblInd w:w="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8"/>
              <w:gridCol w:w="992"/>
              <w:gridCol w:w="2552"/>
              <w:gridCol w:w="1985"/>
              <w:gridCol w:w="297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7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20" w:lineRule="exact"/>
                    <w:jc w:val="center"/>
                    <w:rPr>
                      <w:rFonts w:ascii="宋体"/>
                      <w:spacing w:val="-20"/>
                      <w:sz w:val="24"/>
                    </w:rPr>
                  </w:pPr>
                  <w:r>
                    <w:rPr>
                      <w:rFonts w:hint="eastAsia" w:ascii="宋体"/>
                      <w:spacing w:val="-20"/>
                      <w:sz w:val="24"/>
                    </w:rPr>
                    <w:t>序</w:t>
                  </w:r>
                  <w:r>
                    <w:rPr>
                      <w:rFonts w:ascii="宋体"/>
                      <w:spacing w:val="-20"/>
                      <w:sz w:val="24"/>
                    </w:rPr>
                    <w:t xml:space="preserve"> </w:t>
                  </w:r>
                  <w:r>
                    <w:rPr>
                      <w:rFonts w:hint="eastAsia" w:ascii="宋体"/>
                      <w:spacing w:val="-20"/>
                      <w:sz w:val="24"/>
                    </w:rPr>
                    <w:t>号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hint="eastAsia" w:ascii="宋体"/>
                      <w:sz w:val="24"/>
                    </w:rPr>
                    <w:t>姓</w:t>
                  </w:r>
                  <w:r>
                    <w:rPr>
                      <w:rFonts w:ascii="宋体"/>
                      <w:sz w:val="24"/>
                    </w:rPr>
                    <w:t xml:space="preserve"> </w:t>
                  </w:r>
                  <w:r>
                    <w:rPr>
                      <w:rFonts w:hint="eastAsia" w:ascii="宋体"/>
                      <w:sz w:val="24"/>
                    </w:rPr>
                    <w:t>名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hint="eastAsia" w:ascii="宋体"/>
                      <w:sz w:val="24"/>
                    </w:rPr>
                    <w:t>职务</w:t>
                  </w:r>
                  <w:r>
                    <w:rPr>
                      <w:rFonts w:ascii="宋体"/>
                      <w:sz w:val="24"/>
                    </w:rPr>
                    <w:t>/</w:t>
                  </w:r>
                  <w:r>
                    <w:rPr>
                      <w:rFonts w:hint="eastAsia" w:ascii="宋体"/>
                      <w:sz w:val="24"/>
                    </w:rPr>
                    <w:t>职称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hint="eastAsia" w:ascii="宋体"/>
                      <w:sz w:val="24"/>
                    </w:rPr>
                    <w:t>专业领域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hint="eastAsia" w:ascii="宋体"/>
                      <w:sz w:val="24"/>
                    </w:rPr>
                    <w:t>负责工作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吴孝伟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项目经理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项目管理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项目开发工作的整体管理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孙国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设计工程师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模块设计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底座模块化设计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张磊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设计工程师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整椅设计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整椅设计匹配&amp;</w:t>
                  </w:r>
                  <w:r>
                    <w:rPr>
                      <w:sz w:val="24"/>
                    </w:rPr>
                    <w:t>DVP</w:t>
                  </w:r>
                  <w:r>
                    <w:rPr>
                      <w:rFonts w:hint="eastAsia"/>
                      <w:sz w:val="24"/>
                    </w:rPr>
                    <w:t>签发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董启辉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设计工程师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气阀设计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整椅气路气阀的设计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张令超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设计工程师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电控设计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通风加热E</w:t>
                  </w:r>
                  <w:r>
                    <w:rPr>
                      <w:sz w:val="24"/>
                    </w:rPr>
                    <w:t>CU</w:t>
                  </w:r>
                  <w:r>
                    <w:rPr>
                      <w:rFonts w:hint="eastAsia"/>
                      <w:sz w:val="24"/>
                    </w:rPr>
                    <w:t>电控设计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董帅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总装工艺工程师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总装工艺工程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总装工艺规划已实施验证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李伟勇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冲压工艺工程师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冲压工艺工程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冲压工艺规划已实施验证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孙建宁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焊接工艺工程师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焊接工艺工程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焊接工艺规划已实施验证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倪建恒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发泡工艺工程师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发泡工艺工程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发泡工艺规划已实施验证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杨帆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包装工艺工程师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物流包装工艺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包装工艺规划已实施验证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林涛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前期质量工程师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开发质量管理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质量的先期策划与验证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王熙龙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S</w:t>
                  </w:r>
                  <w:r>
                    <w:rPr>
                      <w:sz w:val="24"/>
                    </w:rPr>
                    <w:t>QE</w:t>
                  </w:r>
                  <w:r>
                    <w:rPr>
                      <w:rFonts w:hint="eastAsia"/>
                      <w:sz w:val="24"/>
                    </w:rPr>
                    <w:t>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供应商质量管理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供应商质量管理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祁翔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试验工程师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试验验证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D</w:t>
                  </w:r>
                  <w:r>
                    <w:rPr>
                      <w:sz w:val="24"/>
                    </w:rPr>
                    <w:t>VP</w:t>
                  </w:r>
                  <w:r>
                    <w:rPr>
                      <w:rFonts w:hint="eastAsia"/>
                      <w:sz w:val="24"/>
                    </w:rPr>
                    <w:t>的内部试验验证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邢焕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产品认证工程师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外部产品认证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强检与3</w:t>
                  </w:r>
                  <w:r>
                    <w:rPr>
                      <w:sz w:val="24"/>
                    </w:rPr>
                    <w:t>C</w:t>
                  </w:r>
                  <w:r>
                    <w:rPr>
                      <w:rFonts w:hint="eastAsia"/>
                      <w:sz w:val="24"/>
                    </w:rPr>
                    <w:t>的外部认证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邓春博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骨架试制技师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骨架试制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骨架手钣件的试制验证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高卫峰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面套样板专家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面套样板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面套样板的试做与验证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赵杰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造型设计工程师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造型设计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外观造型设计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吴英各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前期采购工程师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金属件采购管理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金属件的采购管理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9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纪内蒙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前期采购工程师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非金属采购管理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非金属件的采购管理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2</w:t>
                  </w:r>
                  <w:r>
                    <w:rPr>
                      <w:sz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郜健康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注塑模具工程师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注塑工艺工程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注塑工艺规划已实施验证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21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王冠宇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面套工艺质量工程师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面套工艺质量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面套工艺质量规划与验证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" w:hRule="atLeast"/>
              </w:trPr>
              <w:tc>
                <w:tcPr>
                  <w:tcW w:w="72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22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王婷</w:t>
                  </w:r>
                </w:p>
              </w:tc>
              <w:tc>
                <w:tcPr>
                  <w:tcW w:w="25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BOM</w:t>
                  </w:r>
                  <w:r>
                    <w:rPr>
                      <w:rFonts w:hint="eastAsia"/>
                      <w:sz w:val="24"/>
                    </w:rPr>
                    <w:t>工程师</w:t>
                  </w:r>
                </w:p>
              </w:tc>
              <w:tc>
                <w:tcPr>
                  <w:tcW w:w="19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B</w:t>
                  </w:r>
                  <w:r>
                    <w:rPr>
                      <w:sz w:val="24"/>
                    </w:rPr>
                    <w:t>OM</w:t>
                  </w:r>
                  <w:r>
                    <w:rPr>
                      <w:rFonts w:hint="eastAsia"/>
                      <w:sz w:val="24"/>
                    </w:rPr>
                    <w:t>管理</w:t>
                  </w:r>
                </w:p>
              </w:tc>
              <w:tc>
                <w:tcPr>
                  <w:tcW w:w="29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Q</w:t>
                  </w:r>
                  <w:r>
                    <w:rPr>
                      <w:sz w:val="24"/>
                    </w:rPr>
                    <w:t>AD</w:t>
                  </w:r>
                  <w:r>
                    <w:rPr>
                      <w:rFonts w:hint="eastAsia"/>
                      <w:sz w:val="24"/>
                    </w:rPr>
                    <w:t>系统搭建与维护</w:t>
                  </w:r>
                </w:p>
              </w:tc>
            </w:tr>
          </w:tbl>
          <w:p>
            <w:pPr>
              <w:rPr>
                <w:rFonts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9498" w:type="dxa"/>
          </w:tcPr>
          <w:p>
            <w:pPr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bCs/>
                <w:sz w:val="32"/>
                <w:szCs w:val="32"/>
              </w:rPr>
              <w:t>七、经费支出明细预算表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9498" w:type="dxa"/>
          </w:tcPr>
          <w:p>
            <w:pPr>
              <w:jc w:val="right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单位：万元</w:t>
            </w:r>
          </w:p>
          <w:tbl>
            <w:tblPr>
              <w:tblStyle w:val="5"/>
              <w:tblW w:w="8272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849"/>
              <w:gridCol w:w="1560"/>
              <w:gridCol w:w="1417"/>
              <w:gridCol w:w="1446"/>
            </w:tblGrid>
            <w:tr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241" w:firstLineChars="100"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科目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20</w:t>
                  </w:r>
                  <w:r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20</w:t>
                  </w:r>
                  <w:r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21</w:t>
                  </w: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20</w:t>
                  </w:r>
                  <w:r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22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241" w:firstLineChars="100"/>
                    <w:jc w:val="left"/>
                    <w:textAlignment w:val="center"/>
                    <w:rPr>
                      <w:rFonts w:ascii="宋体" w:hAnsi="宋体" w:cs="宋体"/>
                      <w:b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内部研究开发投入额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240" w:firstLineChars="100"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其中：人员人工费用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color w:val="000000"/>
                      <w:sz w:val="24"/>
                    </w:rPr>
                    <w:t>68</w:t>
                  </w: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3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24</w:t>
                  </w: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268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720" w:firstLineChars="300"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直接投入费用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246</w:t>
                  </w: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268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720" w:firstLineChars="300"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折旧费用与长期费用摊销费用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720" w:firstLineChars="300"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无形资产摊销费用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720" w:firstLineChars="300"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设计费用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35</w:t>
                  </w: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32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720" w:firstLineChars="300"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装备调试费与试验费用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24</w:t>
                  </w: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18</w:t>
                  </w: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720" w:firstLineChars="300"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其他费用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241" w:firstLineChars="100"/>
                    <w:jc w:val="left"/>
                    <w:textAlignment w:val="center"/>
                    <w:rPr>
                      <w:rFonts w:ascii="宋体" w:hAnsi="宋体" w:cs="宋体"/>
                      <w:b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委托外部研究开发投入额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240" w:firstLineChars="100"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其中:境内的外部研发投入额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240" w:firstLineChars="100"/>
                    <w:jc w:val="left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 xml:space="preserve">     境外的外部研发投入额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</w:p>
              </w:tc>
            </w:tr>
            <w:tr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35" w:hRule="atLeast"/>
                <w:jc w:val="center"/>
              </w:trPr>
              <w:tc>
                <w:tcPr>
                  <w:tcW w:w="384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241" w:firstLineChars="100"/>
                    <w:jc w:val="left"/>
                    <w:textAlignment w:val="center"/>
                    <w:rPr>
                      <w:rFonts w:ascii="宋体" w:hAnsi="宋体" w:cs="宋体"/>
                      <w:b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研究开发投入额(内、外部)小计</w:t>
                  </w:r>
                </w:p>
              </w:tc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b/>
                      <w:color w:val="000000"/>
                      <w:sz w:val="24"/>
                    </w:rPr>
                    <w:t>80</w:t>
                  </w:r>
                </w:p>
              </w:tc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6</w:t>
                  </w:r>
                  <w:r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29</w:t>
                  </w:r>
                </w:p>
              </w:tc>
              <w:tc>
                <w:tcPr>
                  <w:tcW w:w="144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586</w:t>
                  </w:r>
                </w:p>
              </w:tc>
            </w:tr>
          </w:tbl>
          <w:p>
            <w:pPr>
              <w:rPr>
                <w:rFonts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9498" w:type="dxa"/>
          </w:tcPr>
          <w:p>
            <w:pPr>
              <w:rPr>
                <w:rFonts w:ascii="黑体" w:eastAsia="黑体"/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黑体" w:eastAsia="黑体"/>
                <w:b/>
                <w:sz w:val="32"/>
                <w:szCs w:val="32"/>
              </w:rPr>
              <w:t>八、审批意见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9498" w:type="dxa"/>
          </w:tcPr>
          <w:tbl>
            <w:tblPr>
              <w:tblStyle w:val="6"/>
              <w:tblpPr w:leftFromText="180" w:rightFromText="180" w:vertAnchor="text" w:horzAnchor="page" w:tblpX="-24" w:tblpY="-7212"/>
              <w:tblOverlap w:val="never"/>
              <w:tblW w:w="949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9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39" w:hRule="atLeast"/>
              </w:trPr>
              <w:tc>
                <w:tcPr>
                  <w:tcW w:w="9493" w:type="dxa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  <w:t>技术部门意见：</w:t>
                  </w:r>
                </w:p>
                <w:p>
                  <w:pP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pStyle w:val="2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pStyle w:val="2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pStyle w:val="2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wordWrap w:val="0"/>
                    <w:spacing w:line="360" w:lineRule="auto"/>
                    <w:ind w:right="966" w:rightChars="460"/>
                    <w:jc w:val="center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                                      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  <w:t>技术负责人签字：</w:t>
                  </w:r>
                </w:p>
                <w:p>
                  <w:pPr>
                    <w:wordWrap w:val="0"/>
                    <w:spacing w:line="360" w:lineRule="auto"/>
                    <w:ind w:right="966" w:rightChars="460"/>
                    <w:jc w:val="right"/>
                    <w:rPr>
                      <w:rFonts w:hint="eastAsia" w:ascii="黑体" w:eastAsia="黑体"/>
                      <w:b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  年    月    日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黑体" w:eastAsia="黑体"/>
                      <w:b/>
                      <w:sz w:val="28"/>
                      <w:szCs w:val="28"/>
                      <w:vertAlign w:val="baseline"/>
                      <w:lang w:val="en-US" w:eastAsia="zh-CN"/>
                    </w:rPr>
                    <w:t xml:space="preserve">   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84" w:hRule="atLeast"/>
              </w:trPr>
              <w:tc>
                <w:tcPr>
                  <w:tcW w:w="9493" w:type="dxa"/>
                </w:tcPr>
                <w:p>
                  <w:pP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  <w:t>公司意见：</w:t>
                  </w:r>
                </w:p>
                <w:p>
                  <w:pP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pStyle w:val="2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pStyle w:val="2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pStyle w:val="2"/>
                    <w:spacing w:line="360" w:lineRule="auto"/>
                    <w:jc w:val="right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</w:pPr>
                </w:p>
                <w:p>
                  <w:pPr>
                    <w:tabs>
                      <w:tab w:val="left" w:pos="7487"/>
                    </w:tabs>
                    <w:wordWrap w:val="0"/>
                    <w:spacing w:line="360" w:lineRule="auto"/>
                    <w:ind w:right="1186" w:rightChars="565"/>
                    <w:jc w:val="right"/>
                    <w:rPr>
                      <w:rFonts w:hint="eastAsia" w:ascii="黑体" w:eastAsia="黑体"/>
                      <w:b/>
                      <w:sz w:val="28"/>
                      <w:szCs w:val="2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vertAlign w:val="baseline"/>
                      <w:lang w:eastAsia="zh-CN"/>
                    </w:rPr>
                    <w:t>总经理签字：</w:t>
                  </w:r>
                  <w:r>
                    <w:rPr>
                      <w:rFonts w:hint="eastAsia" w:ascii="黑体" w:eastAsia="黑体"/>
                      <w:b/>
                      <w:sz w:val="28"/>
                      <w:szCs w:val="28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tabs>
                      <w:tab w:val="left" w:pos="6032"/>
                      <w:tab w:val="left" w:pos="7487"/>
                      <w:tab w:val="right" w:pos="7527"/>
                    </w:tabs>
                    <w:wordWrap w:val="0"/>
                    <w:spacing w:line="360" w:lineRule="auto"/>
                    <w:ind w:right="1186" w:rightChars="565" w:firstLine="5520" w:firstLineChars="2300"/>
                    <w:jc w:val="right"/>
                    <w:rPr>
                      <w:rFonts w:hint="eastAsia" w:ascii="黑体" w:eastAsia="黑体"/>
                      <w:b/>
                      <w:sz w:val="28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年    月    日</w:t>
                  </w:r>
                  <w:r>
                    <w:rPr>
                      <w:rFonts w:hint="eastAsia" w:ascii="黑体" w:eastAsia="黑体"/>
                      <w:b/>
                      <w:sz w:val="28"/>
                      <w:szCs w:val="28"/>
                      <w:vertAlign w:val="baseline"/>
                      <w:lang w:val="en-US" w:eastAsia="zh-CN"/>
                    </w:rPr>
                    <w:tab/>
                  </w:r>
                  <w:r>
                    <w:rPr>
                      <w:rFonts w:hint="eastAsia" w:ascii="黑体" w:eastAsia="黑体"/>
                      <w:b/>
                      <w:sz w:val="28"/>
                      <w:szCs w:val="28"/>
                      <w:vertAlign w:val="baseline"/>
                      <w:lang w:val="en-US" w:eastAsia="zh-CN"/>
                    </w:rPr>
                    <w:t xml:space="preserve">  </w:t>
                  </w:r>
                </w:p>
              </w:tc>
            </w:tr>
          </w:tbl>
          <w:p>
            <w:pPr>
              <w:rPr>
                <w:rFonts w:ascii="黑体" w:eastAsia="黑体"/>
                <w:b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xYmMwMTNkN2M3MzhkYzFkZGQ1ZWEyYjIwNGRjN2UifQ=="/>
  </w:docVars>
  <w:rsids>
    <w:rsidRoot w:val="00250A04"/>
    <w:rsid w:val="00002450"/>
    <w:rsid w:val="00006540"/>
    <w:rsid w:val="000508AA"/>
    <w:rsid w:val="00066E5B"/>
    <w:rsid w:val="00093FC7"/>
    <w:rsid w:val="000D00AC"/>
    <w:rsid w:val="000D0E1C"/>
    <w:rsid w:val="000D4411"/>
    <w:rsid w:val="000D5654"/>
    <w:rsid w:val="000F66BB"/>
    <w:rsid w:val="00151C42"/>
    <w:rsid w:val="00190D66"/>
    <w:rsid w:val="001A3BFD"/>
    <w:rsid w:val="001A4252"/>
    <w:rsid w:val="001E3773"/>
    <w:rsid w:val="001E4DF4"/>
    <w:rsid w:val="001F58B2"/>
    <w:rsid w:val="00216991"/>
    <w:rsid w:val="00237BC2"/>
    <w:rsid w:val="002440A4"/>
    <w:rsid w:val="00250A04"/>
    <w:rsid w:val="002560CA"/>
    <w:rsid w:val="002678B5"/>
    <w:rsid w:val="0027459C"/>
    <w:rsid w:val="00275621"/>
    <w:rsid w:val="002A0A39"/>
    <w:rsid w:val="002D43B4"/>
    <w:rsid w:val="002F43E4"/>
    <w:rsid w:val="00335DA7"/>
    <w:rsid w:val="003470B0"/>
    <w:rsid w:val="00362145"/>
    <w:rsid w:val="00393549"/>
    <w:rsid w:val="003E138A"/>
    <w:rsid w:val="0042307F"/>
    <w:rsid w:val="00447715"/>
    <w:rsid w:val="00453768"/>
    <w:rsid w:val="0049031D"/>
    <w:rsid w:val="004C6178"/>
    <w:rsid w:val="004D33CD"/>
    <w:rsid w:val="004F1F25"/>
    <w:rsid w:val="00515894"/>
    <w:rsid w:val="005211A1"/>
    <w:rsid w:val="005567D3"/>
    <w:rsid w:val="00574526"/>
    <w:rsid w:val="00585182"/>
    <w:rsid w:val="00591087"/>
    <w:rsid w:val="005B7995"/>
    <w:rsid w:val="005D0833"/>
    <w:rsid w:val="00614B3F"/>
    <w:rsid w:val="00631AFD"/>
    <w:rsid w:val="00641085"/>
    <w:rsid w:val="00651ED9"/>
    <w:rsid w:val="00676FCA"/>
    <w:rsid w:val="00692929"/>
    <w:rsid w:val="006A17F8"/>
    <w:rsid w:val="006C3285"/>
    <w:rsid w:val="006E7D76"/>
    <w:rsid w:val="00737FE8"/>
    <w:rsid w:val="00756908"/>
    <w:rsid w:val="00762001"/>
    <w:rsid w:val="0076429D"/>
    <w:rsid w:val="0077000E"/>
    <w:rsid w:val="007D0D20"/>
    <w:rsid w:val="008221D5"/>
    <w:rsid w:val="00866A07"/>
    <w:rsid w:val="00883083"/>
    <w:rsid w:val="008F4D36"/>
    <w:rsid w:val="009122B4"/>
    <w:rsid w:val="009170D4"/>
    <w:rsid w:val="00924527"/>
    <w:rsid w:val="0098041E"/>
    <w:rsid w:val="009843BC"/>
    <w:rsid w:val="009C0934"/>
    <w:rsid w:val="009F73AC"/>
    <w:rsid w:val="00A23100"/>
    <w:rsid w:val="00A42C6B"/>
    <w:rsid w:val="00AB370E"/>
    <w:rsid w:val="00AF1E48"/>
    <w:rsid w:val="00B10C77"/>
    <w:rsid w:val="00B116D7"/>
    <w:rsid w:val="00B220DC"/>
    <w:rsid w:val="00B33DA9"/>
    <w:rsid w:val="00B61A68"/>
    <w:rsid w:val="00B70B13"/>
    <w:rsid w:val="00BB35D6"/>
    <w:rsid w:val="00BC3B0A"/>
    <w:rsid w:val="00BF6C67"/>
    <w:rsid w:val="00C119D3"/>
    <w:rsid w:val="00C4371E"/>
    <w:rsid w:val="00CD0894"/>
    <w:rsid w:val="00CD4708"/>
    <w:rsid w:val="00CF3027"/>
    <w:rsid w:val="00D23F31"/>
    <w:rsid w:val="00D254CA"/>
    <w:rsid w:val="00D542FA"/>
    <w:rsid w:val="00D73C6D"/>
    <w:rsid w:val="00DA7CE0"/>
    <w:rsid w:val="00DB719C"/>
    <w:rsid w:val="00E11893"/>
    <w:rsid w:val="00E75DF7"/>
    <w:rsid w:val="00E83C25"/>
    <w:rsid w:val="00EA6A61"/>
    <w:rsid w:val="00EC08FC"/>
    <w:rsid w:val="00ED2202"/>
    <w:rsid w:val="00EE7B77"/>
    <w:rsid w:val="00F15D10"/>
    <w:rsid w:val="00F2185B"/>
    <w:rsid w:val="00F31AAC"/>
    <w:rsid w:val="00F44750"/>
    <w:rsid w:val="00F509C5"/>
    <w:rsid w:val="01940552"/>
    <w:rsid w:val="071F7918"/>
    <w:rsid w:val="0768220B"/>
    <w:rsid w:val="10E723F2"/>
    <w:rsid w:val="12854ECF"/>
    <w:rsid w:val="149A236D"/>
    <w:rsid w:val="1A03159A"/>
    <w:rsid w:val="1A7A42D7"/>
    <w:rsid w:val="1D237E02"/>
    <w:rsid w:val="21CB262D"/>
    <w:rsid w:val="23597DC2"/>
    <w:rsid w:val="27A97FAA"/>
    <w:rsid w:val="350C3926"/>
    <w:rsid w:val="35F15738"/>
    <w:rsid w:val="396A4FBD"/>
    <w:rsid w:val="3B6E70E8"/>
    <w:rsid w:val="3E826C42"/>
    <w:rsid w:val="45444E9C"/>
    <w:rsid w:val="485E03C0"/>
    <w:rsid w:val="49AF724A"/>
    <w:rsid w:val="4AE253FD"/>
    <w:rsid w:val="4DD734D7"/>
    <w:rsid w:val="4DE273FF"/>
    <w:rsid w:val="5147420C"/>
    <w:rsid w:val="547D0BE8"/>
    <w:rsid w:val="5E231B5D"/>
    <w:rsid w:val="61FF5580"/>
    <w:rsid w:val="62361E5F"/>
    <w:rsid w:val="6813396F"/>
    <w:rsid w:val="6D52229A"/>
    <w:rsid w:val="6DBE53FE"/>
    <w:rsid w:val="740F4FD8"/>
    <w:rsid w:val="77DA1086"/>
    <w:rsid w:val="78104A12"/>
    <w:rsid w:val="7A072E93"/>
    <w:rsid w:val="7B767318"/>
    <w:rsid w:val="7CB3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qFormat="1"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unhideWhenUsed/>
    <w:qFormat/>
    <w:uiPriority w:val="0"/>
    <w:rPr>
      <w:rFonts w:ascii="宋体" w:hAnsi="Courier New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ÕýÎÄÊ¡ÁÐÐËõ½ø"/>
    <w:basedOn w:val="1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425"/>
      <w:textAlignment w:val="baseline"/>
    </w:pPr>
    <w:rPr>
      <w:kern w:val="0"/>
      <w:szCs w:val="20"/>
    </w:rPr>
  </w:style>
  <w:style w:type="character" w:customStyle="1" w:styleId="9">
    <w:name w:val="页眉 字符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字符"/>
    <w:basedOn w:val="7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6</Pages>
  <Words>2379</Words>
  <Characters>2583</Characters>
  <Lines>23</Lines>
  <Paragraphs>6</Paragraphs>
  <TotalTime>2</TotalTime>
  <ScaleCrop>false</ScaleCrop>
  <LinksUpToDate>false</LinksUpToDate>
  <CharactersWithSpaces>2680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2023-04-18T07:41:00Z</dcterms:created>
  <dc:creator>雨林木风</dc:creator>
  <cp:lastModifiedBy>苑以为</cp:lastModifiedBy>
  <dcterms:modified xsi:type="dcterms:W3CDTF">2023-08-02T06:15:40Z</dcterms:modified>
  <dc:title>企业内部立项举例二</dc:title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C935686C0AB84B668E10B8155D9744E3_12</vt:lpwstr>
  </property>
</Properties>
</file>