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44EFD" w:rsidRPr="00215E29" w:rsidRDefault="00E44EFD" w:rsidP="00E44EFD">
      <w:pPr>
        <w:snapToGrid w:val="0"/>
        <w:jc w:val="left"/>
        <w:outlineLvl w:val="0"/>
        <w:rPr>
          <w:rFonts w:asciiTheme="minorEastAsia" w:hAnsiTheme="minorEastAsia" w:hint="eastAsia"/>
          <w:color w:val="000000"/>
          <w:sz w:val="28"/>
          <w:szCs w:val="28"/>
        </w:rPr>
      </w:pPr>
      <w:r w:rsidRPr="00215E29">
        <w:rPr>
          <w:rFonts w:asciiTheme="minorEastAsia" w:hAnsiTheme="minorEastAsia" w:hint="eastAsia"/>
          <w:color w:val="000000"/>
          <w:sz w:val="28"/>
          <w:szCs w:val="28"/>
        </w:rPr>
        <w:t>附表1</w:t>
      </w:r>
      <w:r w:rsidR="00652D64">
        <w:rPr>
          <w:rFonts w:asciiTheme="minorEastAsia" w:hAnsiTheme="minorEastAsia" w:hint="eastAsia"/>
          <w:color w:val="000000"/>
          <w:sz w:val="28"/>
          <w:szCs w:val="28"/>
        </w:rPr>
        <w:t xml:space="preserve">  </w:t>
      </w:r>
    </w:p>
    <w:p w:rsidR="00E44EFD" w:rsidRDefault="00E44EFD" w:rsidP="00E44EFD">
      <w:pPr>
        <w:snapToGrid w:val="0"/>
        <w:jc w:val="center"/>
        <w:outlineLvl w:val="0"/>
        <w:rPr>
          <w:rFonts w:asciiTheme="minorEastAsia" w:hAnsiTheme="minorEastAsia"/>
          <w:b/>
          <w:color w:val="000000"/>
          <w:sz w:val="32"/>
          <w:szCs w:val="32"/>
        </w:rPr>
      </w:pPr>
      <w:r w:rsidRPr="002D03C6">
        <w:rPr>
          <w:rFonts w:asciiTheme="minorEastAsia" w:hAnsiTheme="minorEastAsia" w:hint="eastAsia"/>
          <w:b/>
          <w:color w:val="000000"/>
          <w:sz w:val="32"/>
          <w:szCs w:val="32"/>
        </w:rPr>
        <w:t>安全生产标准化评审否决项检查表</w:t>
      </w:r>
    </w:p>
    <w:p w:rsidR="00E44EFD" w:rsidRDefault="00E44EFD" w:rsidP="00E44EFD">
      <w:pPr>
        <w:snapToGrid w:val="0"/>
        <w:jc w:val="center"/>
        <w:outlineLvl w:val="0"/>
        <w:rPr>
          <w:rFonts w:asciiTheme="minorEastAsia" w:hAnsiTheme="minorEastAsia"/>
          <w:color w:val="000000"/>
          <w:sz w:val="28"/>
          <w:szCs w:val="28"/>
        </w:rPr>
      </w:pPr>
      <w:r w:rsidRPr="00416B68">
        <w:rPr>
          <w:rFonts w:asciiTheme="minorEastAsia" w:hAnsiTheme="minorEastAsia" w:hint="eastAsia"/>
          <w:color w:val="000000"/>
          <w:sz w:val="28"/>
          <w:szCs w:val="28"/>
        </w:rPr>
        <w:t>（专项工作否决</w:t>
      </w:r>
      <w:r>
        <w:rPr>
          <w:rFonts w:asciiTheme="minorEastAsia" w:hAnsiTheme="minorEastAsia" w:hint="eastAsia"/>
          <w:color w:val="000000"/>
          <w:sz w:val="28"/>
          <w:szCs w:val="28"/>
        </w:rPr>
        <w:t>项</w:t>
      </w:r>
      <w:r w:rsidRPr="00416B68">
        <w:rPr>
          <w:rFonts w:asciiTheme="minorEastAsia" w:hAnsiTheme="minorEastAsia" w:hint="eastAsia"/>
          <w:color w:val="000000"/>
          <w:sz w:val="28"/>
          <w:szCs w:val="28"/>
        </w:rPr>
        <w:t>）</w:t>
      </w:r>
    </w:p>
    <w:tbl>
      <w:tblPr>
        <w:tblW w:w="493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18"/>
        <w:gridCol w:w="1256"/>
        <w:gridCol w:w="4874"/>
        <w:gridCol w:w="788"/>
        <w:gridCol w:w="834"/>
        <w:gridCol w:w="3070"/>
        <w:gridCol w:w="2228"/>
      </w:tblGrid>
      <w:tr w:rsidR="00E44EFD" w:rsidRPr="00D817D9" w:rsidTr="00D608AD">
        <w:trPr>
          <w:tblHeader/>
          <w:jc w:val="center"/>
        </w:trPr>
        <w:tc>
          <w:tcPr>
            <w:tcW w:w="261" w:type="pct"/>
            <w:tcBorders>
              <w:top w:val="single" w:sz="4" w:space="0" w:color="auto"/>
              <w:bottom w:val="single" w:sz="4" w:space="0" w:color="auto"/>
            </w:tcBorders>
            <w:vAlign w:val="center"/>
          </w:tcPr>
          <w:p w:rsidR="00E44EFD" w:rsidRPr="00D817D9" w:rsidRDefault="00E44EFD" w:rsidP="00D608AD">
            <w:pPr>
              <w:adjustRightInd w:val="0"/>
              <w:snapToGrid w:val="0"/>
              <w:jc w:val="center"/>
              <w:rPr>
                <w:rFonts w:ascii="Times New Roman" w:eastAsia="宋体" w:hAnsi="Times New Roman" w:cs="Times New Roman"/>
                <w:b/>
                <w:bCs/>
                <w:color w:val="000000"/>
                <w:szCs w:val="21"/>
              </w:rPr>
            </w:pPr>
            <w:r w:rsidRPr="00D817D9">
              <w:rPr>
                <w:rFonts w:ascii="Times New Roman" w:eastAsia="宋体" w:hAnsi="Times New Roman" w:cs="Times New Roman"/>
                <w:b/>
                <w:bCs/>
                <w:color w:val="000000"/>
                <w:szCs w:val="21"/>
              </w:rPr>
              <w:t>序号</w:t>
            </w:r>
          </w:p>
        </w:tc>
        <w:tc>
          <w:tcPr>
            <w:tcW w:w="456" w:type="pct"/>
            <w:tcBorders>
              <w:top w:val="single" w:sz="4" w:space="0" w:color="auto"/>
              <w:bottom w:val="single" w:sz="4" w:space="0" w:color="auto"/>
            </w:tcBorders>
            <w:vAlign w:val="center"/>
          </w:tcPr>
          <w:p w:rsidR="00E44EFD" w:rsidRPr="00D817D9" w:rsidRDefault="00E44EFD" w:rsidP="00D608AD">
            <w:pPr>
              <w:adjustRightInd w:val="0"/>
              <w:snapToGrid w:val="0"/>
              <w:jc w:val="center"/>
              <w:rPr>
                <w:rFonts w:ascii="Times New Roman" w:eastAsia="宋体" w:hAnsi="Times New Roman" w:cs="Times New Roman"/>
                <w:b/>
                <w:color w:val="000000"/>
                <w:szCs w:val="21"/>
              </w:rPr>
            </w:pPr>
            <w:r>
              <w:rPr>
                <w:rFonts w:ascii="Times New Roman" w:eastAsia="宋体" w:hAnsi="Times New Roman" w:cs="Times New Roman" w:hint="eastAsia"/>
                <w:b/>
                <w:color w:val="000000"/>
                <w:szCs w:val="21"/>
              </w:rPr>
              <w:t>分类</w:t>
            </w:r>
          </w:p>
        </w:tc>
        <w:tc>
          <w:tcPr>
            <w:tcW w:w="1770" w:type="pct"/>
            <w:tcBorders>
              <w:top w:val="single" w:sz="4" w:space="0" w:color="auto"/>
              <w:bottom w:val="single" w:sz="4" w:space="0" w:color="auto"/>
            </w:tcBorders>
            <w:vAlign w:val="center"/>
          </w:tcPr>
          <w:p w:rsidR="00E44EFD" w:rsidRPr="00D817D9" w:rsidRDefault="00E44EFD" w:rsidP="00D608AD">
            <w:pPr>
              <w:adjustRightInd w:val="0"/>
              <w:snapToGrid w:val="0"/>
              <w:jc w:val="center"/>
              <w:rPr>
                <w:rFonts w:ascii="Times New Roman" w:eastAsia="宋体" w:hAnsi="Times New Roman" w:cs="Times New Roman"/>
                <w:b/>
                <w:color w:val="000000"/>
                <w:szCs w:val="21"/>
              </w:rPr>
            </w:pPr>
            <w:r>
              <w:rPr>
                <w:rFonts w:ascii="Times New Roman" w:eastAsia="宋体" w:hAnsi="Times New Roman" w:cs="Times New Roman" w:hint="eastAsia"/>
                <w:b/>
                <w:bCs/>
                <w:color w:val="000000"/>
                <w:szCs w:val="21"/>
              </w:rPr>
              <w:t>否决</w:t>
            </w:r>
            <w:r w:rsidRPr="00D817D9">
              <w:rPr>
                <w:rFonts w:ascii="Times New Roman" w:eastAsia="宋体" w:hAnsi="Times New Roman" w:cs="Times New Roman"/>
                <w:b/>
                <w:bCs/>
                <w:color w:val="000000"/>
                <w:szCs w:val="21"/>
              </w:rPr>
              <w:t>内容</w:t>
            </w:r>
          </w:p>
        </w:tc>
        <w:tc>
          <w:tcPr>
            <w:tcW w:w="286" w:type="pct"/>
            <w:tcBorders>
              <w:top w:val="single" w:sz="4" w:space="0" w:color="auto"/>
              <w:bottom w:val="single" w:sz="4" w:space="0" w:color="auto"/>
            </w:tcBorders>
          </w:tcPr>
          <w:p w:rsidR="00E44EFD" w:rsidRPr="00016A0D" w:rsidRDefault="00E44EFD" w:rsidP="00D608AD">
            <w:pPr>
              <w:adjustRightInd w:val="0"/>
              <w:snapToGrid w:val="0"/>
              <w:jc w:val="center"/>
              <w:rPr>
                <w:rFonts w:ascii="Times New Roman" w:eastAsia="宋体" w:hAnsi="Times New Roman" w:cs="Times New Roman"/>
                <w:b/>
                <w:color w:val="000000"/>
                <w:szCs w:val="21"/>
              </w:rPr>
            </w:pPr>
            <w:r w:rsidRPr="00016A0D">
              <w:rPr>
                <w:rFonts w:ascii="Times New Roman" w:eastAsia="宋体" w:hAnsi="Times New Roman" w:cs="Times New Roman" w:hint="eastAsia"/>
                <w:b/>
                <w:color w:val="000000"/>
                <w:szCs w:val="21"/>
              </w:rPr>
              <w:t>二级否决</w:t>
            </w:r>
          </w:p>
        </w:tc>
        <w:tc>
          <w:tcPr>
            <w:tcW w:w="303" w:type="pct"/>
            <w:tcBorders>
              <w:top w:val="single" w:sz="4" w:space="0" w:color="auto"/>
              <w:bottom w:val="single" w:sz="4" w:space="0" w:color="auto"/>
            </w:tcBorders>
          </w:tcPr>
          <w:p w:rsidR="00E44EFD" w:rsidRPr="00016A0D" w:rsidRDefault="00E44EFD" w:rsidP="00D608AD">
            <w:pPr>
              <w:adjustRightInd w:val="0"/>
              <w:snapToGrid w:val="0"/>
              <w:jc w:val="center"/>
              <w:rPr>
                <w:rFonts w:ascii="Times New Roman" w:eastAsia="宋体" w:hAnsi="Times New Roman" w:cs="Times New Roman"/>
                <w:b/>
                <w:color w:val="000000"/>
                <w:szCs w:val="21"/>
              </w:rPr>
            </w:pPr>
            <w:r w:rsidRPr="00016A0D">
              <w:rPr>
                <w:rFonts w:ascii="Times New Roman" w:eastAsia="宋体" w:hAnsi="Times New Roman" w:cs="Times New Roman" w:hint="eastAsia"/>
                <w:b/>
                <w:color w:val="000000"/>
                <w:szCs w:val="21"/>
              </w:rPr>
              <w:t>三级否决</w:t>
            </w:r>
          </w:p>
        </w:tc>
        <w:tc>
          <w:tcPr>
            <w:tcW w:w="1115" w:type="pct"/>
            <w:tcBorders>
              <w:top w:val="single" w:sz="4" w:space="0" w:color="auto"/>
              <w:bottom w:val="single" w:sz="4" w:space="0" w:color="auto"/>
            </w:tcBorders>
            <w:vAlign w:val="center"/>
          </w:tcPr>
          <w:p w:rsidR="00E44EFD" w:rsidRPr="00D817D9" w:rsidRDefault="00E44EFD" w:rsidP="00D608AD">
            <w:pPr>
              <w:adjustRightInd w:val="0"/>
              <w:snapToGrid w:val="0"/>
              <w:jc w:val="center"/>
              <w:rPr>
                <w:rFonts w:ascii="Times New Roman" w:eastAsia="宋体" w:hAnsi="Times New Roman" w:cs="Times New Roman"/>
                <w:b/>
                <w:color w:val="000000"/>
                <w:szCs w:val="21"/>
              </w:rPr>
            </w:pPr>
            <w:r w:rsidRPr="00D817D9">
              <w:rPr>
                <w:rFonts w:ascii="Times New Roman" w:eastAsia="宋体" w:hAnsi="Times New Roman" w:cs="Times New Roman"/>
                <w:b/>
                <w:bCs/>
                <w:color w:val="000000"/>
                <w:szCs w:val="21"/>
              </w:rPr>
              <w:t>评</w:t>
            </w:r>
            <w:r>
              <w:rPr>
                <w:rFonts w:ascii="Times New Roman" w:eastAsia="宋体" w:hAnsi="Times New Roman" w:cs="Times New Roman" w:hint="eastAsia"/>
                <w:b/>
                <w:bCs/>
                <w:color w:val="000000"/>
                <w:szCs w:val="21"/>
              </w:rPr>
              <w:t>审</w:t>
            </w:r>
            <w:r w:rsidRPr="00D817D9">
              <w:rPr>
                <w:rFonts w:ascii="Times New Roman" w:eastAsia="宋体" w:hAnsi="Times New Roman" w:cs="Times New Roman"/>
                <w:b/>
                <w:bCs/>
                <w:color w:val="000000"/>
                <w:szCs w:val="21"/>
              </w:rPr>
              <w:t>情况</w:t>
            </w:r>
          </w:p>
        </w:tc>
        <w:tc>
          <w:tcPr>
            <w:tcW w:w="809" w:type="pct"/>
            <w:tcBorders>
              <w:top w:val="single" w:sz="4" w:space="0" w:color="auto"/>
              <w:bottom w:val="single" w:sz="4" w:space="0" w:color="auto"/>
            </w:tcBorders>
            <w:vAlign w:val="center"/>
          </w:tcPr>
          <w:p w:rsidR="00E44EFD" w:rsidRPr="00D817D9" w:rsidRDefault="00E44EFD" w:rsidP="00D608AD">
            <w:pPr>
              <w:adjustRightInd w:val="0"/>
              <w:snapToGrid w:val="0"/>
              <w:jc w:val="center"/>
              <w:rPr>
                <w:rFonts w:ascii="Times New Roman" w:eastAsia="宋体" w:hAnsi="Times New Roman" w:cs="Times New Roman"/>
                <w:b/>
                <w:bCs/>
                <w:color w:val="000000"/>
                <w:szCs w:val="21"/>
              </w:rPr>
            </w:pPr>
            <w:r w:rsidRPr="00D817D9">
              <w:rPr>
                <w:rFonts w:ascii="Times New Roman" w:eastAsia="宋体" w:hAnsi="Times New Roman" w:cs="Times New Roman"/>
                <w:b/>
                <w:bCs/>
                <w:color w:val="000000"/>
                <w:szCs w:val="21"/>
              </w:rPr>
              <w:t>是否通过</w:t>
            </w:r>
          </w:p>
        </w:tc>
      </w:tr>
      <w:tr w:rsidR="00E44EFD" w:rsidRPr="00D817D9" w:rsidTr="00D608AD">
        <w:trPr>
          <w:jc w:val="center"/>
        </w:trPr>
        <w:tc>
          <w:tcPr>
            <w:tcW w:w="261" w:type="pct"/>
            <w:tcBorders>
              <w:top w:val="single" w:sz="4" w:space="0" w:color="auto"/>
              <w:bottom w:val="single" w:sz="4" w:space="0" w:color="auto"/>
            </w:tcBorders>
            <w:vAlign w:val="center"/>
          </w:tcPr>
          <w:p w:rsidR="00E44EFD" w:rsidRPr="0035117E" w:rsidRDefault="00E44EFD" w:rsidP="00D608AD">
            <w:pPr>
              <w:adjustRightInd w:val="0"/>
              <w:snapToGrid w:val="0"/>
              <w:rPr>
                <w:rFonts w:ascii="Times New Roman" w:eastAsia="宋体" w:hAnsi="Times New Roman" w:cs="Times New Roman"/>
                <w:szCs w:val="21"/>
              </w:rPr>
            </w:pPr>
            <w:r>
              <w:rPr>
                <w:rFonts w:ascii="Times New Roman" w:eastAsia="宋体" w:hAnsi="Times New Roman" w:cs="Times New Roman" w:hint="eastAsia"/>
                <w:szCs w:val="21"/>
              </w:rPr>
              <w:t xml:space="preserve">  1</w:t>
            </w:r>
          </w:p>
        </w:tc>
        <w:tc>
          <w:tcPr>
            <w:tcW w:w="456" w:type="pct"/>
            <w:tcBorders>
              <w:top w:val="single" w:sz="4" w:space="0" w:color="auto"/>
              <w:bottom w:val="single" w:sz="4" w:space="0" w:color="auto"/>
            </w:tcBorders>
            <w:vAlign w:val="center"/>
          </w:tcPr>
          <w:p w:rsidR="00E44EFD" w:rsidRPr="009B0135" w:rsidRDefault="00E44EFD" w:rsidP="00D608AD">
            <w:pPr>
              <w:adjustRightInd w:val="0"/>
              <w:snapToGrid w:val="0"/>
              <w:rPr>
                <w:rFonts w:ascii="Times New Roman" w:eastAsia="宋体" w:hAnsi="Times New Roman" w:cs="Times New Roman"/>
                <w:szCs w:val="21"/>
              </w:rPr>
            </w:pPr>
            <w:r w:rsidRPr="009B0135">
              <w:rPr>
                <w:rFonts w:ascii="Times New Roman" w:eastAsia="宋体" w:hAnsi="Times New Roman" w:cs="Times New Roman" w:hint="eastAsia"/>
                <w:szCs w:val="21"/>
              </w:rPr>
              <w:t>危险化学品经营企业</w:t>
            </w:r>
          </w:p>
        </w:tc>
        <w:tc>
          <w:tcPr>
            <w:tcW w:w="1770" w:type="pct"/>
            <w:tcBorders>
              <w:top w:val="single" w:sz="4" w:space="0" w:color="auto"/>
              <w:bottom w:val="single" w:sz="4" w:space="0" w:color="auto"/>
            </w:tcBorders>
            <w:vAlign w:val="center"/>
          </w:tcPr>
          <w:p w:rsidR="00E44EFD" w:rsidRPr="00A85A43" w:rsidRDefault="00E44EFD" w:rsidP="00D608AD">
            <w:pPr>
              <w:adjustRightInd w:val="0"/>
              <w:snapToGrid w:val="0"/>
              <w:rPr>
                <w:rFonts w:ascii="Times New Roman" w:eastAsia="宋体" w:hAnsi="Times New Roman" w:cs="Times New Roman"/>
                <w:szCs w:val="21"/>
              </w:rPr>
            </w:pPr>
            <w:r w:rsidRPr="009B0135">
              <w:rPr>
                <w:rFonts w:ascii="Times New Roman" w:eastAsia="宋体" w:hAnsi="Times New Roman" w:cs="Times New Roman" w:hint="eastAsia"/>
                <w:szCs w:val="21"/>
              </w:rPr>
              <w:t>1.</w:t>
            </w:r>
            <w:r w:rsidRPr="009B0135">
              <w:rPr>
                <w:rFonts w:ascii="Times New Roman" w:eastAsia="宋体" w:hAnsi="Times New Roman" w:cs="Times New Roman" w:hint="eastAsia"/>
                <w:szCs w:val="21"/>
              </w:rPr>
              <w:t>涉及可燃和有毒有害气体泄漏的场所按</w:t>
            </w:r>
            <w:r>
              <w:rPr>
                <w:rFonts w:ascii="Times New Roman" w:eastAsia="宋体" w:hAnsi="Times New Roman" w:cs="Times New Roman" w:hint="eastAsia"/>
                <w:szCs w:val="21"/>
              </w:rPr>
              <w:t>照</w:t>
            </w:r>
            <w:r w:rsidRPr="009B0135">
              <w:rPr>
                <w:rFonts w:ascii="Times New Roman" w:eastAsia="宋体" w:hAnsi="Times New Roman" w:cs="Times New Roman" w:hint="eastAsia"/>
                <w:szCs w:val="21"/>
              </w:rPr>
              <w:t>国家标准设置检测报警装置，爆炸危险场所</w:t>
            </w:r>
            <w:r>
              <w:rPr>
                <w:rFonts w:ascii="Times New Roman" w:eastAsia="宋体" w:hAnsi="Times New Roman" w:cs="Times New Roman" w:hint="eastAsia"/>
                <w:szCs w:val="21"/>
              </w:rPr>
              <w:t>按照</w:t>
            </w:r>
            <w:r w:rsidRPr="009B0135">
              <w:rPr>
                <w:rFonts w:ascii="Times New Roman" w:eastAsia="宋体" w:hAnsi="Times New Roman" w:cs="Times New Roman" w:hint="eastAsia"/>
                <w:szCs w:val="21"/>
              </w:rPr>
              <w:t>国家标准安装使用防爆电气设备。</w:t>
            </w:r>
          </w:p>
        </w:tc>
        <w:tc>
          <w:tcPr>
            <w:tcW w:w="286" w:type="pct"/>
            <w:tcBorders>
              <w:top w:val="single" w:sz="4" w:space="0" w:color="auto"/>
              <w:bottom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bottom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1115" w:type="pct"/>
            <w:tcBorders>
              <w:top w:val="single" w:sz="4" w:space="0" w:color="auto"/>
              <w:bottom w:val="single" w:sz="4" w:space="0" w:color="auto"/>
            </w:tcBorders>
            <w:vAlign w:val="center"/>
          </w:tcPr>
          <w:p w:rsidR="00E44EFD" w:rsidRPr="009B0135" w:rsidRDefault="002531C4" w:rsidP="002531C4">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bottom w:val="single" w:sz="4"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tcBorders>
              <w:top w:val="single" w:sz="4" w:space="0" w:color="auto"/>
            </w:tcBorders>
            <w:vAlign w:val="center"/>
          </w:tcPr>
          <w:p w:rsidR="00E44EFD" w:rsidRPr="0035117E" w:rsidRDefault="00E44EFD" w:rsidP="00D608AD">
            <w:pPr>
              <w:adjustRightInd w:val="0"/>
              <w:snapToGrid w:val="0"/>
              <w:rPr>
                <w:rFonts w:ascii="Times New Roman" w:eastAsia="宋体" w:hAnsi="Times New Roman" w:cs="Times New Roman"/>
                <w:szCs w:val="21"/>
              </w:rPr>
            </w:pPr>
            <w:r>
              <w:rPr>
                <w:rFonts w:ascii="Times New Roman" w:eastAsia="宋体" w:hAnsi="Times New Roman" w:cs="Times New Roman" w:hint="eastAsia"/>
                <w:szCs w:val="21"/>
              </w:rPr>
              <w:t xml:space="preserve">  2</w:t>
            </w:r>
          </w:p>
        </w:tc>
        <w:tc>
          <w:tcPr>
            <w:tcW w:w="456" w:type="pct"/>
            <w:tcBorders>
              <w:top w:val="single" w:sz="4" w:space="0" w:color="auto"/>
            </w:tcBorders>
            <w:vAlign w:val="center"/>
          </w:tcPr>
          <w:p w:rsidR="00E44EFD" w:rsidRPr="009B0135" w:rsidRDefault="00E44EFD" w:rsidP="00D608AD">
            <w:pPr>
              <w:adjustRightInd w:val="0"/>
              <w:snapToGrid w:val="0"/>
              <w:rPr>
                <w:rFonts w:ascii="Times New Roman" w:eastAsia="宋体" w:hAnsi="Times New Roman" w:cs="Times New Roman"/>
                <w:szCs w:val="21"/>
              </w:rPr>
            </w:pPr>
            <w:r>
              <w:rPr>
                <w:rFonts w:ascii="Times New Roman" w:eastAsia="宋体" w:hAnsi="Times New Roman" w:cs="Times New Roman" w:hint="eastAsia"/>
                <w:szCs w:val="21"/>
              </w:rPr>
              <w:t>油库</w:t>
            </w:r>
          </w:p>
        </w:tc>
        <w:tc>
          <w:tcPr>
            <w:tcW w:w="1770" w:type="pct"/>
            <w:tcBorders>
              <w:top w:val="single" w:sz="4" w:space="0" w:color="auto"/>
            </w:tcBorders>
            <w:vAlign w:val="center"/>
          </w:tcPr>
          <w:p w:rsidR="00E44EFD" w:rsidRPr="003749BE" w:rsidRDefault="00E44EFD" w:rsidP="00D608AD">
            <w:pPr>
              <w:adjustRightInd w:val="0"/>
              <w:snapToGrid w:val="0"/>
              <w:rPr>
                <w:rFonts w:ascii="Times New Roman" w:eastAsia="宋体" w:hAnsi="Times New Roman" w:cs="Times New Roman"/>
                <w:szCs w:val="21"/>
              </w:rPr>
            </w:pPr>
            <w:r w:rsidRPr="003749BE">
              <w:rPr>
                <w:rFonts w:ascii="Times New Roman" w:eastAsia="宋体" w:hAnsi="Times New Roman" w:cs="Times New Roman" w:hint="eastAsia"/>
                <w:szCs w:val="21"/>
              </w:rPr>
              <w:t>1.</w:t>
            </w:r>
            <w:r w:rsidRPr="003749BE">
              <w:rPr>
                <w:rFonts w:ascii="Times New Roman" w:eastAsia="宋体" w:hAnsi="Times New Roman" w:cs="Times New Roman" w:hint="eastAsia"/>
                <w:szCs w:val="21"/>
              </w:rPr>
              <w:t>构成一级、二级重大危险源的危险化学品罐区实现紧急切断功能；涉及毒性气体、液化气体、剧毒液体的一级、二级重大危险源的危险化学品罐区配备独立的安全仪表系统。</w:t>
            </w:r>
          </w:p>
        </w:tc>
        <w:tc>
          <w:tcPr>
            <w:tcW w:w="286" w:type="pct"/>
            <w:tcBorders>
              <w:top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1115" w:type="pct"/>
            <w:tcBorders>
              <w:top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val="restart"/>
            <w:tcBorders>
              <w:top w:val="single" w:sz="4" w:space="0" w:color="auto"/>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456" w:type="pct"/>
            <w:vMerge w:val="restart"/>
            <w:tcBorders>
              <w:top w:val="single" w:sz="4" w:space="0" w:color="auto"/>
              <w:left w:val="single" w:sz="4" w:space="0" w:color="auto"/>
              <w:right w:val="single" w:sz="4" w:space="0" w:color="auto"/>
            </w:tcBorders>
            <w:vAlign w:val="center"/>
          </w:tcPr>
          <w:p w:rsidR="00E44EFD" w:rsidRPr="009B0135" w:rsidRDefault="00E44EFD" w:rsidP="00D608AD">
            <w:pPr>
              <w:adjustRightInd w:val="0"/>
              <w:snapToGrid w:val="0"/>
              <w:rPr>
                <w:rFonts w:ascii="Times New Roman" w:eastAsia="宋体" w:hAnsi="Times New Roman" w:cs="Times New Roman"/>
                <w:szCs w:val="21"/>
              </w:rPr>
            </w:pPr>
            <w:r w:rsidRPr="00764730">
              <w:rPr>
                <w:rFonts w:ascii="Times New Roman" w:eastAsia="宋体" w:hAnsi="Times New Roman" w:cs="Times New Roman" w:hint="eastAsia"/>
                <w:szCs w:val="21"/>
              </w:rPr>
              <w:t>金属非金属矿山（地下、露天）</w:t>
            </w: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rPr>
                <w:rFonts w:ascii="Times New Roman" w:eastAsia="宋体" w:hAnsi="Times New Roman" w:cs="Times New Roman"/>
                <w:szCs w:val="21"/>
              </w:rPr>
            </w:pPr>
            <w:r w:rsidRPr="00764730">
              <w:rPr>
                <w:rFonts w:ascii="Times New Roman" w:eastAsia="宋体" w:hAnsi="Times New Roman" w:cs="Times New Roman" w:hint="eastAsia"/>
                <w:szCs w:val="21"/>
              </w:rPr>
              <w:t>1.</w:t>
            </w:r>
            <w:r w:rsidRPr="00764730">
              <w:rPr>
                <w:rFonts w:ascii="Times New Roman" w:eastAsia="宋体" w:hAnsi="Times New Roman" w:cs="Times New Roman" w:hint="eastAsia"/>
                <w:szCs w:val="21"/>
              </w:rPr>
              <w:t>企业建立</w:t>
            </w:r>
            <w:r w:rsidRPr="00764730">
              <w:rPr>
                <w:rFonts w:ascii="Times New Roman" w:eastAsia="宋体" w:hAnsi="Times New Roman" w:cs="Times New Roman"/>
                <w:szCs w:val="21"/>
              </w:rPr>
              <w:t>完善安全生产风险分级管控和隐患排查治理双重预防机制</w:t>
            </w:r>
            <w:r w:rsidRPr="00764730">
              <w:rPr>
                <w:rFonts w:ascii="Times New Roman" w:eastAsia="宋体" w:hAnsi="Times New Roman" w:cs="Times New Roman" w:hint="eastAsia"/>
                <w:szCs w:val="21"/>
              </w:rPr>
              <w:t>。</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tcBorders>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p>
        </w:tc>
        <w:tc>
          <w:tcPr>
            <w:tcW w:w="456" w:type="pct"/>
            <w:vMerge/>
            <w:tcBorders>
              <w:left w:val="single" w:sz="4" w:space="0" w:color="auto"/>
              <w:right w:val="single" w:sz="4" w:space="0" w:color="auto"/>
            </w:tcBorders>
            <w:vAlign w:val="center"/>
          </w:tcPr>
          <w:p w:rsidR="00E44EFD" w:rsidRPr="009B0135" w:rsidRDefault="00E44EFD" w:rsidP="00D608AD">
            <w:pPr>
              <w:adjustRightInd w:val="0"/>
              <w:snapToGrid w:val="0"/>
              <w:rPr>
                <w:rFonts w:ascii="Times New Roman" w:eastAsia="宋体" w:hAnsi="Times New Roman" w:cs="Times New Roman"/>
                <w:szCs w:val="21"/>
              </w:rPr>
            </w:pP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rPr>
                <w:rFonts w:ascii="Times New Roman" w:eastAsia="宋体" w:hAnsi="Times New Roman" w:cs="Times New Roman"/>
                <w:szCs w:val="21"/>
              </w:rPr>
            </w:pPr>
            <w:r w:rsidRPr="00764730">
              <w:rPr>
                <w:rFonts w:ascii="Times New Roman" w:eastAsia="宋体" w:hAnsi="Times New Roman" w:cs="Times New Roman" w:hint="eastAsia"/>
                <w:szCs w:val="21"/>
              </w:rPr>
              <w:t>2.</w:t>
            </w:r>
            <w:r w:rsidRPr="00764730">
              <w:rPr>
                <w:rFonts w:ascii="Times New Roman" w:eastAsia="宋体" w:hAnsi="Times New Roman" w:cs="Times New Roman" w:hint="eastAsia"/>
                <w:szCs w:val="21"/>
              </w:rPr>
              <w:t>评审年度内发生生产安全死亡事故，或</w:t>
            </w:r>
            <w:r w:rsidRPr="00764730">
              <w:rPr>
                <w:rFonts w:ascii="Times New Roman" w:eastAsia="宋体" w:hAnsi="Times New Roman" w:cs="Times New Roman" w:hint="eastAsia"/>
                <w:szCs w:val="21"/>
              </w:rPr>
              <w:t>2</w:t>
            </w:r>
            <w:r w:rsidRPr="00764730">
              <w:rPr>
                <w:rFonts w:ascii="Times New Roman" w:eastAsia="宋体" w:hAnsi="Times New Roman" w:cs="Times New Roman" w:hint="eastAsia"/>
                <w:szCs w:val="21"/>
              </w:rPr>
              <w:t>人以上重伤事故。</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tcBorders>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p>
        </w:tc>
        <w:tc>
          <w:tcPr>
            <w:tcW w:w="456" w:type="pct"/>
            <w:vMerge/>
            <w:tcBorders>
              <w:left w:val="single" w:sz="4" w:space="0" w:color="auto"/>
              <w:right w:val="single" w:sz="4" w:space="0" w:color="auto"/>
            </w:tcBorders>
            <w:vAlign w:val="center"/>
          </w:tcPr>
          <w:p w:rsidR="00E44EFD" w:rsidRPr="009B0135" w:rsidRDefault="00E44EFD" w:rsidP="00D608AD">
            <w:pPr>
              <w:adjustRightInd w:val="0"/>
              <w:snapToGrid w:val="0"/>
              <w:rPr>
                <w:rFonts w:ascii="Times New Roman" w:eastAsia="宋体" w:hAnsi="Times New Roman" w:cs="Times New Roman"/>
                <w:szCs w:val="21"/>
              </w:rPr>
            </w:pP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rPr>
                <w:rFonts w:ascii="Times New Roman" w:eastAsia="宋体" w:hAnsi="Times New Roman" w:cs="Times New Roman"/>
                <w:szCs w:val="21"/>
              </w:rPr>
            </w:pPr>
            <w:r w:rsidRPr="00764730">
              <w:rPr>
                <w:rFonts w:ascii="Times New Roman" w:eastAsia="宋体" w:hAnsi="Times New Roman" w:cs="Times New Roman" w:hint="eastAsia"/>
                <w:szCs w:val="21"/>
              </w:rPr>
              <w:t>3.</w:t>
            </w:r>
            <w:r w:rsidRPr="00764730">
              <w:rPr>
                <w:rFonts w:ascii="Times New Roman" w:eastAsia="宋体" w:hAnsi="Times New Roman" w:cs="Times New Roman" w:hint="eastAsia"/>
                <w:szCs w:val="21"/>
              </w:rPr>
              <w:t>评审年度内发生生产安全死亡事故，或</w:t>
            </w:r>
            <w:r w:rsidRPr="00764730">
              <w:rPr>
                <w:rFonts w:ascii="Times New Roman" w:eastAsia="宋体" w:hAnsi="Times New Roman" w:cs="Times New Roman" w:hint="eastAsia"/>
                <w:szCs w:val="21"/>
              </w:rPr>
              <w:t>3</w:t>
            </w:r>
            <w:r w:rsidRPr="00764730">
              <w:rPr>
                <w:rFonts w:ascii="Times New Roman" w:eastAsia="宋体" w:hAnsi="Times New Roman" w:cs="Times New Roman" w:hint="eastAsia"/>
                <w:szCs w:val="21"/>
              </w:rPr>
              <w:t>人以上重伤事故。</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val="restart"/>
            <w:tcBorders>
              <w:top w:val="single" w:sz="4" w:space="0" w:color="auto"/>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456" w:type="pct"/>
            <w:vMerge w:val="restart"/>
            <w:tcBorders>
              <w:top w:val="single" w:sz="4" w:space="0" w:color="auto"/>
              <w:left w:val="single" w:sz="4" w:space="0" w:color="auto"/>
              <w:right w:val="single" w:sz="4" w:space="0" w:color="auto"/>
            </w:tcBorders>
            <w:vAlign w:val="center"/>
          </w:tcPr>
          <w:p w:rsidR="00E44EFD" w:rsidRPr="009B0135" w:rsidRDefault="00E44EFD" w:rsidP="00D608AD">
            <w:pPr>
              <w:adjustRightInd w:val="0"/>
              <w:snapToGrid w:val="0"/>
              <w:rPr>
                <w:rFonts w:ascii="Times New Roman" w:eastAsia="宋体" w:hAnsi="Times New Roman" w:cs="Times New Roman"/>
                <w:szCs w:val="21"/>
              </w:rPr>
            </w:pPr>
            <w:r w:rsidRPr="00764730">
              <w:rPr>
                <w:rFonts w:ascii="Times New Roman" w:eastAsia="宋体" w:hAnsi="Times New Roman" w:cs="Times New Roman" w:hint="eastAsia"/>
                <w:szCs w:val="21"/>
              </w:rPr>
              <w:t>尾矿库</w:t>
            </w: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spacing w:line="560" w:lineRule="exact"/>
              <w:rPr>
                <w:rFonts w:ascii="Times New Roman" w:eastAsia="宋体" w:hAnsi="Times New Roman" w:cs="Times New Roman"/>
                <w:szCs w:val="21"/>
              </w:rPr>
            </w:pPr>
            <w:r w:rsidRPr="00764730">
              <w:rPr>
                <w:rFonts w:ascii="Times New Roman" w:eastAsia="宋体" w:hAnsi="Times New Roman" w:cs="Times New Roman" w:hint="eastAsia"/>
                <w:szCs w:val="21"/>
              </w:rPr>
              <w:t>1.</w:t>
            </w:r>
            <w:r w:rsidRPr="00764730">
              <w:rPr>
                <w:rFonts w:ascii="Times New Roman" w:eastAsia="宋体" w:hAnsi="Times New Roman" w:cs="Times New Roman" w:hint="eastAsia"/>
                <w:szCs w:val="21"/>
              </w:rPr>
              <w:t>未使用在线监测系统。</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tcBorders>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p>
        </w:tc>
        <w:tc>
          <w:tcPr>
            <w:tcW w:w="456" w:type="pct"/>
            <w:vMerge/>
            <w:tcBorders>
              <w:left w:val="single" w:sz="4" w:space="0" w:color="auto"/>
              <w:right w:val="single" w:sz="4" w:space="0" w:color="auto"/>
            </w:tcBorders>
            <w:vAlign w:val="center"/>
          </w:tcPr>
          <w:p w:rsidR="00E44EFD" w:rsidRPr="009B0135" w:rsidRDefault="00E44EFD" w:rsidP="00D608AD">
            <w:pPr>
              <w:adjustRightInd w:val="0"/>
              <w:snapToGrid w:val="0"/>
              <w:rPr>
                <w:rFonts w:ascii="Times New Roman" w:eastAsia="宋体" w:hAnsi="Times New Roman" w:cs="Times New Roman"/>
                <w:szCs w:val="21"/>
              </w:rPr>
            </w:pP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spacing w:line="560" w:lineRule="exact"/>
              <w:rPr>
                <w:rFonts w:ascii="Times New Roman" w:eastAsia="宋体" w:hAnsi="Times New Roman" w:cs="Times New Roman"/>
                <w:szCs w:val="21"/>
              </w:rPr>
            </w:pPr>
            <w:r w:rsidRPr="00764730">
              <w:rPr>
                <w:rFonts w:ascii="Times New Roman" w:eastAsia="宋体" w:hAnsi="Times New Roman" w:cs="Times New Roman" w:hint="eastAsia"/>
                <w:szCs w:val="21"/>
              </w:rPr>
              <w:t>2.</w:t>
            </w:r>
            <w:r w:rsidRPr="00764730">
              <w:rPr>
                <w:rFonts w:ascii="Times New Roman" w:eastAsia="宋体" w:hAnsi="Times New Roman" w:cs="Times New Roman" w:hint="eastAsia"/>
                <w:szCs w:val="21"/>
              </w:rPr>
              <w:t>在评审年度内发生重伤及以上生产安全事故。</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val="restart"/>
            <w:tcBorders>
              <w:top w:val="single" w:sz="4" w:space="0" w:color="auto"/>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5</w:t>
            </w:r>
          </w:p>
        </w:tc>
        <w:tc>
          <w:tcPr>
            <w:tcW w:w="456" w:type="pct"/>
            <w:vMerge w:val="restart"/>
            <w:tcBorders>
              <w:top w:val="single" w:sz="4" w:space="0" w:color="auto"/>
              <w:left w:val="single" w:sz="4" w:space="0" w:color="auto"/>
              <w:right w:val="single" w:sz="4" w:space="0" w:color="auto"/>
            </w:tcBorders>
            <w:vAlign w:val="center"/>
          </w:tcPr>
          <w:p w:rsidR="00E44EFD" w:rsidRPr="009B0135" w:rsidRDefault="00E44EFD" w:rsidP="00D608AD">
            <w:pPr>
              <w:adjustRightInd w:val="0"/>
              <w:snapToGrid w:val="0"/>
              <w:rPr>
                <w:rFonts w:ascii="Times New Roman" w:eastAsia="宋体" w:hAnsi="Times New Roman" w:cs="Times New Roman"/>
                <w:szCs w:val="21"/>
              </w:rPr>
            </w:pPr>
            <w:r w:rsidRPr="00764730">
              <w:rPr>
                <w:rFonts w:ascii="Times New Roman" w:eastAsia="宋体" w:hAnsi="Times New Roman" w:cs="Times New Roman" w:hint="eastAsia"/>
                <w:szCs w:val="21"/>
              </w:rPr>
              <w:t>金属非金属矿产资源勘查单位、石油天然气技术服务企业</w:t>
            </w: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spacing w:line="400" w:lineRule="exact"/>
              <w:rPr>
                <w:rFonts w:ascii="Times New Roman" w:eastAsia="宋体" w:hAnsi="Times New Roman" w:cs="Times New Roman"/>
                <w:szCs w:val="21"/>
              </w:rPr>
            </w:pPr>
            <w:r w:rsidRPr="00764730">
              <w:rPr>
                <w:rFonts w:ascii="Times New Roman" w:eastAsia="宋体" w:hAnsi="Times New Roman" w:cs="Times New Roman" w:hint="eastAsia"/>
                <w:szCs w:val="21"/>
              </w:rPr>
              <w:t>1.</w:t>
            </w:r>
            <w:r w:rsidRPr="00764730">
              <w:rPr>
                <w:rFonts w:ascii="Times New Roman" w:eastAsia="宋体" w:hAnsi="Times New Roman" w:cs="Times New Roman"/>
                <w:szCs w:val="21"/>
              </w:rPr>
              <w:t>评审年度内发生</w:t>
            </w:r>
            <w:r w:rsidRPr="00764730">
              <w:rPr>
                <w:rFonts w:ascii="Times New Roman" w:eastAsia="宋体" w:hAnsi="Times New Roman" w:cs="Times New Roman" w:hint="eastAsia"/>
                <w:szCs w:val="21"/>
              </w:rPr>
              <w:t>重伤及以上</w:t>
            </w:r>
            <w:r w:rsidRPr="00764730">
              <w:rPr>
                <w:rFonts w:ascii="Times New Roman" w:eastAsia="宋体" w:hAnsi="Times New Roman" w:cs="Times New Roman"/>
                <w:szCs w:val="21"/>
              </w:rPr>
              <w:t>生产</w:t>
            </w:r>
            <w:r w:rsidRPr="00764730">
              <w:rPr>
                <w:rFonts w:ascii="Times New Roman" w:eastAsia="宋体" w:hAnsi="Times New Roman" w:cs="Times New Roman" w:hint="eastAsia"/>
                <w:szCs w:val="21"/>
              </w:rPr>
              <w:t>安全</w:t>
            </w:r>
            <w:r w:rsidRPr="00764730">
              <w:rPr>
                <w:rFonts w:ascii="Times New Roman" w:eastAsia="宋体" w:hAnsi="Times New Roman" w:cs="Times New Roman"/>
                <w:szCs w:val="21"/>
              </w:rPr>
              <w:t>事故</w:t>
            </w:r>
            <w:r w:rsidRPr="00764730">
              <w:rPr>
                <w:rFonts w:ascii="Times New Roman" w:eastAsia="宋体" w:hAnsi="Times New Roman" w:cs="Times New Roman" w:hint="eastAsia"/>
                <w:szCs w:val="21"/>
              </w:rPr>
              <w:t>，或</w:t>
            </w:r>
            <w:r w:rsidRPr="00764730">
              <w:rPr>
                <w:rFonts w:ascii="Times New Roman" w:eastAsia="宋体" w:hAnsi="Times New Roman" w:cs="Times New Roman"/>
                <w:szCs w:val="21"/>
              </w:rPr>
              <w:t>造成</w:t>
            </w:r>
            <w:r w:rsidRPr="00764730">
              <w:rPr>
                <w:rFonts w:ascii="Times New Roman" w:eastAsia="宋体" w:hAnsi="Times New Roman" w:cs="Times New Roman" w:hint="eastAsia"/>
                <w:szCs w:val="21"/>
              </w:rPr>
              <w:t>2</w:t>
            </w:r>
            <w:r w:rsidRPr="00764730">
              <w:rPr>
                <w:rFonts w:ascii="Times New Roman" w:eastAsia="宋体" w:hAnsi="Times New Roman" w:cs="Times New Roman" w:hint="eastAsia"/>
                <w:szCs w:val="21"/>
              </w:rPr>
              <w:t>人以上轻</w:t>
            </w:r>
            <w:r w:rsidRPr="00764730">
              <w:rPr>
                <w:rFonts w:ascii="Times New Roman" w:eastAsia="宋体" w:hAnsi="Times New Roman" w:cs="Times New Roman"/>
                <w:szCs w:val="21"/>
              </w:rPr>
              <w:t>伤</w:t>
            </w:r>
            <w:r w:rsidRPr="00764730">
              <w:rPr>
                <w:rFonts w:ascii="Times New Roman" w:eastAsia="宋体" w:hAnsi="Times New Roman" w:cs="Times New Roman" w:hint="eastAsia"/>
                <w:szCs w:val="21"/>
              </w:rPr>
              <w:t>事故</w:t>
            </w:r>
            <w:r w:rsidRPr="00764730">
              <w:rPr>
                <w:rFonts w:ascii="Times New Roman" w:eastAsia="宋体" w:hAnsi="Times New Roman" w:cs="Times New Roman"/>
                <w:szCs w:val="21"/>
              </w:rPr>
              <w:t>。</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tcBorders>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p>
        </w:tc>
        <w:tc>
          <w:tcPr>
            <w:tcW w:w="456" w:type="pct"/>
            <w:vMerge/>
            <w:tcBorders>
              <w:left w:val="single" w:sz="4" w:space="0" w:color="auto"/>
              <w:right w:val="single" w:sz="4" w:space="0" w:color="auto"/>
            </w:tcBorders>
            <w:vAlign w:val="center"/>
          </w:tcPr>
          <w:p w:rsidR="00E44EFD" w:rsidRPr="009B0135" w:rsidRDefault="00E44EFD" w:rsidP="00D608AD">
            <w:pPr>
              <w:adjustRightInd w:val="0"/>
              <w:snapToGrid w:val="0"/>
              <w:rPr>
                <w:rFonts w:ascii="Times New Roman" w:eastAsia="宋体" w:hAnsi="Times New Roman" w:cs="Times New Roman"/>
                <w:szCs w:val="21"/>
              </w:rPr>
            </w:pP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spacing w:line="400" w:lineRule="exact"/>
              <w:rPr>
                <w:rFonts w:ascii="Times New Roman" w:eastAsia="宋体" w:hAnsi="Times New Roman" w:cs="Times New Roman"/>
                <w:szCs w:val="21"/>
              </w:rPr>
            </w:pPr>
            <w:r w:rsidRPr="00764730">
              <w:rPr>
                <w:rFonts w:ascii="Times New Roman" w:eastAsia="宋体" w:hAnsi="Times New Roman" w:cs="Times New Roman" w:hint="eastAsia"/>
                <w:szCs w:val="21"/>
              </w:rPr>
              <w:t>2.</w:t>
            </w:r>
            <w:r w:rsidRPr="00764730">
              <w:rPr>
                <w:rFonts w:ascii="Times New Roman" w:eastAsia="宋体" w:hAnsi="Times New Roman" w:cs="Times New Roman"/>
                <w:szCs w:val="21"/>
              </w:rPr>
              <w:t xml:space="preserve"> </w:t>
            </w:r>
            <w:r w:rsidRPr="00764730">
              <w:rPr>
                <w:rFonts w:ascii="Times New Roman" w:eastAsia="宋体" w:hAnsi="Times New Roman" w:cs="Times New Roman"/>
                <w:szCs w:val="21"/>
              </w:rPr>
              <w:t>评审年度内发生</w:t>
            </w:r>
            <w:r w:rsidRPr="00764730">
              <w:rPr>
                <w:rFonts w:ascii="Times New Roman" w:eastAsia="宋体" w:hAnsi="Times New Roman" w:cs="Times New Roman" w:hint="eastAsia"/>
                <w:szCs w:val="21"/>
              </w:rPr>
              <w:t>重伤及以上</w:t>
            </w:r>
            <w:r w:rsidRPr="00764730">
              <w:rPr>
                <w:rFonts w:ascii="Times New Roman" w:eastAsia="宋体" w:hAnsi="Times New Roman" w:cs="Times New Roman"/>
                <w:szCs w:val="21"/>
              </w:rPr>
              <w:t>生产</w:t>
            </w:r>
            <w:r w:rsidRPr="00764730">
              <w:rPr>
                <w:rFonts w:ascii="Times New Roman" w:eastAsia="宋体" w:hAnsi="Times New Roman" w:cs="Times New Roman" w:hint="eastAsia"/>
                <w:szCs w:val="21"/>
              </w:rPr>
              <w:t>安全</w:t>
            </w:r>
            <w:r w:rsidRPr="00764730">
              <w:rPr>
                <w:rFonts w:ascii="Times New Roman" w:eastAsia="宋体" w:hAnsi="Times New Roman" w:cs="Times New Roman"/>
                <w:szCs w:val="21"/>
              </w:rPr>
              <w:t>事故。</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p>
        </w:tc>
      </w:tr>
      <w:tr w:rsidR="00E44EFD" w:rsidRPr="00D817D9" w:rsidTr="00D608AD">
        <w:trPr>
          <w:jc w:val="center"/>
        </w:trPr>
        <w:tc>
          <w:tcPr>
            <w:tcW w:w="261" w:type="pct"/>
            <w:vMerge w:val="restart"/>
            <w:tcBorders>
              <w:top w:val="single" w:sz="4" w:space="0" w:color="auto"/>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lastRenderedPageBreak/>
              <w:t>6</w:t>
            </w:r>
          </w:p>
        </w:tc>
        <w:tc>
          <w:tcPr>
            <w:tcW w:w="456" w:type="pct"/>
            <w:vMerge w:val="restart"/>
            <w:tcBorders>
              <w:top w:val="single" w:sz="4" w:space="0" w:color="auto"/>
              <w:left w:val="single" w:sz="4" w:space="0" w:color="auto"/>
              <w:right w:val="single" w:sz="4" w:space="0" w:color="auto"/>
            </w:tcBorders>
            <w:vAlign w:val="center"/>
          </w:tcPr>
          <w:p w:rsidR="00E44EFD" w:rsidRPr="009B0135" w:rsidRDefault="00E44EFD" w:rsidP="00D608AD">
            <w:pPr>
              <w:adjustRightInd w:val="0"/>
              <w:snapToGrid w:val="0"/>
              <w:spacing w:line="400" w:lineRule="exact"/>
              <w:rPr>
                <w:rFonts w:ascii="Times New Roman" w:eastAsia="宋体" w:hAnsi="Times New Roman" w:cs="Times New Roman"/>
                <w:szCs w:val="21"/>
              </w:rPr>
            </w:pPr>
            <w:r>
              <w:rPr>
                <w:rFonts w:ascii="Times New Roman" w:eastAsia="宋体" w:hAnsi="Times New Roman" w:cs="Times New Roman" w:hint="eastAsia"/>
                <w:szCs w:val="21"/>
              </w:rPr>
              <w:t>职业卫生</w:t>
            </w: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3749BE" w:rsidRDefault="00E44EFD" w:rsidP="00D608AD">
            <w:pPr>
              <w:adjustRightInd w:val="0"/>
              <w:snapToGrid w:val="0"/>
              <w:spacing w:line="400" w:lineRule="exact"/>
              <w:rPr>
                <w:rFonts w:ascii="Times New Roman" w:eastAsia="宋体" w:hAnsi="Times New Roman" w:cs="Times New Roman"/>
                <w:szCs w:val="21"/>
              </w:rPr>
            </w:pPr>
            <w:r w:rsidRPr="00455C68">
              <w:rPr>
                <w:rFonts w:ascii="Times New Roman" w:eastAsia="宋体" w:hAnsi="Times New Roman" w:cs="Times New Roman" w:hint="eastAsia"/>
                <w:szCs w:val="21"/>
              </w:rPr>
              <w:t>1.</w:t>
            </w:r>
            <w:r w:rsidRPr="00455C68">
              <w:rPr>
                <w:rFonts w:ascii="Times New Roman" w:eastAsia="宋体" w:hAnsi="Times New Roman" w:cs="Times New Roman"/>
                <w:szCs w:val="21"/>
              </w:rPr>
              <w:t>职业病危害防治责任制度</w:t>
            </w:r>
            <w:r w:rsidRPr="00455C68">
              <w:rPr>
                <w:rFonts w:ascii="Times New Roman" w:eastAsia="宋体" w:hAnsi="Times New Roman" w:cs="Times New Roman" w:hint="eastAsia"/>
                <w:szCs w:val="21"/>
              </w:rPr>
              <w:t>。</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tcBorders>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p>
        </w:tc>
        <w:tc>
          <w:tcPr>
            <w:tcW w:w="456" w:type="pct"/>
            <w:vMerge/>
            <w:tcBorders>
              <w:left w:val="single" w:sz="4" w:space="0" w:color="auto"/>
              <w:right w:val="single" w:sz="4" w:space="0" w:color="auto"/>
            </w:tcBorders>
            <w:vAlign w:val="center"/>
          </w:tcPr>
          <w:p w:rsidR="00E44EFD" w:rsidRPr="009B0135" w:rsidRDefault="00E44EFD" w:rsidP="00D608AD">
            <w:pPr>
              <w:adjustRightInd w:val="0"/>
              <w:snapToGrid w:val="0"/>
              <w:spacing w:line="400" w:lineRule="exact"/>
              <w:rPr>
                <w:rFonts w:ascii="Times New Roman" w:eastAsia="宋体" w:hAnsi="Times New Roman" w:cs="Times New Roman"/>
                <w:szCs w:val="21"/>
              </w:rPr>
            </w:pP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3749BE" w:rsidRDefault="00E44EFD" w:rsidP="00D608AD">
            <w:pPr>
              <w:adjustRightInd w:val="0"/>
              <w:snapToGrid w:val="0"/>
              <w:spacing w:line="400" w:lineRule="exact"/>
              <w:rPr>
                <w:rFonts w:ascii="Times New Roman" w:eastAsia="宋体" w:hAnsi="Times New Roman" w:cs="Times New Roman"/>
                <w:szCs w:val="21"/>
              </w:rPr>
            </w:pPr>
            <w:r>
              <w:rPr>
                <w:rFonts w:ascii="Times New Roman" w:eastAsia="宋体" w:hAnsi="Times New Roman" w:cs="Times New Roman" w:hint="eastAsia"/>
                <w:szCs w:val="21"/>
              </w:rPr>
              <w:t>2.</w:t>
            </w:r>
            <w:r w:rsidRPr="00455C68">
              <w:rPr>
                <w:rFonts w:ascii="Times New Roman" w:eastAsia="宋体" w:hAnsi="Times New Roman" w:cs="Times New Roman"/>
                <w:szCs w:val="21"/>
              </w:rPr>
              <w:t>职业病危害警示与告知制度</w:t>
            </w:r>
            <w:r w:rsidRPr="00455C68">
              <w:rPr>
                <w:rFonts w:ascii="Times New Roman" w:eastAsia="宋体" w:hAnsi="Times New Roman" w:cs="Times New Roman" w:hint="eastAsia"/>
                <w:szCs w:val="21"/>
              </w:rPr>
              <w:t>。</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tcBorders>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p>
        </w:tc>
        <w:tc>
          <w:tcPr>
            <w:tcW w:w="456" w:type="pct"/>
            <w:vMerge/>
            <w:tcBorders>
              <w:left w:val="single" w:sz="4" w:space="0" w:color="auto"/>
              <w:right w:val="single" w:sz="4" w:space="0" w:color="auto"/>
            </w:tcBorders>
            <w:vAlign w:val="center"/>
          </w:tcPr>
          <w:p w:rsidR="00E44EFD" w:rsidRPr="009B0135" w:rsidRDefault="00E44EFD" w:rsidP="00D608AD">
            <w:pPr>
              <w:adjustRightInd w:val="0"/>
              <w:snapToGrid w:val="0"/>
              <w:spacing w:line="400" w:lineRule="exact"/>
              <w:rPr>
                <w:rFonts w:ascii="Times New Roman" w:eastAsia="宋体" w:hAnsi="Times New Roman" w:cs="Times New Roman"/>
                <w:szCs w:val="21"/>
              </w:rPr>
            </w:pP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3749BE" w:rsidRDefault="00E44EFD" w:rsidP="00D608AD">
            <w:pPr>
              <w:adjustRightInd w:val="0"/>
              <w:snapToGrid w:val="0"/>
              <w:spacing w:line="400" w:lineRule="exact"/>
              <w:rPr>
                <w:rFonts w:ascii="Times New Roman" w:eastAsia="宋体" w:hAnsi="Times New Roman" w:cs="Times New Roman"/>
                <w:szCs w:val="21"/>
              </w:rPr>
            </w:pPr>
            <w:r>
              <w:rPr>
                <w:rFonts w:ascii="Times New Roman" w:eastAsia="宋体" w:hAnsi="Times New Roman" w:cs="Times New Roman" w:hint="eastAsia"/>
                <w:szCs w:val="21"/>
              </w:rPr>
              <w:t>3.</w:t>
            </w:r>
            <w:r w:rsidRPr="00455C68">
              <w:rPr>
                <w:rFonts w:ascii="Times New Roman" w:eastAsia="宋体" w:hAnsi="Times New Roman" w:cs="Times New Roman"/>
                <w:szCs w:val="21"/>
              </w:rPr>
              <w:t>职业病危害项目申报制度</w:t>
            </w:r>
            <w:r w:rsidRPr="00455C68">
              <w:rPr>
                <w:rFonts w:ascii="Times New Roman" w:eastAsia="宋体" w:hAnsi="Times New Roman" w:cs="Times New Roman" w:hint="eastAsia"/>
                <w:szCs w:val="21"/>
              </w:rPr>
              <w:t>。</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tcBorders>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p>
        </w:tc>
        <w:tc>
          <w:tcPr>
            <w:tcW w:w="456" w:type="pct"/>
            <w:vMerge/>
            <w:tcBorders>
              <w:left w:val="single" w:sz="4" w:space="0" w:color="auto"/>
              <w:right w:val="single" w:sz="4" w:space="0" w:color="auto"/>
            </w:tcBorders>
            <w:vAlign w:val="center"/>
          </w:tcPr>
          <w:p w:rsidR="00E44EFD" w:rsidRPr="009B0135" w:rsidRDefault="00E44EFD" w:rsidP="00D608AD">
            <w:pPr>
              <w:adjustRightInd w:val="0"/>
              <w:snapToGrid w:val="0"/>
              <w:spacing w:line="400" w:lineRule="exact"/>
              <w:rPr>
                <w:rFonts w:ascii="Times New Roman" w:eastAsia="宋体" w:hAnsi="Times New Roman" w:cs="Times New Roman"/>
                <w:szCs w:val="21"/>
              </w:rPr>
            </w:pP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3749BE" w:rsidRDefault="00E44EFD" w:rsidP="00D608AD">
            <w:pPr>
              <w:adjustRightInd w:val="0"/>
              <w:snapToGrid w:val="0"/>
              <w:spacing w:line="400" w:lineRule="exact"/>
              <w:rPr>
                <w:rFonts w:ascii="Times New Roman" w:eastAsia="宋体" w:hAnsi="Times New Roman" w:cs="Times New Roman"/>
                <w:szCs w:val="21"/>
              </w:rPr>
            </w:pPr>
            <w:r>
              <w:rPr>
                <w:rFonts w:ascii="Times New Roman" w:eastAsia="宋体" w:hAnsi="Times New Roman" w:cs="Times New Roman" w:hint="eastAsia"/>
                <w:szCs w:val="21"/>
              </w:rPr>
              <w:t>4.</w:t>
            </w:r>
            <w:r w:rsidRPr="00455C68">
              <w:rPr>
                <w:rFonts w:ascii="Times New Roman" w:eastAsia="宋体" w:hAnsi="Times New Roman" w:cs="Times New Roman"/>
                <w:szCs w:val="21"/>
              </w:rPr>
              <w:t>职业病防治宣传教育培训制度</w:t>
            </w:r>
            <w:r w:rsidRPr="00455C68">
              <w:rPr>
                <w:rFonts w:ascii="Times New Roman" w:eastAsia="宋体" w:hAnsi="Times New Roman" w:cs="Times New Roman" w:hint="eastAsia"/>
                <w:szCs w:val="21"/>
              </w:rPr>
              <w:t>。</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tcBorders>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p>
        </w:tc>
        <w:tc>
          <w:tcPr>
            <w:tcW w:w="456" w:type="pct"/>
            <w:vMerge/>
            <w:tcBorders>
              <w:left w:val="single" w:sz="4" w:space="0" w:color="auto"/>
              <w:right w:val="single" w:sz="4" w:space="0" w:color="auto"/>
            </w:tcBorders>
            <w:vAlign w:val="center"/>
          </w:tcPr>
          <w:p w:rsidR="00E44EFD" w:rsidRPr="009B0135" w:rsidRDefault="00E44EFD" w:rsidP="00D608AD">
            <w:pPr>
              <w:adjustRightInd w:val="0"/>
              <w:snapToGrid w:val="0"/>
              <w:spacing w:line="400" w:lineRule="exact"/>
              <w:rPr>
                <w:rFonts w:ascii="Times New Roman" w:eastAsia="宋体" w:hAnsi="Times New Roman" w:cs="Times New Roman"/>
                <w:szCs w:val="21"/>
              </w:rPr>
            </w:pP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3749BE" w:rsidRDefault="00E44EFD" w:rsidP="00D608AD">
            <w:pPr>
              <w:adjustRightInd w:val="0"/>
              <w:snapToGrid w:val="0"/>
              <w:spacing w:line="400" w:lineRule="exact"/>
              <w:rPr>
                <w:rFonts w:ascii="Times New Roman" w:eastAsia="宋体" w:hAnsi="Times New Roman" w:cs="Times New Roman"/>
                <w:szCs w:val="21"/>
              </w:rPr>
            </w:pPr>
            <w:r>
              <w:rPr>
                <w:rFonts w:ascii="Times New Roman" w:eastAsia="宋体" w:hAnsi="Times New Roman" w:cs="Times New Roman" w:hint="eastAsia"/>
                <w:szCs w:val="21"/>
              </w:rPr>
              <w:t>5.</w:t>
            </w:r>
            <w:r w:rsidRPr="00455C68">
              <w:rPr>
                <w:rFonts w:ascii="Times New Roman" w:eastAsia="宋体" w:hAnsi="Times New Roman" w:cs="Times New Roman"/>
                <w:szCs w:val="21"/>
              </w:rPr>
              <w:t>职业病防护设施维护检修制度</w:t>
            </w:r>
            <w:r w:rsidRPr="00455C68">
              <w:rPr>
                <w:rFonts w:ascii="Times New Roman" w:eastAsia="宋体" w:hAnsi="Times New Roman" w:cs="Times New Roman" w:hint="eastAsia"/>
                <w:szCs w:val="21"/>
              </w:rPr>
              <w:t>。</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tcBorders>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p>
        </w:tc>
        <w:tc>
          <w:tcPr>
            <w:tcW w:w="456" w:type="pct"/>
            <w:vMerge/>
            <w:tcBorders>
              <w:left w:val="single" w:sz="4" w:space="0" w:color="auto"/>
              <w:right w:val="single" w:sz="4" w:space="0" w:color="auto"/>
            </w:tcBorders>
            <w:vAlign w:val="center"/>
          </w:tcPr>
          <w:p w:rsidR="00E44EFD" w:rsidRPr="009B0135" w:rsidRDefault="00E44EFD" w:rsidP="00D608AD">
            <w:pPr>
              <w:adjustRightInd w:val="0"/>
              <w:snapToGrid w:val="0"/>
              <w:spacing w:line="400" w:lineRule="exact"/>
              <w:rPr>
                <w:rFonts w:ascii="Times New Roman" w:eastAsia="宋体" w:hAnsi="Times New Roman" w:cs="Times New Roman"/>
                <w:szCs w:val="21"/>
              </w:rPr>
            </w:pP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3749BE" w:rsidRDefault="00E44EFD" w:rsidP="00D608AD">
            <w:pPr>
              <w:adjustRightInd w:val="0"/>
              <w:snapToGrid w:val="0"/>
              <w:spacing w:line="400" w:lineRule="exact"/>
              <w:rPr>
                <w:rFonts w:ascii="Times New Roman" w:eastAsia="宋体" w:hAnsi="Times New Roman" w:cs="Times New Roman"/>
                <w:szCs w:val="21"/>
              </w:rPr>
            </w:pPr>
            <w:r>
              <w:rPr>
                <w:rFonts w:ascii="Times New Roman" w:eastAsia="宋体" w:hAnsi="Times New Roman" w:cs="Times New Roman" w:hint="eastAsia"/>
                <w:szCs w:val="21"/>
              </w:rPr>
              <w:t>6.</w:t>
            </w:r>
            <w:r w:rsidRPr="00455C68">
              <w:rPr>
                <w:rFonts w:ascii="Times New Roman" w:eastAsia="宋体" w:hAnsi="Times New Roman" w:cs="Times New Roman"/>
                <w:szCs w:val="21"/>
              </w:rPr>
              <w:t>职业病防护用品管理制度</w:t>
            </w:r>
            <w:r w:rsidRPr="00455C68">
              <w:rPr>
                <w:rFonts w:ascii="Times New Roman" w:eastAsia="宋体" w:hAnsi="Times New Roman" w:cs="Times New Roman" w:hint="eastAsia"/>
                <w:szCs w:val="21"/>
              </w:rPr>
              <w:t>。</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tcBorders>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p>
        </w:tc>
        <w:tc>
          <w:tcPr>
            <w:tcW w:w="456" w:type="pct"/>
            <w:vMerge/>
            <w:tcBorders>
              <w:left w:val="single" w:sz="4" w:space="0" w:color="auto"/>
              <w:right w:val="single" w:sz="4" w:space="0" w:color="auto"/>
            </w:tcBorders>
            <w:vAlign w:val="center"/>
          </w:tcPr>
          <w:p w:rsidR="00E44EFD" w:rsidRPr="009B0135" w:rsidRDefault="00E44EFD" w:rsidP="00D608AD">
            <w:pPr>
              <w:adjustRightInd w:val="0"/>
              <w:snapToGrid w:val="0"/>
              <w:spacing w:line="400" w:lineRule="exact"/>
              <w:rPr>
                <w:rFonts w:ascii="Times New Roman" w:eastAsia="宋体" w:hAnsi="Times New Roman" w:cs="Times New Roman"/>
                <w:szCs w:val="21"/>
              </w:rPr>
            </w:pP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3749BE" w:rsidRDefault="00E44EFD" w:rsidP="00D608AD">
            <w:pPr>
              <w:adjustRightInd w:val="0"/>
              <w:snapToGrid w:val="0"/>
              <w:spacing w:line="400" w:lineRule="exact"/>
              <w:rPr>
                <w:rFonts w:ascii="Times New Roman" w:eastAsia="宋体" w:hAnsi="Times New Roman" w:cs="Times New Roman"/>
                <w:szCs w:val="21"/>
              </w:rPr>
            </w:pPr>
            <w:r>
              <w:rPr>
                <w:rFonts w:ascii="Times New Roman" w:eastAsia="宋体" w:hAnsi="Times New Roman" w:cs="Times New Roman" w:hint="eastAsia"/>
                <w:szCs w:val="21"/>
              </w:rPr>
              <w:t>7.</w:t>
            </w:r>
            <w:r w:rsidRPr="00455C68">
              <w:rPr>
                <w:rFonts w:ascii="Times New Roman" w:eastAsia="宋体" w:hAnsi="Times New Roman" w:cs="Times New Roman"/>
                <w:szCs w:val="21"/>
              </w:rPr>
              <w:t>职业病危害监测及评价管理制度</w:t>
            </w:r>
            <w:r w:rsidRPr="00455C68">
              <w:rPr>
                <w:rFonts w:ascii="Times New Roman" w:eastAsia="宋体" w:hAnsi="Times New Roman" w:cs="Times New Roman" w:hint="eastAsia"/>
                <w:szCs w:val="21"/>
              </w:rPr>
              <w:t>。</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tcBorders>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p>
        </w:tc>
        <w:tc>
          <w:tcPr>
            <w:tcW w:w="456" w:type="pct"/>
            <w:vMerge/>
            <w:tcBorders>
              <w:left w:val="single" w:sz="4" w:space="0" w:color="auto"/>
              <w:right w:val="single" w:sz="4" w:space="0" w:color="auto"/>
            </w:tcBorders>
            <w:vAlign w:val="center"/>
          </w:tcPr>
          <w:p w:rsidR="00E44EFD" w:rsidRPr="009B0135" w:rsidRDefault="00E44EFD" w:rsidP="00D608AD">
            <w:pPr>
              <w:adjustRightInd w:val="0"/>
              <w:snapToGrid w:val="0"/>
              <w:spacing w:line="400" w:lineRule="exact"/>
              <w:rPr>
                <w:rFonts w:ascii="Times New Roman" w:eastAsia="宋体" w:hAnsi="Times New Roman" w:cs="Times New Roman"/>
                <w:szCs w:val="21"/>
              </w:rPr>
            </w:pP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3749BE" w:rsidRDefault="00E44EFD" w:rsidP="00D608AD">
            <w:pPr>
              <w:adjustRightInd w:val="0"/>
              <w:snapToGrid w:val="0"/>
              <w:spacing w:line="400" w:lineRule="exact"/>
              <w:rPr>
                <w:rFonts w:ascii="Times New Roman" w:eastAsia="宋体" w:hAnsi="Times New Roman" w:cs="Times New Roman"/>
                <w:szCs w:val="21"/>
              </w:rPr>
            </w:pPr>
            <w:r>
              <w:rPr>
                <w:rFonts w:ascii="Times New Roman" w:eastAsia="宋体" w:hAnsi="Times New Roman" w:cs="Times New Roman" w:hint="eastAsia"/>
                <w:szCs w:val="21"/>
              </w:rPr>
              <w:t>8.</w:t>
            </w:r>
            <w:r w:rsidRPr="00455C68">
              <w:rPr>
                <w:rFonts w:ascii="Times New Roman" w:eastAsia="宋体" w:hAnsi="Times New Roman" w:cs="Times New Roman"/>
                <w:szCs w:val="21"/>
              </w:rPr>
              <w:t>建设项目职业卫生</w:t>
            </w:r>
            <w:r w:rsidRPr="00455C68">
              <w:rPr>
                <w:rFonts w:ascii="Times New Roman" w:eastAsia="宋体" w:hAnsi="Times New Roman" w:cs="Times New Roman"/>
                <w:szCs w:val="21"/>
              </w:rPr>
              <w:t>“</w:t>
            </w:r>
            <w:r w:rsidRPr="00455C68">
              <w:rPr>
                <w:rFonts w:ascii="Times New Roman" w:eastAsia="宋体" w:hAnsi="Times New Roman" w:cs="Times New Roman"/>
                <w:szCs w:val="21"/>
              </w:rPr>
              <w:t>三同时</w:t>
            </w:r>
            <w:r w:rsidRPr="00455C68">
              <w:rPr>
                <w:rFonts w:ascii="Times New Roman" w:eastAsia="宋体" w:hAnsi="Times New Roman" w:cs="Times New Roman"/>
                <w:szCs w:val="21"/>
              </w:rPr>
              <w:t>”</w:t>
            </w:r>
            <w:r w:rsidRPr="00455C68">
              <w:rPr>
                <w:rFonts w:ascii="Times New Roman" w:eastAsia="宋体" w:hAnsi="Times New Roman" w:cs="Times New Roman"/>
                <w:szCs w:val="21"/>
              </w:rPr>
              <w:t>管理制度</w:t>
            </w:r>
            <w:r w:rsidRPr="00455C68">
              <w:rPr>
                <w:rFonts w:ascii="Times New Roman" w:eastAsia="宋体" w:hAnsi="Times New Roman" w:cs="Times New Roman" w:hint="eastAsia"/>
                <w:szCs w:val="21"/>
              </w:rPr>
              <w:t>。</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tcBorders>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p>
        </w:tc>
        <w:tc>
          <w:tcPr>
            <w:tcW w:w="456" w:type="pct"/>
            <w:vMerge/>
            <w:tcBorders>
              <w:left w:val="single" w:sz="4" w:space="0" w:color="auto"/>
              <w:right w:val="single" w:sz="4" w:space="0" w:color="auto"/>
            </w:tcBorders>
            <w:vAlign w:val="center"/>
          </w:tcPr>
          <w:p w:rsidR="00E44EFD" w:rsidRPr="009B0135" w:rsidRDefault="00E44EFD" w:rsidP="00D608AD">
            <w:pPr>
              <w:adjustRightInd w:val="0"/>
              <w:snapToGrid w:val="0"/>
              <w:spacing w:line="400" w:lineRule="exact"/>
              <w:rPr>
                <w:rFonts w:ascii="Times New Roman" w:eastAsia="宋体" w:hAnsi="Times New Roman" w:cs="Times New Roman"/>
                <w:szCs w:val="21"/>
              </w:rPr>
            </w:pP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3749BE" w:rsidRDefault="00E44EFD" w:rsidP="00D608AD">
            <w:pPr>
              <w:adjustRightInd w:val="0"/>
              <w:snapToGrid w:val="0"/>
              <w:spacing w:line="400" w:lineRule="exact"/>
              <w:rPr>
                <w:rFonts w:ascii="Times New Roman" w:eastAsia="宋体" w:hAnsi="Times New Roman" w:cs="Times New Roman"/>
                <w:szCs w:val="21"/>
              </w:rPr>
            </w:pPr>
            <w:r>
              <w:rPr>
                <w:rFonts w:ascii="Times New Roman" w:eastAsia="宋体" w:hAnsi="Times New Roman" w:cs="Times New Roman" w:hint="eastAsia"/>
                <w:szCs w:val="21"/>
              </w:rPr>
              <w:t>9.</w:t>
            </w:r>
            <w:r w:rsidRPr="00455C68">
              <w:rPr>
                <w:rFonts w:ascii="Times New Roman" w:eastAsia="宋体" w:hAnsi="Times New Roman" w:cs="Times New Roman"/>
                <w:szCs w:val="21"/>
              </w:rPr>
              <w:t>劳动者职业健康监护及其档案管理制度</w:t>
            </w:r>
            <w:r w:rsidRPr="00455C68">
              <w:rPr>
                <w:rFonts w:ascii="Times New Roman" w:eastAsia="宋体" w:hAnsi="Times New Roman" w:cs="Times New Roman" w:hint="eastAsia"/>
                <w:szCs w:val="21"/>
              </w:rPr>
              <w:t>。</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tcBorders>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p>
        </w:tc>
        <w:tc>
          <w:tcPr>
            <w:tcW w:w="456" w:type="pct"/>
            <w:vMerge/>
            <w:tcBorders>
              <w:left w:val="single" w:sz="4" w:space="0" w:color="auto"/>
              <w:right w:val="single" w:sz="4" w:space="0" w:color="auto"/>
            </w:tcBorders>
            <w:vAlign w:val="center"/>
          </w:tcPr>
          <w:p w:rsidR="00E44EFD" w:rsidRPr="009B0135" w:rsidRDefault="00E44EFD" w:rsidP="00D608AD">
            <w:pPr>
              <w:adjustRightInd w:val="0"/>
              <w:snapToGrid w:val="0"/>
              <w:spacing w:line="400" w:lineRule="exact"/>
              <w:rPr>
                <w:rFonts w:ascii="Times New Roman" w:eastAsia="宋体" w:hAnsi="Times New Roman" w:cs="Times New Roman"/>
                <w:szCs w:val="21"/>
              </w:rPr>
            </w:pP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3749BE" w:rsidRDefault="00E44EFD" w:rsidP="00D608AD">
            <w:pPr>
              <w:adjustRightInd w:val="0"/>
              <w:snapToGrid w:val="0"/>
              <w:spacing w:line="400" w:lineRule="exact"/>
              <w:rPr>
                <w:rFonts w:ascii="Times New Roman" w:eastAsia="宋体" w:hAnsi="Times New Roman" w:cs="Times New Roman"/>
                <w:szCs w:val="21"/>
              </w:rPr>
            </w:pPr>
            <w:r>
              <w:rPr>
                <w:rFonts w:ascii="Times New Roman" w:eastAsia="宋体" w:hAnsi="Times New Roman" w:cs="Times New Roman" w:hint="eastAsia"/>
                <w:szCs w:val="21"/>
              </w:rPr>
              <w:t>10.</w:t>
            </w:r>
            <w:r w:rsidRPr="00455C68">
              <w:rPr>
                <w:rFonts w:ascii="Times New Roman" w:eastAsia="宋体" w:hAnsi="Times New Roman" w:cs="Times New Roman"/>
                <w:szCs w:val="21"/>
              </w:rPr>
              <w:t>职业病危害事故处置与报告制度</w:t>
            </w:r>
            <w:r w:rsidRPr="00455C68">
              <w:rPr>
                <w:rFonts w:ascii="Times New Roman" w:eastAsia="宋体" w:hAnsi="Times New Roman" w:cs="Times New Roman" w:hint="eastAsia"/>
                <w:szCs w:val="21"/>
              </w:rPr>
              <w:t>。</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tcBorders>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p>
        </w:tc>
        <w:tc>
          <w:tcPr>
            <w:tcW w:w="456" w:type="pct"/>
            <w:vMerge/>
            <w:tcBorders>
              <w:left w:val="single" w:sz="4" w:space="0" w:color="auto"/>
              <w:right w:val="single" w:sz="4" w:space="0" w:color="auto"/>
            </w:tcBorders>
            <w:vAlign w:val="center"/>
          </w:tcPr>
          <w:p w:rsidR="00E44EFD" w:rsidRPr="009B0135" w:rsidRDefault="00E44EFD" w:rsidP="00D608AD">
            <w:pPr>
              <w:adjustRightInd w:val="0"/>
              <w:snapToGrid w:val="0"/>
              <w:spacing w:line="400" w:lineRule="exact"/>
              <w:rPr>
                <w:rFonts w:ascii="Times New Roman" w:eastAsia="宋体" w:hAnsi="Times New Roman" w:cs="Times New Roman"/>
                <w:szCs w:val="21"/>
              </w:rPr>
            </w:pP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3749BE" w:rsidRDefault="00E44EFD" w:rsidP="00D608AD">
            <w:pPr>
              <w:adjustRightInd w:val="0"/>
              <w:snapToGrid w:val="0"/>
              <w:spacing w:line="400" w:lineRule="exact"/>
              <w:rPr>
                <w:rFonts w:ascii="Times New Roman" w:eastAsia="宋体" w:hAnsi="Times New Roman" w:cs="Times New Roman"/>
                <w:szCs w:val="21"/>
              </w:rPr>
            </w:pPr>
            <w:r>
              <w:rPr>
                <w:rFonts w:ascii="Times New Roman" w:eastAsia="宋体" w:hAnsi="Times New Roman" w:cs="Times New Roman" w:hint="eastAsia"/>
                <w:szCs w:val="21"/>
              </w:rPr>
              <w:t>11.</w:t>
            </w:r>
            <w:r w:rsidRPr="00455C68">
              <w:rPr>
                <w:rFonts w:ascii="Times New Roman" w:eastAsia="宋体" w:hAnsi="Times New Roman" w:cs="Times New Roman"/>
                <w:szCs w:val="21"/>
              </w:rPr>
              <w:t>职业病危害应急救援与管理制度</w:t>
            </w:r>
            <w:r w:rsidRPr="00455C68">
              <w:rPr>
                <w:rFonts w:ascii="Times New Roman" w:eastAsia="宋体" w:hAnsi="Times New Roman" w:cs="Times New Roman" w:hint="eastAsia"/>
                <w:szCs w:val="21"/>
              </w:rPr>
              <w:t>。</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tcBorders>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p>
        </w:tc>
        <w:tc>
          <w:tcPr>
            <w:tcW w:w="456" w:type="pct"/>
            <w:vMerge/>
            <w:tcBorders>
              <w:left w:val="single" w:sz="4" w:space="0" w:color="auto"/>
              <w:right w:val="single" w:sz="4" w:space="0" w:color="auto"/>
            </w:tcBorders>
            <w:vAlign w:val="center"/>
          </w:tcPr>
          <w:p w:rsidR="00E44EFD" w:rsidRPr="009B0135" w:rsidRDefault="00E44EFD" w:rsidP="00D608AD">
            <w:pPr>
              <w:adjustRightInd w:val="0"/>
              <w:snapToGrid w:val="0"/>
              <w:spacing w:line="400" w:lineRule="exact"/>
              <w:rPr>
                <w:rFonts w:ascii="Times New Roman" w:eastAsia="宋体" w:hAnsi="Times New Roman" w:cs="Times New Roman"/>
                <w:szCs w:val="21"/>
              </w:rPr>
            </w:pP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3749BE" w:rsidRDefault="00E44EFD" w:rsidP="00D608AD">
            <w:pPr>
              <w:adjustRightInd w:val="0"/>
              <w:snapToGrid w:val="0"/>
              <w:spacing w:line="400" w:lineRule="exact"/>
              <w:rPr>
                <w:rFonts w:ascii="Times New Roman" w:eastAsia="宋体" w:hAnsi="Times New Roman" w:cs="Times New Roman"/>
                <w:szCs w:val="21"/>
              </w:rPr>
            </w:pPr>
            <w:r>
              <w:rPr>
                <w:rFonts w:ascii="Times New Roman" w:eastAsia="宋体" w:hAnsi="Times New Roman" w:cs="Times New Roman" w:hint="eastAsia"/>
                <w:szCs w:val="21"/>
              </w:rPr>
              <w:t>12.</w:t>
            </w:r>
            <w:r w:rsidRPr="00455C68">
              <w:rPr>
                <w:rFonts w:ascii="Times New Roman" w:eastAsia="宋体" w:hAnsi="Times New Roman" w:cs="Times New Roman"/>
                <w:szCs w:val="21"/>
              </w:rPr>
              <w:t>岗位职业卫生操作规程</w:t>
            </w:r>
            <w:r w:rsidRPr="00455C68">
              <w:rPr>
                <w:rFonts w:ascii="Times New Roman" w:eastAsia="宋体" w:hAnsi="Times New Roman" w:cs="Times New Roman" w:hint="eastAsia"/>
                <w:szCs w:val="21"/>
              </w:rPr>
              <w:t>。</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tcBorders>
              <w:top w:val="single" w:sz="4" w:space="0" w:color="auto"/>
              <w:left w:val="single" w:sz="8" w:space="0" w:color="auto"/>
              <w:bottom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7</w:t>
            </w:r>
          </w:p>
        </w:tc>
        <w:tc>
          <w:tcPr>
            <w:tcW w:w="456" w:type="pct"/>
            <w:tcBorders>
              <w:top w:val="single" w:sz="4" w:space="0" w:color="auto"/>
              <w:left w:val="single" w:sz="4" w:space="0" w:color="auto"/>
              <w:bottom w:val="single" w:sz="8" w:space="0" w:color="auto"/>
              <w:right w:val="single" w:sz="4" w:space="0" w:color="auto"/>
            </w:tcBorders>
            <w:vAlign w:val="center"/>
          </w:tcPr>
          <w:p w:rsidR="00E44EFD" w:rsidRPr="009B0135" w:rsidRDefault="00E44EFD" w:rsidP="00D608AD">
            <w:pPr>
              <w:adjustRightInd w:val="0"/>
              <w:snapToGrid w:val="0"/>
              <w:spacing w:line="400" w:lineRule="exact"/>
              <w:rPr>
                <w:rFonts w:ascii="Times New Roman" w:eastAsia="宋体" w:hAnsi="Times New Roman" w:cs="Times New Roman"/>
                <w:szCs w:val="21"/>
              </w:rPr>
            </w:pPr>
            <w:r>
              <w:rPr>
                <w:rFonts w:ascii="Times New Roman" w:eastAsia="宋体" w:hAnsi="Times New Roman" w:cs="Times New Roman" w:hint="eastAsia"/>
                <w:szCs w:val="21"/>
              </w:rPr>
              <w:t>联合惩戒</w:t>
            </w:r>
          </w:p>
        </w:tc>
        <w:tc>
          <w:tcPr>
            <w:tcW w:w="1770" w:type="pct"/>
            <w:tcBorders>
              <w:top w:val="single" w:sz="4" w:space="0" w:color="auto"/>
              <w:left w:val="single" w:sz="4" w:space="0" w:color="auto"/>
              <w:bottom w:val="single" w:sz="8" w:space="0" w:color="auto"/>
              <w:right w:val="single" w:sz="4" w:space="0" w:color="auto"/>
            </w:tcBorders>
            <w:vAlign w:val="center"/>
          </w:tcPr>
          <w:p w:rsidR="00E44EFD" w:rsidRPr="00455C68" w:rsidRDefault="00E44EFD" w:rsidP="00D608AD">
            <w:pPr>
              <w:adjustRightInd w:val="0"/>
              <w:snapToGrid w:val="0"/>
              <w:spacing w:line="400" w:lineRule="exact"/>
              <w:rPr>
                <w:rFonts w:ascii="Times New Roman" w:eastAsia="宋体" w:hAnsi="Times New Roman" w:cs="Times New Roman"/>
                <w:szCs w:val="21"/>
              </w:rPr>
            </w:pPr>
            <w:r>
              <w:rPr>
                <w:rFonts w:ascii="Times New Roman" w:eastAsia="宋体" w:hAnsi="Times New Roman" w:cs="Times New Roman" w:hint="eastAsia"/>
                <w:szCs w:val="21"/>
              </w:rPr>
              <w:t>1.</w:t>
            </w:r>
            <w:r w:rsidRPr="00455C68">
              <w:rPr>
                <w:rFonts w:ascii="Times New Roman" w:eastAsia="宋体" w:hAnsi="Times New Roman" w:cs="Times New Roman" w:hint="eastAsia"/>
                <w:szCs w:val="21"/>
              </w:rPr>
              <w:t>被纳入联合惩戒对象。</w:t>
            </w: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val="restart"/>
            <w:tcBorders>
              <w:top w:val="single" w:sz="4" w:space="0" w:color="auto"/>
              <w:left w:val="single" w:sz="8" w:space="0" w:color="auto"/>
              <w:right w:val="single" w:sz="4" w:space="0" w:color="auto"/>
            </w:tcBorders>
            <w:vAlign w:val="center"/>
          </w:tcPr>
          <w:p w:rsidR="00E44EFD" w:rsidRPr="00B36DBB" w:rsidRDefault="00E44EFD" w:rsidP="00D608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8</w:t>
            </w:r>
          </w:p>
        </w:tc>
        <w:tc>
          <w:tcPr>
            <w:tcW w:w="456" w:type="pct"/>
            <w:vMerge w:val="restart"/>
            <w:tcBorders>
              <w:top w:val="single" w:sz="4" w:space="0" w:color="auto"/>
              <w:left w:val="single" w:sz="4" w:space="0" w:color="auto"/>
              <w:right w:val="single" w:sz="4" w:space="0" w:color="auto"/>
            </w:tcBorders>
            <w:vAlign w:val="center"/>
          </w:tcPr>
          <w:p w:rsidR="00E44EFD" w:rsidRPr="009B0135" w:rsidRDefault="00E44EFD" w:rsidP="00D608AD">
            <w:pPr>
              <w:adjustRightInd w:val="0"/>
              <w:snapToGrid w:val="0"/>
              <w:spacing w:line="400" w:lineRule="exact"/>
              <w:rPr>
                <w:rFonts w:ascii="Times New Roman" w:eastAsia="宋体" w:hAnsi="Times New Roman" w:cs="Times New Roman"/>
                <w:szCs w:val="21"/>
              </w:rPr>
            </w:pPr>
            <w:r>
              <w:rPr>
                <w:rFonts w:ascii="Times New Roman" w:eastAsia="宋体" w:hAnsi="Times New Roman" w:cs="Times New Roman" w:hint="eastAsia"/>
                <w:szCs w:val="21"/>
              </w:rPr>
              <w:t>安全生产责任险</w:t>
            </w:r>
          </w:p>
        </w:tc>
        <w:tc>
          <w:tcPr>
            <w:tcW w:w="1770" w:type="pct"/>
            <w:tcBorders>
              <w:top w:val="single" w:sz="4" w:space="0" w:color="auto"/>
              <w:left w:val="single" w:sz="4" w:space="0" w:color="auto"/>
              <w:bottom w:val="single" w:sz="4" w:space="0" w:color="auto"/>
              <w:right w:val="single" w:sz="4" w:space="0" w:color="auto"/>
            </w:tcBorders>
            <w:vAlign w:val="center"/>
          </w:tcPr>
          <w:p w:rsidR="00E44EFD" w:rsidRPr="0053349E" w:rsidRDefault="00E44EFD" w:rsidP="00D608AD">
            <w:pPr>
              <w:adjustRightInd w:val="0"/>
              <w:snapToGrid w:val="0"/>
              <w:spacing w:line="400" w:lineRule="exact"/>
              <w:rPr>
                <w:rFonts w:ascii="Times New Roman" w:eastAsia="宋体" w:hAnsi="Times New Roman" w:cs="Times New Roman"/>
                <w:szCs w:val="21"/>
              </w:rPr>
            </w:pPr>
            <w:r>
              <w:rPr>
                <w:rFonts w:ascii="Times New Roman" w:eastAsia="宋体" w:hAnsi="Times New Roman" w:cs="Times New Roman" w:hint="eastAsia"/>
                <w:szCs w:val="21"/>
              </w:rPr>
              <w:t>1.</w:t>
            </w:r>
            <w:r w:rsidRPr="00455C68">
              <w:rPr>
                <w:rFonts w:ascii="Times New Roman" w:eastAsia="宋体" w:hAnsi="Times New Roman" w:cs="Times New Roman" w:hint="eastAsia"/>
                <w:szCs w:val="21"/>
              </w:rPr>
              <w:t>矿山、危险化学品、烟花爆竹、交通运输、建筑施工、民用爆炸物品、金属冶炼七个高危行业投保安全生产责任保险</w:t>
            </w:r>
            <w:r>
              <w:rPr>
                <w:rFonts w:ascii="Times New Roman" w:eastAsia="宋体" w:hAnsi="Times New Roman" w:cs="Times New Roman" w:hint="eastAsia"/>
                <w:szCs w:val="21"/>
              </w:rPr>
              <w:t>。</w:t>
            </w:r>
          </w:p>
        </w:tc>
        <w:tc>
          <w:tcPr>
            <w:tcW w:w="286" w:type="pct"/>
            <w:tcBorders>
              <w:top w:val="single" w:sz="4" w:space="0" w:color="auto"/>
              <w:left w:val="single" w:sz="4" w:space="0" w:color="auto"/>
              <w:bottom w:val="single" w:sz="4"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4"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1115" w:type="pct"/>
            <w:tcBorders>
              <w:top w:val="single" w:sz="4" w:space="0" w:color="auto"/>
              <w:left w:val="single" w:sz="4" w:space="0" w:color="auto"/>
              <w:bottom w:val="single" w:sz="4"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不涉及</w:t>
            </w:r>
          </w:p>
        </w:tc>
        <w:tc>
          <w:tcPr>
            <w:tcW w:w="809" w:type="pct"/>
            <w:tcBorders>
              <w:top w:val="single" w:sz="4" w:space="0" w:color="auto"/>
              <w:left w:val="single" w:sz="4" w:space="0" w:color="auto"/>
              <w:bottom w:val="single" w:sz="4"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Pr="00782D2B">
              <w:rPr>
                <w:rFonts w:ascii="Times New Roman" w:eastAsia="宋体" w:hAnsi="Times New Roman" w:cs="Times New Roman"/>
                <w:szCs w:val="21"/>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261" w:type="pct"/>
            <w:vMerge/>
            <w:tcBorders>
              <w:left w:val="single" w:sz="8" w:space="0" w:color="auto"/>
              <w:bottom w:val="single" w:sz="4" w:space="0" w:color="auto"/>
              <w:right w:val="single" w:sz="4" w:space="0" w:color="auto"/>
            </w:tcBorders>
            <w:vAlign w:val="center"/>
          </w:tcPr>
          <w:p w:rsidR="00E44EFD" w:rsidRDefault="00E44EFD" w:rsidP="00D608AD">
            <w:pPr>
              <w:adjustRightInd w:val="0"/>
              <w:snapToGrid w:val="0"/>
              <w:jc w:val="center"/>
              <w:rPr>
                <w:rFonts w:ascii="Times New Roman" w:eastAsia="宋体" w:hAnsi="Times New Roman" w:cs="Times New Roman"/>
                <w:szCs w:val="21"/>
              </w:rPr>
            </w:pPr>
          </w:p>
        </w:tc>
        <w:tc>
          <w:tcPr>
            <w:tcW w:w="456" w:type="pct"/>
            <w:vMerge/>
            <w:tcBorders>
              <w:left w:val="single" w:sz="4" w:space="0" w:color="auto"/>
              <w:bottom w:val="single" w:sz="4" w:space="0" w:color="auto"/>
              <w:right w:val="single" w:sz="4" w:space="0" w:color="auto"/>
            </w:tcBorders>
            <w:vAlign w:val="center"/>
          </w:tcPr>
          <w:p w:rsidR="00E44EFD" w:rsidRDefault="00E44EFD" w:rsidP="00D608AD">
            <w:pPr>
              <w:adjustRightInd w:val="0"/>
              <w:snapToGrid w:val="0"/>
              <w:spacing w:line="400" w:lineRule="exact"/>
              <w:rPr>
                <w:rFonts w:ascii="Times New Roman" w:eastAsia="宋体" w:hAnsi="Times New Roman" w:cs="Times New Roman"/>
                <w:szCs w:val="21"/>
              </w:rPr>
            </w:pPr>
          </w:p>
        </w:tc>
        <w:tc>
          <w:tcPr>
            <w:tcW w:w="1770" w:type="pct"/>
            <w:tcBorders>
              <w:top w:val="single" w:sz="4" w:space="0" w:color="auto"/>
              <w:left w:val="single" w:sz="4" w:space="0" w:color="auto"/>
              <w:bottom w:val="single" w:sz="4" w:space="0" w:color="auto"/>
              <w:right w:val="single" w:sz="4" w:space="0" w:color="auto"/>
            </w:tcBorders>
            <w:vAlign w:val="center"/>
          </w:tcPr>
          <w:p w:rsidR="00E44EFD" w:rsidRDefault="00E44EFD" w:rsidP="00D608AD">
            <w:pPr>
              <w:adjustRightInd w:val="0"/>
              <w:snapToGrid w:val="0"/>
              <w:spacing w:line="400" w:lineRule="exact"/>
              <w:rPr>
                <w:rFonts w:ascii="Times New Roman" w:eastAsia="宋体" w:hAnsi="Times New Roman" w:cs="Times New Roman"/>
                <w:szCs w:val="21"/>
              </w:rPr>
            </w:pPr>
            <w:r>
              <w:rPr>
                <w:rFonts w:ascii="Times New Roman" w:eastAsia="宋体" w:hAnsi="Times New Roman" w:cs="Times New Roman" w:hint="eastAsia"/>
                <w:szCs w:val="21"/>
              </w:rPr>
              <w:t>2.</w:t>
            </w:r>
            <w:r w:rsidRPr="0053349E">
              <w:rPr>
                <w:rFonts w:ascii="Times New Roman" w:eastAsia="宋体" w:hAnsi="Times New Roman" w:cs="Times New Roman" w:hint="eastAsia"/>
                <w:szCs w:val="21"/>
              </w:rPr>
              <w:t xml:space="preserve"> </w:t>
            </w:r>
            <w:r w:rsidRPr="0053349E">
              <w:rPr>
                <w:rFonts w:ascii="Times New Roman" w:eastAsia="宋体" w:hAnsi="Times New Roman" w:cs="Times New Roman" w:hint="eastAsia"/>
                <w:szCs w:val="21"/>
              </w:rPr>
              <w:t>未按规定提取和使用安全生产费用</w:t>
            </w:r>
            <w:r>
              <w:rPr>
                <w:rFonts w:ascii="Times New Roman" w:eastAsia="宋体" w:hAnsi="Times New Roman" w:cs="Times New Roman" w:hint="eastAsia"/>
                <w:szCs w:val="21"/>
              </w:rPr>
              <w:t>。</w:t>
            </w:r>
          </w:p>
        </w:tc>
        <w:tc>
          <w:tcPr>
            <w:tcW w:w="286" w:type="pct"/>
            <w:tcBorders>
              <w:top w:val="single" w:sz="4" w:space="0" w:color="auto"/>
              <w:left w:val="single" w:sz="4" w:space="0" w:color="auto"/>
              <w:bottom w:val="single" w:sz="4"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303" w:type="pct"/>
            <w:tcBorders>
              <w:top w:val="single" w:sz="4" w:space="0" w:color="auto"/>
              <w:left w:val="single" w:sz="4" w:space="0" w:color="auto"/>
              <w:bottom w:val="single" w:sz="4"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sidRPr="00764730">
              <w:rPr>
                <w:rFonts w:ascii="Times New Roman" w:eastAsia="宋体" w:hAnsi="Times New Roman" w:cs="Times New Roman"/>
                <w:szCs w:val="21"/>
              </w:rPr>
              <w:t>×</w:t>
            </w:r>
          </w:p>
        </w:tc>
        <w:tc>
          <w:tcPr>
            <w:tcW w:w="1115" w:type="pct"/>
            <w:tcBorders>
              <w:top w:val="single" w:sz="4" w:space="0" w:color="auto"/>
              <w:left w:val="single" w:sz="4" w:space="0" w:color="auto"/>
              <w:bottom w:val="single" w:sz="4" w:space="0" w:color="auto"/>
              <w:right w:val="single" w:sz="4" w:space="0" w:color="auto"/>
            </w:tcBorders>
            <w:vAlign w:val="center"/>
          </w:tcPr>
          <w:p w:rsidR="00E44EFD" w:rsidRPr="009B0135" w:rsidRDefault="002531C4" w:rsidP="0046422A">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合格</w:t>
            </w:r>
          </w:p>
        </w:tc>
        <w:tc>
          <w:tcPr>
            <w:tcW w:w="809" w:type="pct"/>
            <w:tcBorders>
              <w:top w:val="single" w:sz="4" w:space="0" w:color="auto"/>
              <w:left w:val="single" w:sz="4" w:space="0" w:color="auto"/>
              <w:bottom w:val="single" w:sz="4"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D817D9">
              <w:rPr>
                <w:rFonts w:ascii="Times New Roman" w:eastAsia="宋体" w:hAnsi="Times New Roman" w:cs="Times New Roman"/>
                <w:szCs w:val="21"/>
              </w:rPr>
              <w:t>不通过</w:t>
            </w:r>
            <w:r w:rsidRPr="00782D2B">
              <w:rPr>
                <w:rFonts w:ascii="Times New Roman" w:eastAsia="宋体" w:hAnsi="Times New Roman" w:cs="Times New Roman"/>
                <w:szCs w:val="21"/>
              </w:rPr>
              <w:t>□</w:t>
            </w:r>
          </w:p>
        </w:tc>
      </w:tr>
      <w:tr w:rsidR="00E44EFD" w:rsidRPr="00D817D9" w:rsidTr="00D608AD">
        <w:trPr>
          <w:jc w:val="center"/>
        </w:trPr>
        <w:tc>
          <w:tcPr>
            <w:tcW w:w="717" w:type="pct"/>
            <w:gridSpan w:val="2"/>
            <w:tcBorders>
              <w:top w:val="single" w:sz="4" w:space="0" w:color="auto"/>
              <w:left w:val="single" w:sz="8" w:space="0" w:color="auto"/>
              <w:bottom w:val="single" w:sz="8" w:space="0" w:color="auto"/>
              <w:right w:val="single" w:sz="4" w:space="0" w:color="auto"/>
            </w:tcBorders>
            <w:vAlign w:val="center"/>
          </w:tcPr>
          <w:p w:rsidR="00E44EFD" w:rsidRDefault="00E44EFD" w:rsidP="00D608AD">
            <w:pPr>
              <w:adjustRightInd w:val="0"/>
              <w:snapToGrid w:val="0"/>
              <w:spacing w:line="400" w:lineRule="exact"/>
              <w:jc w:val="center"/>
              <w:rPr>
                <w:rFonts w:ascii="Times New Roman" w:eastAsia="宋体" w:hAnsi="Times New Roman" w:cs="Times New Roman"/>
                <w:szCs w:val="21"/>
              </w:rPr>
            </w:pPr>
            <w:r>
              <w:rPr>
                <w:rFonts w:ascii="Times New Roman" w:eastAsia="宋体" w:hAnsi="Times New Roman" w:cs="Times New Roman" w:hint="eastAsia"/>
                <w:szCs w:val="21"/>
              </w:rPr>
              <w:t>总</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计</w:t>
            </w:r>
          </w:p>
        </w:tc>
        <w:tc>
          <w:tcPr>
            <w:tcW w:w="1770" w:type="pct"/>
            <w:tcBorders>
              <w:top w:val="single" w:sz="4" w:space="0" w:color="auto"/>
              <w:left w:val="single" w:sz="4" w:space="0" w:color="auto"/>
              <w:bottom w:val="single" w:sz="8" w:space="0" w:color="auto"/>
              <w:right w:val="single" w:sz="4" w:space="0" w:color="auto"/>
            </w:tcBorders>
            <w:vAlign w:val="center"/>
          </w:tcPr>
          <w:p w:rsidR="00E44EFD" w:rsidRDefault="00E44EFD" w:rsidP="00D608AD">
            <w:pPr>
              <w:adjustRightInd w:val="0"/>
              <w:snapToGrid w:val="0"/>
              <w:spacing w:line="400" w:lineRule="exact"/>
              <w:rPr>
                <w:rFonts w:ascii="Times New Roman" w:eastAsia="宋体" w:hAnsi="Times New Roman" w:cs="Times New Roman"/>
                <w:szCs w:val="21"/>
              </w:rPr>
            </w:pPr>
          </w:p>
        </w:tc>
        <w:tc>
          <w:tcPr>
            <w:tcW w:w="286"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22</w:t>
            </w:r>
          </w:p>
        </w:tc>
        <w:tc>
          <w:tcPr>
            <w:tcW w:w="303" w:type="pct"/>
            <w:tcBorders>
              <w:top w:val="single" w:sz="4" w:space="0" w:color="auto"/>
              <w:left w:val="single" w:sz="4" w:space="0" w:color="auto"/>
              <w:bottom w:val="single" w:sz="8" w:space="0" w:color="auto"/>
              <w:right w:val="single" w:sz="4" w:space="0" w:color="auto"/>
            </w:tcBorders>
            <w:vAlign w:val="center"/>
          </w:tcPr>
          <w:p w:rsidR="00E44EFD" w:rsidRPr="00764730" w:rsidRDefault="00E44EFD" w:rsidP="00D608AD">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8</w:t>
            </w:r>
          </w:p>
        </w:tc>
        <w:tc>
          <w:tcPr>
            <w:tcW w:w="1115" w:type="pct"/>
            <w:tcBorders>
              <w:top w:val="single" w:sz="4" w:space="0" w:color="auto"/>
              <w:left w:val="single" w:sz="4" w:space="0" w:color="auto"/>
              <w:bottom w:val="single" w:sz="8" w:space="0" w:color="auto"/>
              <w:right w:val="single" w:sz="4" w:space="0" w:color="auto"/>
            </w:tcBorders>
            <w:vAlign w:val="center"/>
          </w:tcPr>
          <w:p w:rsidR="00E44EFD" w:rsidRPr="009B0135" w:rsidRDefault="00E44EFD" w:rsidP="00D608AD">
            <w:pPr>
              <w:adjustRightInd w:val="0"/>
              <w:snapToGrid w:val="0"/>
              <w:rPr>
                <w:rFonts w:ascii="Times New Roman" w:eastAsia="宋体" w:hAnsi="Times New Roman" w:cs="Times New Roman"/>
                <w:szCs w:val="21"/>
              </w:rPr>
            </w:pPr>
          </w:p>
        </w:tc>
        <w:tc>
          <w:tcPr>
            <w:tcW w:w="809" w:type="pct"/>
            <w:tcBorders>
              <w:top w:val="single" w:sz="4" w:space="0" w:color="auto"/>
              <w:left w:val="single" w:sz="4" w:space="0" w:color="auto"/>
              <w:bottom w:val="single" w:sz="8" w:space="0" w:color="auto"/>
              <w:right w:val="single" w:sz="8"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p>
        </w:tc>
      </w:tr>
    </w:tbl>
    <w:p w:rsidR="00E44EFD" w:rsidRPr="006E0BA8" w:rsidRDefault="00E44EFD" w:rsidP="00E44EFD">
      <w:pPr>
        <w:snapToGrid w:val="0"/>
        <w:outlineLvl w:val="0"/>
        <w:rPr>
          <w:rFonts w:asciiTheme="minorEastAsia" w:hAnsiTheme="minorEastAsia"/>
          <w:color w:val="000000"/>
          <w:sz w:val="28"/>
          <w:szCs w:val="28"/>
        </w:rPr>
      </w:pPr>
      <w:r w:rsidRPr="006E0BA8">
        <w:rPr>
          <w:rFonts w:asciiTheme="minorEastAsia" w:hAnsiTheme="minorEastAsia" w:hint="eastAsia"/>
          <w:color w:val="000000"/>
          <w:sz w:val="28"/>
          <w:szCs w:val="28"/>
        </w:rPr>
        <w:lastRenderedPageBreak/>
        <w:t>附表2</w:t>
      </w:r>
    </w:p>
    <w:p w:rsidR="00E44EFD" w:rsidRDefault="00E44EFD" w:rsidP="00E44EFD">
      <w:pPr>
        <w:snapToGrid w:val="0"/>
        <w:jc w:val="center"/>
        <w:outlineLvl w:val="0"/>
        <w:rPr>
          <w:rFonts w:asciiTheme="minorEastAsia" w:hAnsiTheme="minorEastAsia"/>
          <w:b/>
          <w:color w:val="000000"/>
          <w:sz w:val="32"/>
          <w:szCs w:val="32"/>
        </w:rPr>
      </w:pPr>
      <w:r w:rsidRPr="003F332F">
        <w:rPr>
          <w:rFonts w:asciiTheme="minorEastAsia" w:hAnsiTheme="minorEastAsia" w:hint="eastAsia"/>
          <w:b/>
          <w:color w:val="000000"/>
          <w:sz w:val="32"/>
          <w:szCs w:val="32"/>
        </w:rPr>
        <w:t>安全生产标准化评审否决项检查表</w:t>
      </w:r>
    </w:p>
    <w:p w:rsidR="00E44EFD" w:rsidRPr="003F332F" w:rsidRDefault="00E44EFD" w:rsidP="00E44EFD">
      <w:pPr>
        <w:snapToGrid w:val="0"/>
        <w:jc w:val="center"/>
        <w:outlineLvl w:val="0"/>
        <w:rPr>
          <w:rFonts w:asciiTheme="minorEastAsia" w:hAnsiTheme="minorEastAsia"/>
          <w:color w:val="000000"/>
          <w:sz w:val="28"/>
          <w:szCs w:val="28"/>
        </w:rPr>
      </w:pPr>
      <w:r w:rsidRPr="003F332F">
        <w:rPr>
          <w:rFonts w:asciiTheme="minorEastAsia" w:hAnsiTheme="minorEastAsia" w:hint="eastAsia"/>
          <w:color w:val="000000"/>
          <w:sz w:val="28"/>
          <w:szCs w:val="28"/>
        </w:rPr>
        <w:t>（</w:t>
      </w:r>
      <w:r>
        <w:rPr>
          <w:rFonts w:asciiTheme="minorEastAsia" w:hAnsiTheme="minorEastAsia" w:hint="eastAsia"/>
          <w:color w:val="000000"/>
          <w:sz w:val="28"/>
          <w:szCs w:val="28"/>
        </w:rPr>
        <w:t>基本否决项</w:t>
      </w:r>
      <w:r w:rsidRPr="003F332F">
        <w:rPr>
          <w:rFonts w:asciiTheme="minorEastAsia" w:hAnsiTheme="minorEastAsia" w:hint="eastAsia"/>
          <w:color w:val="000000"/>
          <w:sz w:val="28"/>
          <w:szCs w:val="28"/>
        </w:rPr>
        <w:t>）</w:t>
      </w:r>
    </w:p>
    <w:tbl>
      <w:tblPr>
        <w:tblW w:w="4955"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13"/>
        <w:gridCol w:w="1533"/>
        <w:gridCol w:w="7277"/>
        <w:gridCol w:w="2229"/>
        <w:gridCol w:w="2061"/>
      </w:tblGrid>
      <w:tr w:rsidR="00E44EFD" w:rsidRPr="00D817D9" w:rsidTr="00D608AD">
        <w:trPr>
          <w:tblHeader/>
          <w:jc w:val="center"/>
        </w:trPr>
        <w:tc>
          <w:tcPr>
            <w:tcW w:w="258" w:type="pct"/>
            <w:tcBorders>
              <w:top w:val="single" w:sz="4" w:space="0" w:color="auto"/>
              <w:bottom w:val="single" w:sz="4" w:space="0" w:color="auto"/>
            </w:tcBorders>
            <w:vAlign w:val="center"/>
          </w:tcPr>
          <w:p w:rsidR="00E44EFD" w:rsidRPr="003F332F" w:rsidRDefault="00E44EFD" w:rsidP="00D608AD">
            <w:pPr>
              <w:adjustRightInd w:val="0"/>
              <w:snapToGrid w:val="0"/>
              <w:jc w:val="center"/>
              <w:rPr>
                <w:rFonts w:ascii="Times New Roman" w:eastAsia="宋体" w:hAnsi="Times New Roman" w:cs="Times New Roman"/>
                <w:b/>
                <w:bCs/>
                <w:color w:val="000000"/>
                <w:szCs w:val="21"/>
              </w:rPr>
            </w:pPr>
            <w:r w:rsidRPr="003F332F">
              <w:rPr>
                <w:rFonts w:ascii="Times New Roman" w:eastAsia="宋体" w:hAnsi="Times New Roman" w:cs="Times New Roman"/>
                <w:b/>
                <w:bCs/>
                <w:color w:val="000000"/>
                <w:szCs w:val="21"/>
              </w:rPr>
              <w:t>序号</w:t>
            </w:r>
          </w:p>
        </w:tc>
        <w:tc>
          <w:tcPr>
            <w:tcW w:w="555" w:type="pct"/>
            <w:tcBorders>
              <w:top w:val="single" w:sz="4" w:space="0" w:color="auto"/>
              <w:bottom w:val="single" w:sz="4" w:space="0" w:color="auto"/>
            </w:tcBorders>
            <w:vAlign w:val="center"/>
          </w:tcPr>
          <w:p w:rsidR="00E44EFD" w:rsidRPr="003F332F" w:rsidRDefault="00E44EFD" w:rsidP="00D608AD">
            <w:pPr>
              <w:adjustRightInd w:val="0"/>
              <w:snapToGrid w:val="0"/>
              <w:jc w:val="center"/>
              <w:rPr>
                <w:rFonts w:ascii="Times New Roman" w:eastAsia="宋体" w:hAnsi="Times New Roman" w:cs="Times New Roman"/>
                <w:b/>
                <w:color w:val="000000"/>
                <w:szCs w:val="21"/>
              </w:rPr>
            </w:pPr>
            <w:r w:rsidRPr="003F332F">
              <w:rPr>
                <w:rFonts w:ascii="Times New Roman" w:eastAsia="宋体" w:hAnsi="Times New Roman" w:cs="Times New Roman" w:hint="eastAsia"/>
                <w:b/>
                <w:color w:val="000000"/>
                <w:szCs w:val="21"/>
              </w:rPr>
              <w:t>分</w:t>
            </w:r>
            <w:r>
              <w:rPr>
                <w:rFonts w:ascii="Times New Roman" w:eastAsia="宋体" w:hAnsi="Times New Roman" w:cs="Times New Roman" w:hint="eastAsia"/>
                <w:b/>
                <w:color w:val="000000"/>
                <w:szCs w:val="21"/>
              </w:rPr>
              <w:t xml:space="preserve"> </w:t>
            </w:r>
            <w:r w:rsidRPr="003F332F">
              <w:rPr>
                <w:rFonts w:ascii="Times New Roman" w:eastAsia="宋体" w:hAnsi="Times New Roman" w:cs="Times New Roman" w:hint="eastAsia"/>
                <w:b/>
                <w:color w:val="000000"/>
                <w:szCs w:val="21"/>
              </w:rPr>
              <w:t>类</w:t>
            </w:r>
          </w:p>
        </w:tc>
        <w:tc>
          <w:tcPr>
            <w:tcW w:w="2634" w:type="pct"/>
            <w:tcBorders>
              <w:top w:val="single" w:sz="4" w:space="0" w:color="auto"/>
              <w:bottom w:val="single" w:sz="4" w:space="0" w:color="auto"/>
            </w:tcBorders>
            <w:vAlign w:val="center"/>
          </w:tcPr>
          <w:p w:rsidR="00E44EFD" w:rsidRPr="003F332F" w:rsidRDefault="00E44EFD" w:rsidP="00D608AD">
            <w:pPr>
              <w:adjustRightInd w:val="0"/>
              <w:snapToGrid w:val="0"/>
              <w:jc w:val="center"/>
              <w:rPr>
                <w:rFonts w:ascii="Times New Roman" w:eastAsia="宋体" w:hAnsi="Times New Roman" w:cs="Times New Roman"/>
                <w:b/>
                <w:color w:val="000000"/>
                <w:szCs w:val="21"/>
              </w:rPr>
            </w:pPr>
            <w:r w:rsidRPr="003F332F">
              <w:rPr>
                <w:rFonts w:ascii="Times New Roman" w:eastAsia="宋体" w:hAnsi="Times New Roman" w:cs="Times New Roman" w:hint="eastAsia"/>
                <w:b/>
                <w:bCs/>
                <w:color w:val="000000"/>
                <w:szCs w:val="21"/>
              </w:rPr>
              <w:t>否决</w:t>
            </w:r>
            <w:r w:rsidRPr="003F332F">
              <w:rPr>
                <w:rFonts w:ascii="Times New Roman" w:eastAsia="宋体" w:hAnsi="Times New Roman" w:cs="Times New Roman"/>
                <w:b/>
                <w:bCs/>
                <w:color w:val="000000"/>
                <w:szCs w:val="21"/>
              </w:rPr>
              <w:t>内容</w:t>
            </w:r>
          </w:p>
        </w:tc>
        <w:tc>
          <w:tcPr>
            <w:tcW w:w="807" w:type="pct"/>
            <w:tcBorders>
              <w:top w:val="single" w:sz="4" w:space="0" w:color="auto"/>
              <w:bottom w:val="single" w:sz="4" w:space="0" w:color="auto"/>
            </w:tcBorders>
            <w:vAlign w:val="center"/>
          </w:tcPr>
          <w:p w:rsidR="00E44EFD" w:rsidRPr="003F332F" w:rsidRDefault="00E44EFD" w:rsidP="00D608AD">
            <w:pPr>
              <w:adjustRightInd w:val="0"/>
              <w:snapToGrid w:val="0"/>
              <w:jc w:val="center"/>
              <w:rPr>
                <w:rFonts w:ascii="Times New Roman" w:eastAsia="宋体" w:hAnsi="Times New Roman" w:cs="Times New Roman"/>
                <w:b/>
                <w:color w:val="000000"/>
                <w:szCs w:val="21"/>
              </w:rPr>
            </w:pPr>
            <w:r w:rsidRPr="003F332F">
              <w:rPr>
                <w:rFonts w:ascii="Times New Roman" w:eastAsia="宋体" w:hAnsi="Times New Roman" w:cs="Times New Roman"/>
                <w:b/>
                <w:bCs/>
                <w:color w:val="000000"/>
                <w:szCs w:val="21"/>
              </w:rPr>
              <w:t>评定情况</w:t>
            </w:r>
          </w:p>
        </w:tc>
        <w:tc>
          <w:tcPr>
            <w:tcW w:w="746" w:type="pct"/>
            <w:tcBorders>
              <w:top w:val="single" w:sz="4" w:space="0" w:color="auto"/>
              <w:bottom w:val="single" w:sz="4" w:space="0" w:color="auto"/>
            </w:tcBorders>
          </w:tcPr>
          <w:p w:rsidR="00E44EFD" w:rsidRPr="003F332F" w:rsidRDefault="00E44EFD" w:rsidP="00D608AD">
            <w:pPr>
              <w:adjustRightInd w:val="0"/>
              <w:snapToGrid w:val="0"/>
              <w:jc w:val="center"/>
              <w:rPr>
                <w:rFonts w:ascii="Times New Roman" w:eastAsia="宋体" w:hAnsi="Times New Roman" w:cs="Times New Roman"/>
                <w:b/>
                <w:bCs/>
                <w:color w:val="000000"/>
                <w:szCs w:val="21"/>
              </w:rPr>
            </w:pPr>
            <w:r w:rsidRPr="003F332F">
              <w:rPr>
                <w:rFonts w:ascii="Times New Roman" w:eastAsia="宋体" w:hAnsi="Times New Roman" w:cs="Times New Roman"/>
                <w:b/>
                <w:bCs/>
                <w:color w:val="000000"/>
                <w:szCs w:val="21"/>
              </w:rPr>
              <w:t>是否通过</w:t>
            </w:r>
          </w:p>
        </w:tc>
      </w:tr>
      <w:tr w:rsidR="00E44EFD" w:rsidRPr="00D817D9" w:rsidTr="00D608AD">
        <w:trPr>
          <w:jc w:val="center"/>
        </w:trPr>
        <w:tc>
          <w:tcPr>
            <w:tcW w:w="258" w:type="pct"/>
            <w:tcBorders>
              <w:top w:val="single" w:sz="4" w:space="0" w:color="auto"/>
            </w:tcBorders>
            <w:vAlign w:val="center"/>
          </w:tcPr>
          <w:p w:rsidR="00E44EFD" w:rsidRPr="00907782" w:rsidRDefault="00E44EFD" w:rsidP="00D608AD">
            <w:pPr>
              <w:adjustRightInd w:val="0"/>
              <w:snapToGrid w:val="0"/>
              <w:jc w:val="center"/>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1</w:t>
            </w:r>
          </w:p>
        </w:tc>
        <w:tc>
          <w:tcPr>
            <w:tcW w:w="555" w:type="pct"/>
            <w:tcBorders>
              <w:top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bCs/>
                <w:color w:val="000000"/>
                <w:szCs w:val="21"/>
              </w:rPr>
            </w:pPr>
            <w:r>
              <w:rPr>
                <w:rFonts w:ascii="Times New Roman" w:eastAsia="宋体" w:hAnsi="Times New Roman" w:cs="Times New Roman" w:hint="eastAsia"/>
                <w:color w:val="000000"/>
                <w:szCs w:val="21"/>
              </w:rPr>
              <w:t>（一）</w:t>
            </w:r>
            <w:r w:rsidRPr="00D817D9">
              <w:rPr>
                <w:rFonts w:ascii="Times New Roman" w:eastAsia="宋体" w:hAnsi="Times New Roman" w:cs="Times New Roman"/>
                <w:color w:val="000000"/>
                <w:szCs w:val="21"/>
              </w:rPr>
              <w:t>安全生产责任制</w:t>
            </w:r>
          </w:p>
        </w:tc>
        <w:tc>
          <w:tcPr>
            <w:tcW w:w="2634" w:type="pct"/>
            <w:tcBorders>
              <w:top w:val="single" w:sz="4" w:space="0" w:color="auto"/>
            </w:tcBorders>
            <w:vAlign w:val="center"/>
          </w:tcPr>
          <w:p w:rsidR="00E44EFD" w:rsidRPr="00D817D9" w:rsidRDefault="00E44EFD" w:rsidP="00D608AD">
            <w:pPr>
              <w:pStyle w:val="a7"/>
              <w:snapToGrid w:val="0"/>
              <w:jc w:val="both"/>
              <w:rPr>
                <w:rFonts w:ascii="Times New Roman"/>
                <w:bCs/>
                <w:color w:val="000000"/>
              </w:rPr>
            </w:pPr>
            <w:r w:rsidRPr="00D817D9">
              <w:rPr>
                <w:rFonts w:ascii="Times New Roman"/>
                <w:color w:val="000000"/>
              </w:rPr>
              <w:t>建立、健全安全生产责任制，</w:t>
            </w:r>
            <w:r w:rsidRPr="00D817D9">
              <w:rPr>
                <w:rFonts w:ascii="Times New Roman"/>
              </w:rPr>
              <w:t>至少应包括主要负责人、安全生产管理人员的安全生产职责。</w:t>
            </w:r>
          </w:p>
        </w:tc>
        <w:tc>
          <w:tcPr>
            <w:tcW w:w="807" w:type="pct"/>
            <w:tcBorders>
              <w:top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bCs/>
                <w:color w:val="000000"/>
                <w:szCs w:val="21"/>
              </w:rPr>
            </w:pPr>
            <w:r>
              <w:rPr>
                <w:rFonts w:ascii="Times New Roman" w:eastAsia="宋体" w:hAnsi="Times New Roman" w:cs="Times New Roman" w:hint="eastAsia"/>
                <w:bCs/>
                <w:color w:val="000000"/>
                <w:szCs w:val="21"/>
              </w:rPr>
              <w:t>合格</w:t>
            </w:r>
          </w:p>
        </w:tc>
        <w:tc>
          <w:tcPr>
            <w:tcW w:w="746" w:type="pct"/>
            <w:tcBorders>
              <w:top w:val="single" w:sz="4"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D817D9">
              <w:rPr>
                <w:rFonts w:ascii="Times New Roman" w:eastAsia="宋体" w:hAnsi="Times New Roman" w:cs="Times New Roman"/>
                <w:szCs w:val="21"/>
              </w:rPr>
              <w:t>不通过</w:t>
            </w:r>
            <w:r w:rsidRPr="00D817D9">
              <w:rPr>
                <w:rFonts w:ascii="Times New Roman" w:eastAsia="宋体" w:hAnsi="Times New Roman" w:cs="Times New Roman"/>
                <w:sz w:val="36"/>
                <w:szCs w:val="36"/>
              </w:rPr>
              <w:t>□</w:t>
            </w:r>
          </w:p>
        </w:tc>
      </w:tr>
      <w:tr w:rsidR="00E44EFD" w:rsidRPr="00D817D9" w:rsidTr="00D608AD">
        <w:trPr>
          <w:jc w:val="center"/>
        </w:trPr>
        <w:tc>
          <w:tcPr>
            <w:tcW w:w="258" w:type="pct"/>
            <w:tcBorders>
              <w:bottom w:val="single" w:sz="4" w:space="0" w:color="auto"/>
            </w:tcBorders>
            <w:vAlign w:val="center"/>
          </w:tcPr>
          <w:p w:rsidR="00E44EFD" w:rsidRPr="00907782" w:rsidRDefault="00E44EFD" w:rsidP="00D608AD">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2</w:t>
            </w:r>
          </w:p>
        </w:tc>
        <w:tc>
          <w:tcPr>
            <w:tcW w:w="555" w:type="pct"/>
            <w:tcBorders>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（二）</w:t>
            </w:r>
            <w:r w:rsidRPr="00D817D9">
              <w:rPr>
                <w:rFonts w:ascii="Times New Roman" w:eastAsia="宋体" w:hAnsi="Times New Roman" w:cs="Times New Roman"/>
                <w:color w:val="000000"/>
                <w:szCs w:val="21"/>
              </w:rPr>
              <w:t>安全生产、职业卫生管理机构和人员</w:t>
            </w:r>
          </w:p>
        </w:tc>
        <w:tc>
          <w:tcPr>
            <w:tcW w:w="2634" w:type="pct"/>
            <w:tcBorders>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sidRPr="00D817D9">
              <w:rPr>
                <w:rFonts w:ascii="Times New Roman" w:eastAsia="宋体" w:hAnsi="Times New Roman" w:cs="Times New Roman"/>
                <w:color w:val="000000"/>
                <w:szCs w:val="21"/>
              </w:rPr>
              <w:t>设置安全生产管理机构或配备安全生产管理人员，设置符合下列要求：</w:t>
            </w:r>
          </w:p>
          <w:p w:rsidR="00E44EFD" w:rsidRPr="00D817D9" w:rsidRDefault="00E44EFD" w:rsidP="00D608AD">
            <w:pPr>
              <w:adjustRightInd w:val="0"/>
              <w:snapToGrid w:val="0"/>
              <w:rPr>
                <w:rFonts w:ascii="Times New Roman" w:eastAsia="宋体" w:hAnsi="Times New Roman" w:cs="Times New Roman"/>
                <w:color w:val="000000"/>
                <w:szCs w:val="21"/>
              </w:rPr>
            </w:pPr>
            <w:r w:rsidRPr="00D817D9">
              <w:rPr>
                <w:rFonts w:ascii="Times New Roman" w:eastAsia="宋体" w:hAnsi="Times New Roman" w:cs="Times New Roman"/>
                <w:color w:val="000000"/>
                <w:szCs w:val="21"/>
              </w:rPr>
              <w:t>a</w:t>
            </w:r>
            <w:r w:rsidRPr="00D817D9">
              <w:rPr>
                <w:rFonts w:ascii="Times New Roman" w:eastAsia="宋体" w:hAnsi="Times New Roman" w:cs="Times New Roman"/>
                <w:color w:val="000000"/>
                <w:szCs w:val="21"/>
              </w:rPr>
              <w:t>）矿山、金属冶炼、建筑施工、道路运输单位和危险物品的生产、经营、储存单位，应设置安全生产管理机构或者配备专职安全生产管理人员。其他生产经营单位，从业人员超过</w:t>
            </w:r>
            <w:r w:rsidRPr="00D817D9">
              <w:rPr>
                <w:rFonts w:ascii="Times New Roman" w:eastAsia="宋体" w:hAnsi="Times New Roman" w:cs="Times New Roman"/>
                <w:color w:val="000000"/>
                <w:szCs w:val="21"/>
              </w:rPr>
              <w:t>100</w:t>
            </w:r>
            <w:r w:rsidRPr="00D817D9">
              <w:rPr>
                <w:rFonts w:ascii="Times New Roman" w:eastAsia="宋体" w:hAnsi="Times New Roman" w:cs="Times New Roman"/>
                <w:color w:val="000000"/>
                <w:szCs w:val="21"/>
              </w:rPr>
              <w:t>人的，应设置安全生产管理机构或者配备专职安全生产管理人员；从业人员在</w:t>
            </w:r>
            <w:r w:rsidRPr="00D817D9">
              <w:rPr>
                <w:rFonts w:ascii="Times New Roman" w:eastAsia="宋体" w:hAnsi="Times New Roman" w:cs="Times New Roman"/>
                <w:color w:val="000000"/>
                <w:szCs w:val="21"/>
              </w:rPr>
              <w:t>100</w:t>
            </w:r>
            <w:r w:rsidRPr="00D817D9">
              <w:rPr>
                <w:rFonts w:ascii="Times New Roman" w:eastAsia="宋体" w:hAnsi="Times New Roman" w:cs="Times New Roman"/>
                <w:color w:val="000000"/>
                <w:szCs w:val="21"/>
              </w:rPr>
              <w:t>人以下的，应配备专职或者兼职的安全生产管理人员；</w:t>
            </w:r>
          </w:p>
          <w:p w:rsidR="00E44EFD" w:rsidRPr="00D817D9" w:rsidRDefault="00E44EFD" w:rsidP="00D608AD">
            <w:pPr>
              <w:adjustRightInd w:val="0"/>
              <w:snapToGrid w:val="0"/>
              <w:rPr>
                <w:rFonts w:ascii="Times New Roman" w:eastAsia="宋体" w:hAnsi="Times New Roman" w:cs="Times New Roman"/>
                <w:color w:val="000000"/>
                <w:szCs w:val="21"/>
              </w:rPr>
            </w:pPr>
            <w:r w:rsidRPr="00D817D9">
              <w:rPr>
                <w:rFonts w:ascii="Times New Roman" w:eastAsia="宋体" w:hAnsi="Times New Roman" w:cs="Times New Roman"/>
                <w:color w:val="000000"/>
                <w:szCs w:val="21"/>
              </w:rPr>
              <w:t>b</w:t>
            </w:r>
            <w:r w:rsidRPr="00D817D9">
              <w:rPr>
                <w:rFonts w:ascii="Times New Roman" w:eastAsia="宋体" w:hAnsi="Times New Roman" w:cs="Times New Roman"/>
                <w:color w:val="000000"/>
                <w:szCs w:val="21"/>
              </w:rPr>
              <w:t>）职业病危害严重的用人单位，应设置或者指定职业卫生管理机构或者组织，配备专职职业卫生管理人员；其他存在职业病危害的用人单位，从业人员超过</w:t>
            </w:r>
            <w:r w:rsidRPr="00D817D9">
              <w:rPr>
                <w:rFonts w:ascii="Times New Roman" w:eastAsia="宋体" w:hAnsi="Times New Roman" w:cs="Times New Roman"/>
                <w:color w:val="000000"/>
                <w:szCs w:val="21"/>
              </w:rPr>
              <w:t>100</w:t>
            </w:r>
            <w:r w:rsidRPr="00D817D9">
              <w:rPr>
                <w:rFonts w:ascii="Times New Roman" w:eastAsia="宋体" w:hAnsi="Times New Roman" w:cs="Times New Roman"/>
                <w:color w:val="000000"/>
                <w:szCs w:val="21"/>
              </w:rPr>
              <w:t>人的，应设置或者指定职业卫生管理机构或者组织，配备专职职业卫生管理人员；从业人员在</w:t>
            </w:r>
            <w:r w:rsidRPr="00D817D9">
              <w:rPr>
                <w:rFonts w:ascii="Times New Roman" w:eastAsia="宋体" w:hAnsi="Times New Roman" w:cs="Times New Roman"/>
                <w:color w:val="000000"/>
                <w:szCs w:val="21"/>
              </w:rPr>
              <w:t>100</w:t>
            </w:r>
            <w:r w:rsidRPr="00D817D9">
              <w:rPr>
                <w:rFonts w:ascii="Times New Roman" w:eastAsia="宋体" w:hAnsi="Times New Roman" w:cs="Times New Roman"/>
                <w:color w:val="000000"/>
                <w:szCs w:val="21"/>
              </w:rPr>
              <w:t>人以下的，应配备专职或者兼职的职业卫生管理人员。</w:t>
            </w:r>
          </w:p>
        </w:tc>
        <w:tc>
          <w:tcPr>
            <w:tcW w:w="807" w:type="pct"/>
            <w:tcBorders>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bottom w:val="single" w:sz="4" w:space="0" w:color="auto"/>
            </w:tcBorders>
            <w:vAlign w:val="center"/>
          </w:tcPr>
          <w:p w:rsidR="00E44EFD" w:rsidRPr="00D817D9" w:rsidRDefault="00E44EFD" w:rsidP="00D608AD">
            <w:pPr>
              <w:snapToGrid w:val="0"/>
              <w:jc w:val="center"/>
              <w:rPr>
                <w:rFonts w:ascii="Times New Roman" w:eastAsia="宋体" w:hAnsi="Times New Roman" w:cs="Times New Roman"/>
                <w:szCs w:val="21"/>
              </w:rPr>
            </w:pPr>
            <w:r w:rsidRPr="00D817D9">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D817D9">
              <w:rPr>
                <w:rFonts w:ascii="Times New Roman" w:eastAsia="宋体" w:hAnsi="Times New Roman" w:cs="Times New Roman"/>
                <w:szCs w:val="21"/>
              </w:rPr>
              <w:t>不通过</w:t>
            </w:r>
            <w:r w:rsidRPr="00D817D9">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3</w:t>
            </w:r>
          </w:p>
        </w:tc>
        <w:tc>
          <w:tcPr>
            <w:tcW w:w="555" w:type="pct"/>
            <w:vMerge w:val="restart"/>
            <w:tcBorders>
              <w:top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（三）</w:t>
            </w:r>
            <w:r w:rsidRPr="00D817D9">
              <w:rPr>
                <w:rFonts w:ascii="Times New Roman" w:eastAsia="宋体" w:hAnsi="Times New Roman" w:cs="Times New Roman"/>
                <w:color w:val="000000"/>
                <w:szCs w:val="21"/>
              </w:rPr>
              <w:t>特种设备</w:t>
            </w: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sidRPr="00D817D9">
              <w:rPr>
                <w:rFonts w:ascii="Times New Roman" w:eastAsia="宋体" w:hAnsi="Times New Roman" w:cs="Times New Roman"/>
                <w:color w:val="000000"/>
                <w:szCs w:val="21"/>
              </w:rPr>
              <w:t>特种设备使用单位应使用取得许可生产并经检验合格的特种设备，不使用国家明令淘汰和已经报废的特种设备。</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A43994">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A43994">
              <w:rPr>
                <w:rFonts w:ascii="Times New Roman" w:eastAsia="宋体" w:hAnsi="Times New Roman" w:cs="Times New Roman"/>
                <w:szCs w:val="21"/>
              </w:rPr>
              <w:t>不通过</w:t>
            </w:r>
            <w:r w:rsidRPr="00A43994">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4</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sidRPr="00D817D9">
              <w:rPr>
                <w:rFonts w:ascii="Times New Roman" w:eastAsia="宋体" w:hAnsi="Times New Roman" w:cs="Times New Roman"/>
                <w:szCs w:val="21"/>
              </w:rPr>
              <w:t>特种设备使用单位办理特种设备使用登记，并按规定的周期进行检验。</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A43994">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A43994">
              <w:rPr>
                <w:rFonts w:ascii="Times New Roman" w:eastAsia="宋体" w:hAnsi="Times New Roman" w:cs="Times New Roman"/>
                <w:szCs w:val="21"/>
              </w:rPr>
              <w:t>不通过</w:t>
            </w:r>
            <w:r w:rsidRPr="00A43994">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5</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特种设备使用单位应建立特种设备安全技术档案。</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A43994">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A43994">
              <w:rPr>
                <w:rFonts w:ascii="Times New Roman" w:eastAsia="宋体" w:hAnsi="Times New Roman" w:cs="Times New Roman"/>
                <w:szCs w:val="21"/>
              </w:rPr>
              <w:t>不通过</w:t>
            </w:r>
            <w:r w:rsidRPr="00A43994">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6</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特种设备使用单位应对在用特种设备进行自行检查。</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A43994">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A43994">
              <w:rPr>
                <w:rFonts w:ascii="Times New Roman" w:eastAsia="宋体" w:hAnsi="Times New Roman" w:cs="Times New Roman"/>
                <w:szCs w:val="21"/>
              </w:rPr>
              <w:t>不通过</w:t>
            </w:r>
            <w:r w:rsidRPr="00A43994">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7</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特种设备的安全附件、安全保护装置应定期校验检定、检修，并保存记录。</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A43994">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A43994">
              <w:rPr>
                <w:rFonts w:ascii="Times New Roman" w:eastAsia="宋体" w:hAnsi="Times New Roman" w:cs="Times New Roman"/>
                <w:szCs w:val="21"/>
              </w:rPr>
              <w:t>不通过</w:t>
            </w:r>
            <w:r w:rsidRPr="00A43994">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8</w:t>
            </w:r>
          </w:p>
        </w:tc>
        <w:tc>
          <w:tcPr>
            <w:tcW w:w="555" w:type="pct"/>
            <w:vMerge/>
            <w:tcBorders>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特种设备使用单位应将特种设备安全检验合格标志及相关牌照和证书固定在设备现场显著位置。未经定期检验或检验不合格的特种设备不应使用。</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A43994">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A43994">
              <w:rPr>
                <w:rFonts w:ascii="Times New Roman" w:eastAsia="宋体" w:hAnsi="Times New Roman" w:cs="Times New Roman"/>
                <w:szCs w:val="21"/>
              </w:rPr>
              <w:t>不通过</w:t>
            </w:r>
            <w:r w:rsidRPr="00A43994">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9</w:t>
            </w:r>
          </w:p>
        </w:tc>
        <w:tc>
          <w:tcPr>
            <w:tcW w:w="555" w:type="pct"/>
            <w:vMerge w:val="restart"/>
            <w:tcBorders>
              <w:top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（四）</w:t>
            </w:r>
            <w:r w:rsidRPr="00D817D9">
              <w:rPr>
                <w:rFonts w:ascii="Times New Roman" w:eastAsia="宋体" w:hAnsi="Times New Roman" w:cs="Times New Roman"/>
                <w:color w:val="000000"/>
                <w:szCs w:val="21"/>
              </w:rPr>
              <w:t>危险化</w:t>
            </w:r>
            <w:r w:rsidRPr="00D817D9">
              <w:rPr>
                <w:rFonts w:ascii="Times New Roman" w:eastAsia="宋体" w:hAnsi="Times New Roman" w:cs="Times New Roman"/>
                <w:color w:val="000000"/>
                <w:szCs w:val="21"/>
              </w:rPr>
              <w:lastRenderedPageBreak/>
              <w:t>学品</w:t>
            </w: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sidRPr="00D817D9">
              <w:rPr>
                <w:rFonts w:ascii="Times New Roman" w:eastAsia="宋体" w:hAnsi="Times New Roman" w:cs="Times New Roman"/>
                <w:color w:val="000000"/>
                <w:szCs w:val="21"/>
              </w:rPr>
              <w:lastRenderedPageBreak/>
              <w:t>不应使用国家禁止使用的危险化学品。</w:t>
            </w:r>
          </w:p>
        </w:tc>
        <w:tc>
          <w:tcPr>
            <w:tcW w:w="807" w:type="pct"/>
            <w:tcBorders>
              <w:top w:val="single" w:sz="4" w:space="0" w:color="auto"/>
              <w:bottom w:val="single" w:sz="4" w:space="0" w:color="auto"/>
            </w:tcBorders>
            <w:vAlign w:val="center"/>
          </w:tcPr>
          <w:p w:rsidR="00E44EFD" w:rsidRPr="00D817D9" w:rsidRDefault="007735C3" w:rsidP="007735C3">
            <w:pPr>
              <w:adjustRightInd w:val="0"/>
              <w:snapToGrid w:val="0"/>
              <w:jc w:val="center"/>
              <w:rPr>
                <w:rFonts w:ascii="Times New Roman" w:eastAsia="宋体" w:hAnsi="Times New Roman" w:cs="Times New Roman" w:hint="eastAsia"/>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A43994">
              <w:rPr>
                <w:rFonts w:ascii="Times New Roman" w:eastAsia="宋体" w:hAnsi="Times New Roman" w:cs="Times New Roman"/>
                <w:szCs w:val="21"/>
              </w:rPr>
              <w:t>通过</w:t>
            </w:r>
            <w:r w:rsidRPr="00A43994">
              <w:rPr>
                <w:rFonts w:ascii="Times New Roman" w:eastAsia="宋体" w:hAnsi="Times New Roman" w:cs="Times New Roman"/>
                <w:sz w:val="36"/>
                <w:szCs w:val="36"/>
              </w:rPr>
              <w:t>□</w:t>
            </w:r>
            <w:r w:rsidRPr="00A43994">
              <w:rPr>
                <w:rFonts w:ascii="Times New Roman" w:eastAsia="宋体" w:hAnsi="Times New Roman" w:cs="Times New Roman"/>
                <w:szCs w:val="21"/>
              </w:rPr>
              <w:t>不通过</w:t>
            </w:r>
            <w:r w:rsidRPr="00A43994">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lastRenderedPageBreak/>
              <w:t>10</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sidRPr="00D817D9">
              <w:rPr>
                <w:rFonts w:ascii="Times New Roman" w:eastAsia="宋体" w:hAnsi="Times New Roman" w:cs="Times New Roman"/>
                <w:color w:val="000000"/>
                <w:szCs w:val="21"/>
              </w:rPr>
              <w:t>危险化学品储存场所不应设置在地下或半地下建、构筑物内。危险化学品储存场所内不应设置员工宿舍或休息室。</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A43994">
              <w:rPr>
                <w:rFonts w:ascii="Times New Roman" w:eastAsia="宋体" w:hAnsi="Times New Roman" w:cs="Times New Roman"/>
                <w:szCs w:val="21"/>
              </w:rPr>
              <w:t>通过</w:t>
            </w:r>
            <w:r w:rsidRPr="00A43994">
              <w:rPr>
                <w:rFonts w:ascii="Times New Roman" w:eastAsia="宋体" w:hAnsi="Times New Roman" w:cs="Times New Roman"/>
                <w:sz w:val="36"/>
                <w:szCs w:val="36"/>
              </w:rPr>
              <w:t>□</w:t>
            </w:r>
            <w:r w:rsidRPr="00A43994">
              <w:rPr>
                <w:rFonts w:ascii="Times New Roman" w:eastAsia="宋体" w:hAnsi="Times New Roman" w:cs="Times New Roman"/>
                <w:szCs w:val="21"/>
              </w:rPr>
              <w:t>不通过</w:t>
            </w:r>
            <w:r w:rsidRPr="00A43994">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11</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sidRPr="00D817D9">
              <w:rPr>
                <w:rFonts w:ascii="Times New Roman" w:eastAsia="宋体" w:hAnsi="Times New Roman" w:cs="Times New Roman"/>
                <w:color w:val="000000"/>
                <w:szCs w:val="21"/>
              </w:rPr>
              <w:t>危险化学品专用仓库应为单层且独立设置。</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BC43D0">
              <w:rPr>
                <w:rFonts w:ascii="Times New Roman" w:eastAsia="宋体" w:hAnsi="Times New Roman" w:cs="Times New Roman"/>
                <w:szCs w:val="21"/>
              </w:rPr>
              <w:t>通过</w:t>
            </w:r>
            <w:r w:rsidRPr="00BC43D0">
              <w:rPr>
                <w:rFonts w:ascii="Times New Roman" w:eastAsia="宋体" w:hAnsi="Times New Roman" w:cs="Times New Roman"/>
                <w:sz w:val="36"/>
                <w:szCs w:val="36"/>
              </w:rPr>
              <w:t>□</w:t>
            </w:r>
            <w:r w:rsidRPr="00BC43D0">
              <w:rPr>
                <w:rFonts w:ascii="Times New Roman" w:eastAsia="宋体" w:hAnsi="Times New Roman" w:cs="Times New Roman"/>
                <w:szCs w:val="21"/>
              </w:rPr>
              <w:t>不通过</w:t>
            </w:r>
            <w:r w:rsidRPr="00BC43D0">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12</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sidRPr="00D817D9">
              <w:rPr>
                <w:rFonts w:ascii="Times New Roman" w:eastAsia="宋体" w:hAnsi="Times New Roman" w:cs="Times New Roman"/>
                <w:color w:val="000000"/>
                <w:szCs w:val="21"/>
              </w:rPr>
              <w:t>危险化学品专用仓库的墙体应采用不燃烧材料的实体墙。危险化学品专用仓库的建筑物构架应根据危险化学品的类别和危险等级采用木结构、钢结构或装配式钢筋混凝土结构。</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BC43D0">
              <w:rPr>
                <w:rFonts w:ascii="Times New Roman" w:eastAsia="宋体" w:hAnsi="Times New Roman" w:cs="Times New Roman"/>
                <w:szCs w:val="21"/>
              </w:rPr>
              <w:t>通过</w:t>
            </w:r>
            <w:r w:rsidRPr="00BC43D0">
              <w:rPr>
                <w:rFonts w:ascii="Times New Roman" w:eastAsia="宋体" w:hAnsi="Times New Roman" w:cs="Times New Roman"/>
                <w:sz w:val="36"/>
                <w:szCs w:val="36"/>
              </w:rPr>
              <w:t>□</w:t>
            </w:r>
            <w:r w:rsidRPr="00BC43D0">
              <w:rPr>
                <w:rFonts w:ascii="Times New Roman" w:eastAsia="宋体" w:hAnsi="Times New Roman" w:cs="Times New Roman"/>
                <w:szCs w:val="21"/>
              </w:rPr>
              <w:t>不通过</w:t>
            </w:r>
            <w:r w:rsidRPr="00BC43D0">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13</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sidRPr="00D817D9">
              <w:rPr>
                <w:rFonts w:ascii="Times New Roman" w:eastAsia="宋体" w:hAnsi="Times New Roman" w:cs="Times New Roman"/>
                <w:color w:val="000000"/>
                <w:szCs w:val="21"/>
              </w:rPr>
              <w:t>构成重大危险源的单位应委托具有相应资质的安全评价机构对重大危险源进行安全评估并确定重大危险源等级。</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BC43D0">
              <w:rPr>
                <w:rFonts w:ascii="Times New Roman" w:eastAsia="宋体" w:hAnsi="Times New Roman" w:cs="Times New Roman"/>
                <w:szCs w:val="21"/>
              </w:rPr>
              <w:t>通过</w:t>
            </w:r>
            <w:r w:rsidRPr="00BC43D0">
              <w:rPr>
                <w:rFonts w:ascii="Times New Roman" w:eastAsia="宋体" w:hAnsi="Times New Roman" w:cs="Times New Roman"/>
                <w:sz w:val="36"/>
                <w:szCs w:val="36"/>
              </w:rPr>
              <w:t>□</w:t>
            </w:r>
            <w:r w:rsidRPr="00BC43D0">
              <w:rPr>
                <w:rFonts w:ascii="Times New Roman" w:eastAsia="宋体" w:hAnsi="Times New Roman" w:cs="Times New Roman"/>
                <w:szCs w:val="21"/>
              </w:rPr>
              <w:t>不通过</w:t>
            </w:r>
            <w:r w:rsidRPr="00BC43D0">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14</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highlight w:val="yellow"/>
              </w:rPr>
            </w:pPr>
            <w:r w:rsidRPr="00D817D9">
              <w:rPr>
                <w:rFonts w:ascii="Times New Roman" w:eastAsia="宋体" w:hAnsi="Times New Roman" w:cs="Times New Roman"/>
                <w:szCs w:val="21"/>
              </w:rPr>
              <w:t>构成重大危险源的，应建立重大危险源档案。</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BC43D0">
              <w:rPr>
                <w:rFonts w:ascii="Times New Roman" w:eastAsia="宋体" w:hAnsi="Times New Roman" w:cs="Times New Roman"/>
                <w:szCs w:val="21"/>
              </w:rPr>
              <w:t>通过</w:t>
            </w:r>
            <w:r w:rsidRPr="00BC43D0">
              <w:rPr>
                <w:rFonts w:ascii="Times New Roman" w:eastAsia="宋体" w:hAnsi="Times New Roman" w:cs="Times New Roman"/>
                <w:sz w:val="36"/>
                <w:szCs w:val="36"/>
              </w:rPr>
              <w:t>□</w:t>
            </w:r>
            <w:r w:rsidRPr="00BC43D0">
              <w:rPr>
                <w:rFonts w:ascii="Times New Roman" w:eastAsia="宋体" w:hAnsi="Times New Roman" w:cs="Times New Roman"/>
                <w:szCs w:val="21"/>
              </w:rPr>
              <w:t>不通过</w:t>
            </w:r>
            <w:r w:rsidRPr="00BC43D0">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15</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使用危险化学品的单位应采购有危险化学品安全生产许可或经营许可资质单位的危险化学品。</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BC43D0">
              <w:rPr>
                <w:rFonts w:ascii="Times New Roman" w:eastAsia="宋体" w:hAnsi="Times New Roman" w:cs="Times New Roman"/>
                <w:szCs w:val="21"/>
              </w:rPr>
              <w:t>通过</w:t>
            </w:r>
            <w:r w:rsidRPr="00BC43D0">
              <w:rPr>
                <w:rFonts w:ascii="Times New Roman" w:eastAsia="宋体" w:hAnsi="Times New Roman" w:cs="Times New Roman"/>
                <w:sz w:val="36"/>
                <w:szCs w:val="36"/>
              </w:rPr>
              <w:t>□</w:t>
            </w:r>
            <w:r w:rsidRPr="00BC43D0">
              <w:rPr>
                <w:rFonts w:ascii="Times New Roman" w:eastAsia="宋体" w:hAnsi="Times New Roman" w:cs="Times New Roman"/>
                <w:szCs w:val="21"/>
              </w:rPr>
              <w:t>不通过</w:t>
            </w:r>
            <w:r w:rsidRPr="00BC43D0">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16</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危险化学品应储存在储存场所内。</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BC43D0">
              <w:rPr>
                <w:rFonts w:ascii="Times New Roman" w:eastAsia="宋体" w:hAnsi="Times New Roman" w:cs="Times New Roman"/>
                <w:szCs w:val="21"/>
              </w:rPr>
              <w:t>通过</w:t>
            </w:r>
            <w:r w:rsidRPr="00BC43D0">
              <w:rPr>
                <w:rFonts w:ascii="Times New Roman" w:eastAsia="宋体" w:hAnsi="Times New Roman" w:cs="Times New Roman"/>
                <w:sz w:val="36"/>
                <w:szCs w:val="36"/>
              </w:rPr>
              <w:t>□</w:t>
            </w:r>
            <w:r w:rsidRPr="00BC43D0">
              <w:rPr>
                <w:rFonts w:ascii="Times New Roman" w:eastAsia="宋体" w:hAnsi="Times New Roman" w:cs="Times New Roman"/>
                <w:szCs w:val="21"/>
              </w:rPr>
              <w:t>不通过</w:t>
            </w:r>
            <w:r w:rsidRPr="00BC43D0">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17</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危险化学品储存场所应由专人负责管理。</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BC43D0">
              <w:rPr>
                <w:rFonts w:ascii="Times New Roman" w:eastAsia="宋体" w:hAnsi="Times New Roman" w:cs="Times New Roman"/>
                <w:szCs w:val="21"/>
              </w:rPr>
              <w:t>通过</w:t>
            </w:r>
            <w:r w:rsidRPr="00BC43D0">
              <w:rPr>
                <w:rFonts w:ascii="Times New Roman" w:eastAsia="宋体" w:hAnsi="Times New Roman" w:cs="Times New Roman"/>
                <w:sz w:val="36"/>
                <w:szCs w:val="36"/>
              </w:rPr>
              <w:t>□</w:t>
            </w:r>
            <w:r w:rsidRPr="00BC43D0">
              <w:rPr>
                <w:rFonts w:ascii="Times New Roman" w:eastAsia="宋体" w:hAnsi="Times New Roman" w:cs="Times New Roman"/>
                <w:szCs w:val="21"/>
              </w:rPr>
              <w:t>不通过</w:t>
            </w:r>
            <w:r w:rsidRPr="00BC43D0">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18</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危险化学品储存场所应设置明显的标志，并在危险化学品作业场所和安全设施、设备上设置明显的安全警示标志。</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BC43D0">
              <w:rPr>
                <w:rFonts w:ascii="Times New Roman" w:eastAsia="宋体" w:hAnsi="Times New Roman" w:cs="Times New Roman"/>
                <w:szCs w:val="21"/>
              </w:rPr>
              <w:t>通过</w:t>
            </w:r>
            <w:r w:rsidRPr="00BC43D0">
              <w:rPr>
                <w:rFonts w:ascii="Times New Roman" w:eastAsia="宋体" w:hAnsi="Times New Roman" w:cs="Times New Roman"/>
                <w:sz w:val="36"/>
                <w:szCs w:val="36"/>
              </w:rPr>
              <w:t>□</w:t>
            </w:r>
            <w:r w:rsidRPr="00BC43D0">
              <w:rPr>
                <w:rFonts w:ascii="Times New Roman" w:eastAsia="宋体" w:hAnsi="Times New Roman" w:cs="Times New Roman"/>
                <w:szCs w:val="21"/>
              </w:rPr>
              <w:t>不通过</w:t>
            </w:r>
            <w:r w:rsidRPr="00BC43D0">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19</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使用危险化学品的单位应按危险化学品的危险性质分区、分类、分库（或分柜）存放，禁忌类危险化学品不应混合存放。</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BC43D0">
              <w:rPr>
                <w:rFonts w:ascii="Times New Roman" w:eastAsia="宋体" w:hAnsi="Times New Roman" w:cs="Times New Roman"/>
                <w:szCs w:val="21"/>
              </w:rPr>
              <w:t>通过</w:t>
            </w:r>
            <w:r w:rsidRPr="00BC43D0">
              <w:rPr>
                <w:rFonts w:ascii="Times New Roman" w:eastAsia="宋体" w:hAnsi="Times New Roman" w:cs="Times New Roman"/>
                <w:sz w:val="36"/>
                <w:szCs w:val="36"/>
              </w:rPr>
              <w:t>□</w:t>
            </w:r>
            <w:r w:rsidRPr="00BC43D0">
              <w:rPr>
                <w:rFonts w:ascii="Times New Roman" w:eastAsia="宋体" w:hAnsi="Times New Roman" w:cs="Times New Roman"/>
                <w:szCs w:val="21"/>
              </w:rPr>
              <w:t>不通过</w:t>
            </w:r>
            <w:r w:rsidRPr="00BC43D0">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20</w:t>
            </w:r>
          </w:p>
        </w:tc>
        <w:tc>
          <w:tcPr>
            <w:tcW w:w="555" w:type="pct"/>
            <w:vMerge/>
            <w:tcBorders>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易燃易爆危险化学品的储存要求：</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a</w:t>
            </w:r>
            <w:r w:rsidRPr="00D817D9">
              <w:rPr>
                <w:rFonts w:ascii="Times New Roman" w:eastAsia="宋体" w:hAnsi="Times New Roman" w:cs="Times New Roman"/>
                <w:szCs w:val="21"/>
              </w:rPr>
              <w:t>）库房应干燥、易于通风、密闭和避光，并应安装避雷装置；库房内可能散发或泄漏可燃气体、可燃蒸汽的场所应安装可燃气体检测报警装置；</w:t>
            </w:r>
          </w:p>
          <w:p w:rsidR="00E44EFD" w:rsidRPr="00D817D9" w:rsidRDefault="00E44EFD" w:rsidP="00D608AD">
            <w:pPr>
              <w:adjustRightInd w:val="0"/>
              <w:snapToGrid w:val="0"/>
              <w:rPr>
                <w:rFonts w:ascii="Times New Roman" w:eastAsia="宋体" w:hAnsi="Times New Roman" w:cs="Times New Roman"/>
                <w:bCs/>
                <w:szCs w:val="21"/>
              </w:rPr>
            </w:pPr>
            <w:r w:rsidRPr="00D817D9">
              <w:rPr>
                <w:rFonts w:ascii="Times New Roman" w:eastAsia="宋体" w:hAnsi="Times New Roman" w:cs="Times New Roman"/>
                <w:szCs w:val="21"/>
              </w:rPr>
              <w:t>b</w:t>
            </w:r>
            <w:r w:rsidRPr="00D817D9">
              <w:rPr>
                <w:rFonts w:ascii="Times New Roman" w:eastAsia="宋体" w:hAnsi="Times New Roman" w:cs="Times New Roman"/>
                <w:szCs w:val="21"/>
              </w:rPr>
              <w:t>）易爆性危险化学品应储存于一级轻顶耐火建筑的库房内；低、中闪点液体、一级易燃固体、自燃物品、压缩气体和液化气体应储存于一级耐火建筑的库房内；遇湿易燃品、氧化剂和有机过氧化物应储存于一、二级耐火建筑的库房内；二级易燃固体、高闪点液体应储存于耐火等级不低于二级的库房内；易燃气体不应与助燃气体同库储存。</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BC43D0">
              <w:rPr>
                <w:rFonts w:ascii="Times New Roman" w:eastAsia="宋体" w:hAnsi="Times New Roman" w:cs="Times New Roman"/>
                <w:szCs w:val="21"/>
              </w:rPr>
              <w:t>通过</w:t>
            </w:r>
            <w:r w:rsidRPr="00BC43D0">
              <w:rPr>
                <w:rFonts w:ascii="Times New Roman" w:eastAsia="宋体" w:hAnsi="Times New Roman" w:cs="Times New Roman"/>
                <w:sz w:val="36"/>
                <w:szCs w:val="36"/>
              </w:rPr>
              <w:t>□</w:t>
            </w:r>
            <w:r w:rsidRPr="00BC43D0">
              <w:rPr>
                <w:rFonts w:ascii="Times New Roman" w:eastAsia="宋体" w:hAnsi="Times New Roman" w:cs="Times New Roman"/>
                <w:szCs w:val="21"/>
              </w:rPr>
              <w:t>不通过</w:t>
            </w:r>
            <w:r w:rsidRPr="00BC43D0">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21</w:t>
            </w:r>
          </w:p>
        </w:tc>
        <w:tc>
          <w:tcPr>
            <w:tcW w:w="555" w:type="pct"/>
            <w:vMerge w:val="restart"/>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腐蚀性危险化学品的储存要求：</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lastRenderedPageBreak/>
              <w:t>a</w:t>
            </w:r>
            <w:r w:rsidRPr="00D817D9">
              <w:rPr>
                <w:rFonts w:ascii="Times New Roman" w:eastAsia="宋体" w:hAnsi="Times New Roman" w:cs="Times New Roman"/>
                <w:szCs w:val="21"/>
              </w:rPr>
              <w:t>）库房应阴凉、干燥、通风、避阳，并经防腐蚀、防渗处理；</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b</w:t>
            </w:r>
            <w:r w:rsidRPr="00D817D9">
              <w:rPr>
                <w:rFonts w:ascii="Times New Roman" w:eastAsia="宋体" w:hAnsi="Times New Roman" w:cs="Times New Roman"/>
                <w:szCs w:val="21"/>
              </w:rPr>
              <w:t>）储存发烟硝酸、溴素、高氯酸钾的库房应干燥通风；</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c</w:t>
            </w:r>
            <w:r w:rsidRPr="00D817D9">
              <w:rPr>
                <w:rFonts w:ascii="Times New Roman" w:eastAsia="宋体" w:hAnsi="Times New Roman" w:cs="Times New Roman"/>
                <w:szCs w:val="21"/>
              </w:rPr>
              <w:t>）溴氢酸、碘氢酸应闭光储存，溴素应专库储存；</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d</w:t>
            </w:r>
            <w:r w:rsidRPr="00D817D9">
              <w:rPr>
                <w:rFonts w:ascii="Times New Roman" w:eastAsia="宋体" w:hAnsi="Times New Roman" w:cs="Times New Roman"/>
                <w:szCs w:val="21"/>
              </w:rPr>
              <w:t>）腐蚀性化学品应避免阳光直射、暴晒，远离热源、电源、火源；</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e</w:t>
            </w:r>
            <w:r w:rsidRPr="00D817D9">
              <w:rPr>
                <w:rFonts w:ascii="Times New Roman" w:eastAsia="宋体" w:hAnsi="Times New Roman" w:cs="Times New Roman"/>
                <w:szCs w:val="21"/>
              </w:rPr>
              <w:t>）腐蚀性化学品应按不同类别、性质、危险程度、灭火方法等分区分类储存，性质和消防施救方法相抵的不应同库储存。</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lastRenderedPageBreak/>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A54F0E">
              <w:rPr>
                <w:rFonts w:ascii="Times New Roman" w:eastAsia="宋体" w:hAnsi="Times New Roman" w:cs="Times New Roman"/>
                <w:szCs w:val="21"/>
              </w:rPr>
              <w:t>通过</w:t>
            </w:r>
            <w:r w:rsidRPr="00A54F0E">
              <w:rPr>
                <w:rFonts w:ascii="Times New Roman" w:eastAsia="宋体" w:hAnsi="Times New Roman" w:cs="Times New Roman"/>
                <w:sz w:val="36"/>
                <w:szCs w:val="36"/>
              </w:rPr>
              <w:t>□</w:t>
            </w:r>
            <w:r w:rsidRPr="00A54F0E">
              <w:rPr>
                <w:rFonts w:ascii="Times New Roman" w:eastAsia="宋体" w:hAnsi="Times New Roman" w:cs="Times New Roman"/>
                <w:szCs w:val="21"/>
              </w:rPr>
              <w:t>不通过</w:t>
            </w:r>
            <w:r w:rsidRPr="00A54F0E">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22</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有毒危险化学品货垛高度不超过</w:t>
            </w:r>
            <w:r w:rsidRPr="00D817D9">
              <w:rPr>
                <w:rFonts w:ascii="Times New Roman" w:eastAsia="宋体" w:hAnsi="Times New Roman" w:cs="Times New Roman"/>
                <w:szCs w:val="21"/>
              </w:rPr>
              <w:t>3m</w:t>
            </w:r>
            <w:r w:rsidRPr="00D817D9">
              <w:rPr>
                <w:rFonts w:ascii="Times New Roman" w:eastAsia="宋体" w:hAnsi="Times New Roman" w:cs="Times New Roman"/>
                <w:szCs w:val="21"/>
              </w:rPr>
              <w:t>。</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A54F0E">
              <w:rPr>
                <w:rFonts w:ascii="Times New Roman" w:eastAsia="宋体" w:hAnsi="Times New Roman" w:cs="Times New Roman"/>
                <w:szCs w:val="21"/>
              </w:rPr>
              <w:t>通过</w:t>
            </w:r>
            <w:r w:rsidRPr="00A54F0E">
              <w:rPr>
                <w:rFonts w:ascii="Times New Roman" w:eastAsia="宋体" w:hAnsi="Times New Roman" w:cs="Times New Roman"/>
                <w:sz w:val="36"/>
                <w:szCs w:val="36"/>
              </w:rPr>
              <w:t>□</w:t>
            </w:r>
            <w:r w:rsidRPr="00A54F0E">
              <w:rPr>
                <w:rFonts w:ascii="Times New Roman" w:eastAsia="宋体" w:hAnsi="Times New Roman" w:cs="Times New Roman"/>
                <w:szCs w:val="21"/>
              </w:rPr>
              <w:t>不通过</w:t>
            </w:r>
            <w:r w:rsidRPr="00A54F0E">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23</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使用危险化学品的单位，应在其作业场所和岗位设置明显的安全警示标志。</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A54F0E">
              <w:rPr>
                <w:rFonts w:ascii="Times New Roman" w:eastAsia="宋体" w:hAnsi="Times New Roman" w:cs="Times New Roman"/>
                <w:szCs w:val="21"/>
              </w:rPr>
              <w:t>通过</w:t>
            </w:r>
            <w:r w:rsidRPr="00A54F0E">
              <w:rPr>
                <w:rFonts w:ascii="Times New Roman" w:eastAsia="宋体" w:hAnsi="Times New Roman" w:cs="Times New Roman"/>
                <w:sz w:val="36"/>
                <w:szCs w:val="36"/>
              </w:rPr>
              <w:t>□</w:t>
            </w:r>
            <w:r w:rsidRPr="00A54F0E">
              <w:rPr>
                <w:rFonts w:ascii="Times New Roman" w:eastAsia="宋体" w:hAnsi="Times New Roman" w:cs="Times New Roman"/>
                <w:szCs w:val="21"/>
              </w:rPr>
              <w:t>不通过</w:t>
            </w:r>
            <w:r w:rsidRPr="00A54F0E">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24</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bCs/>
                <w:szCs w:val="21"/>
              </w:rPr>
            </w:pPr>
            <w:r w:rsidRPr="00D817D9">
              <w:rPr>
                <w:rFonts w:ascii="Times New Roman" w:eastAsia="宋体" w:hAnsi="Times New Roman" w:cs="Times New Roman"/>
                <w:szCs w:val="21"/>
              </w:rPr>
              <w:t>使用危险化学品的单位，应根据危险化学品的种类和危险特性，在作业场所设置相应的监测、监控、通风、调温、防火、灭火、防爆、防毒、防潮、防雷、防静电、防泄漏以及防护围堤或者隔离操作等安全设施、设备，并应对安全设施、设备进行经常性维护、保养，定期检测。</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A54F0E">
              <w:rPr>
                <w:rFonts w:ascii="Times New Roman" w:eastAsia="宋体" w:hAnsi="Times New Roman" w:cs="Times New Roman"/>
                <w:szCs w:val="21"/>
              </w:rPr>
              <w:t>通过</w:t>
            </w:r>
            <w:r w:rsidRPr="00A54F0E">
              <w:rPr>
                <w:rFonts w:ascii="Times New Roman" w:eastAsia="宋体" w:hAnsi="Times New Roman" w:cs="Times New Roman"/>
                <w:sz w:val="36"/>
                <w:szCs w:val="36"/>
              </w:rPr>
              <w:t>□</w:t>
            </w:r>
            <w:r w:rsidRPr="00A54F0E">
              <w:rPr>
                <w:rFonts w:ascii="Times New Roman" w:eastAsia="宋体" w:hAnsi="Times New Roman" w:cs="Times New Roman"/>
                <w:szCs w:val="21"/>
              </w:rPr>
              <w:t>不通过</w:t>
            </w:r>
            <w:r w:rsidRPr="00A54F0E">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25</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bCs/>
                <w:szCs w:val="21"/>
              </w:rPr>
            </w:pPr>
            <w:r w:rsidRPr="00D817D9">
              <w:rPr>
                <w:rFonts w:ascii="Times New Roman" w:eastAsia="宋体" w:hAnsi="Times New Roman" w:cs="Times New Roman"/>
                <w:szCs w:val="21"/>
              </w:rPr>
              <w:t>采用管道输送危险化学品的单位，应对其铺设的危险化学品管道设置明显标志，并对危险化学品管道定期检查、检测。</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A54F0E">
              <w:rPr>
                <w:rFonts w:ascii="Times New Roman" w:eastAsia="宋体" w:hAnsi="Times New Roman" w:cs="Times New Roman"/>
                <w:szCs w:val="21"/>
              </w:rPr>
              <w:t>通过</w:t>
            </w:r>
            <w:r w:rsidRPr="00A54F0E">
              <w:rPr>
                <w:rFonts w:ascii="Times New Roman" w:eastAsia="宋体" w:hAnsi="Times New Roman" w:cs="Times New Roman"/>
                <w:sz w:val="36"/>
                <w:szCs w:val="36"/>
              </w:rPr>
              <w:t>□</w:t>
            </w:r>
            <w:r w:rsidRPr="00A54F0E">
              <w:rPr>
                <w:rFonts w:ascii="Times New Roman" w:eastAsia="宋体" w:hAnsi="Times New Roman" w:cs="Times New Roman"/>
                <w:szCs w:val="21"/>
              </w:rPr>
              <w:t>不通过</w:t>
            </w:r>
            <w:r w:rsidRPr="00A54F0E">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26</w:t>
            </w:r>
          </w:p>
        </w:tc>
        <w:tc>
          <w:tcPr>
            <w:tcW w:w="555" w:type="pct"/>
            <w:vMerge/>
            <w:tcBorders>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使用危险化学品的单位应根据构成重大危险源的危险化学品种类、数量、生产、使用工艺（方式）或者相关设备、设施等实际情况，按照下列要求建立健全安全监测监控体系，完善控制措施：</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a</w:t>
            </w:r>
            <w:r w:rsidRPr="00D817D9">
              <w:rPr>
                <w:rFonts w:ascii="Times New Roman" w:eastAsia="宋体" w:hAnsi="Times New Roman" w:cs="Times New Roman"/>
                <w:szCs w:val="21"/>
              </w:rPr>
              <w:t>）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w:t>
            </w:r>
            <w:r w:rsidRPr="00D817D9">
              <w:rPr>
                <w:rFonts w:ascii="Times New Roman" w:eastAsia="宋体" w:hAnsi="Times New Roman" w:cs="Times New Roman"/>
                <w:szCs w:val="21"/>
              </w:rPr>
              <w:t>30 d</w:t>
            </w:r>
            <w:r w:rsidRPr="00D817D9">
              <w:rPr>
                <w:rFonts w:ascii="Times New Roman" w:eastAsia="宋体" w:hAnsi="Times New Roman" w:cs="Times New Roman"/>
                <w:szCs w:val="21"/>
              </w:rPr>
              <w:t>；</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b</w:t>
            </w:r>
            <w:r w:rsidRPr="00D817D9">
              <w:rPr>
                <w:rFonts w:ascii="Times New Roman" w:eastAsia="宋体" w:hAnsi="Times New Roman" w:cs="Times New Roman"/>
                <w:szCs w:val="21"/>
              </w:rPr>
              <w:t>）重大危险源的化工生产装置装备满足安全生产要求的自动化控制系统；一级或者二级重大危险源，装备紧急停车系统；</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c</w:t>
            </w:r>
            <w:r w:rsidRPr="00D817D9">
              <w:rPr>
                <w:rFonts w:ascii="Times New Roman" w:eastAsia="宋体" w:hAnsi="Times New Roman" w:cs="Times New Roman"/>
                <w:szCs w:val="21"/>
              </w:rPr>
              <w:t>）对重大危险源中的毒性气体、剧毒液体和易燃气体等重点设施，设置紧急切断装置；毒性气体的设施，设置泄漏物紧急处置装置。涉及毒性气体、液化气体、剧毒液体的一级或者二级重大危险源，配备独立的安全仪表系统；</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d</w:t>
            </w:r>
            <w:r w:rsidRPr="00D817D9">
              <w:rPr>
                <w:rFonts w:ascii="Times New Roman" w:eastAsia="宋体" w:hAnsi="Times New Roman" w:cs="Times New Roman"/>
                <w:szCs w:val="21"/>
              </w:rPr>
              <w:t>）重大危险源中储存剧毒物质的场所或者设施，设置视频监控系统。</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A54F0E">
              <w:rPr>
                <w:rFonts w:ascii="Times New Roman" w:eastAsia="宋体" w:hAnsi="Times New Roman" w:cs="Times New Roman"/>
                <w:szCs w:val="21"/>
              </w:rPr>
              <w:t>通过</w:t>
            </w:r>
            <w:r w:rsidRPr="00A54F0E">
              <w:rPr>
                <w:rFonts w:ascii="Times New Roman" w:eastAsia="宋体" w:hAnsi="Times New Roman" w:cs="Times New Roman"/>
                <w:sz w:val="36"/>
                <w:szCs w:val="36"/>
              </w:rPr>
              <w:t>□</w:t>
            </w:r>
            <w:r w:rsidRPr="00A54F0E">
              <w:rPr>
                <w:rFonts w:ascii="Times New Roman" w:eastAsia="宋体" w:hAnsi="Times New Roman" w:cs="Times New Roman"/>
                <w:szCs w:val="21"/>
              </w:rPr>
              <w:t>不通过</w:t>
            </w:r>
            <w:r w:rsidRPr="00A54F0E">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lastRenderedPageBreak/>
              <w:t>27</w:t>
            </w:r>
          </w:p>
        </w:tc>
        <w:tc>
          <w:tcPr>
            <w:tcW w:w="555" w:type="pct"/>
            <w:vMerge w:val="restart"/>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构成重大危险源的单位应定期对重大危险源的设备设施和安全监测监控系统进行检测、检验。</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140072">
              <w:rPr>
                <w:rFonts w:ascii="Times New Roman" w:eastAsia="宋体" w:hAnsi="Times New Roman" w:cs="Times New Roman"/>
                <w:szCs w:val="21"/>
              </w:rPr>
              <w:t>通过</w:t>
            </w:r>
            <w:r w:rsidRPr="00140072">
              <w:rPr>
                <w:rFonts w:ascii="Times New Roman" w:eastAsia="宋体" w:hAnsi="Times New Roman" w:cs="Times New Roman"/>
                <w:sz w:val="36"/>
                <w:szCs w:val="36"/>
              </w:rPr>
              <w:t>□</w:t>
            </w:r>
            <w:r w:rsidRPr="00140072">
              <w:rPr>
                <w:rFonts w:ascii="Times New Roman" w:eastAsia="宋体" w:hAnsi="Times New Roman" w:cs="Times New Roman"/>
                <w:szCs w:val="21"/>
              </w:rPr>
              <w:t>不通过</w:t>
            </w:r>
            <w:r w:rsidRPr="00140072">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28</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构成重大危险源的单位应在重大危险源所在场所设置明显的安全警示标志。</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140072">
              <w:rPr>
                <w:rFonts w:ascii="Times New Roman" w:eastAsia="宋体" w:hAnsi="Times New Roman" w:cs="Times New Roman"/>
                <w:szCs w:val="21"/>
              </w:rPr>
              <w:t>通过</w:t>
            </w:r>
            <w:r w:rsidRPr="00140072">
              <w:rPr>
                <w:rFonts w:ascii="Times New Roman" w:eastAsia="宋体" w:hAnsi="Times New Roman" w:cs="Times New Roman"/>
                <w:sz w:val="36"/>
                <w:szCs w:val="36"/>
              </w:rPr>
              <w:t>□</w:t>
            </w:r>
            <w:r w:rsidRPr="00140072">
              <w:rPr>
                <w:rFonts w:ascii="Times New Roman" w:eastAsia="宋体" w:hAnsi="Times New Roman" w:cs="Times New Roman"/>
                <w:szCs w:val="21"/>
              </w:rPr>
              <w:t>不通过</w:t>
            </w:r>
            <w:r w:rsidRPr="00140072">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29</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构成重大危险源的单位应将重大危险源可能发生的事故后果和应急措施等信息，以适当方式告知可能受影响的单位、区域及人员。</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140072">
              <w:rPr>
                <w:rFonts w:ascii="Times New Roman" w:eastAsia="宋体" w:hAnsi="Times New Roman" w:cs="Times New Roman"/>
                <w:szCs w:val="21"/>
              </w:rPr>
              <w:t>通过</w:t>
            </w:r>
            <w:r w:rsidRPr="00140072">
              <w:rPr>
                <w:rFonts w:ascii="Times New Roman" w:eastAsia="宋体" w:hAnsi="Times New Roman" w:cs="Times New Roman"/>
                <w:sz w:val="36"/>
                <w:szCs w:val="36"/>
              </w:rPr>
              <w:t>□</w:t>
            </w:r>
            <w:r w:rsidRPr="00140072">
              <w:rPr>
                <w:rFonts w:ascii="Times New Roman" w:eastAsia="宋体" w:hAnsi="Times New Roman" w:cs="Times New Roman"/>
                <w:szCs w:val="21"/>
              </w:rPr>
              <w:t>不通过</w:t>
            </w:r>
            <w:r w:rsidRPr="00140072">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30</w:t>
            </w:r>
          </w:p>
        </w:tc>
        <w:tc>
          <w:tcPr>
            <w:tcW w:w="555" w:type="pct"/>
            <w:vMerge/>
            <w:tcBorders>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构成重大危险源的单位应按下列要求配备必要的防护装备及应急救援器材、设备、物资：</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a</w:t>
            </w:r>
            <w:r w:rsidRPr="00D817D9">
              <w:rPr>
                <w:rFonts w:ascii="Times New Roman" w:eastAsia="宋体" w:hAnsi="Times New Roman" w:cs="Times New Roman"/>
                <w:szCs w:val="21"/>
              </w:rPr>
              <w:t>）对存在吸入性有毒、有害气体的重大危险源，应配备便携式浓度检测设备、空气呼吸器、化学防护服、堵漏器材等应急器材和设备；</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b</w:t>
            </w:r>
            <w:r w:rsidRPr="00D817D9">
              <w:rPr>
                <w:rFonts w:ascii="Times New Roman" w:eastAsia="宋体" w:hAnsi="Times New Roman" w:cs="Times New Roman"/>
                <w:szCs w:val="21"/>
              </w:rPr>
              <w:t>）涉及剧毒气体的重大危险源，还应配备</w:t>
            </w:r>
            <w:r w:rsidRPr="00D817D9">
              <w:rPr>
                <w:rFonts w:ascii="Times New Roman" w:eastAsia="宋体" w:hAnsi="Times New Roman" w:cs="Times New Roman"/>
                <w:szCs w:val="21"/>
              </w:rPr>
              <w:t>2</w:t>
            </w:r>
            <w:r w:rsidRPr="00D817D9">
              <w:rPr>
                <w:rFonts w:ascii="Times New Roman" w:eastAsia="宋体" w:hAnsi="Times New Roman" w:cs="Times New Roman"/>
                <w:szCs w:val="21"/>
              </w:rPr>
              <w:t>套以上（含</w:t>
            </w:r>
            <w:r w:rsidRPr="00D817D9">
              <w:rPr>
                <w:rFonts w:ascii="Times New Roman" w:eastAsia="宋体" w:hAnsi="Times New Roman" w:cs="Times New Roman"/>
                <w:szCs w:val="21"/>
              </w:rPr>
              <w:t>2</w:t>
            </w:r>
            <w:r w:rsidRPr="00D817D9">
              <w:rPr>
                <w:rFonts w:ascii="Times New Roman" w:eastAsia="宋体" w:hAnsi="Times New Roman" w:cs="Times New Roman"/>
                <w:szCs w:val="21"/>
              </w:rPr>
              <w:t>套）气密型化学防护服；</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c</w:t>
            </w:r>
            <w:r w:rsidRPr="00D817D9">
              <w:rPr>
                <w:rFonts w:ascii="Times New Roman" w:eastAsia="宋体" w:hAnsi="Times New Roman" w:cs="Times New Roman"/>
                <w:szCs w:val="21"/>
              </w:rPr>
              <w:t>）涉及易燃易爆气体或者易燃液体蒸气的重大危险源，还应配备一定数量的便携式可燃气体检测设备。</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140072">
              <w:rPr>
                <w:rFonts w:ascii="Times New Roman" w:eastAsia="宋体" w:hAnsi="Times New Roman" w:cs="Times New Roman"/>
                <w:szCs w:val="21"/>
              </w:rPr>
              <w:t>通过</w:t>
            </w:r>
            <w:r w:rsidRPr="00140072">
              <w:rPr>
                <w:rFonts w:ascii="Times New Roman" w:eastAsia="宋体" w:hAnsi="Times New Roman" w:cs="Times New Roman"/>
                <w:sz w:val="36"/>
                <w:szCs w:val="36"/>
              </w:rPr>
              <w:t>□</w:t>
            </w:r>
            <w:r w:rsidRPr="00140072">
              <w:rPr>
                <w:rFonts w:ascii="Times New Roman" w:eastAsia="宋体" w:hAnsi="Times New Roman" w:cs="Times New Roman"/>
                <w:szCs w:val="21"/>
              </w:rPr>
              <w:t>不通过</w:t>
            </w:r>
            <w:r w:rsidRPr="00140072">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31</w:t>
            </w:r>
          </w:p>
        </w:tc>
        <w:tc>
          <w:tcPr>
            <w:tcW w:w="555" w:type="pct"/>
            <w:vMerge w:val="restart"/>
            <w:tcBorders>
              <w:top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Pr>
                <w:rFonts w:ascii="Times New Roman" w:eastAsia="宋体" w:hAnsi="Times New Roman" w:cs="Times New Roman" w:hint="eastAsia"/>
                <w:szCs w:val="21"/>
              </w:rPr>
              <w:t>（五）</w:t>
            </w:r>
            <w:r w:rsidRPr="00D817D9">
              <w:rPr>
                <w:rFonts w:ascii="Times New Roman" w:eastAsia="宋体" w:hAnsi="Times New Roman" w:cs="Times New Roman"/>
                <w:szCs w:val="21"/>
              </w:rPr>
              <w:t>安全生产培训</w:t>
            </w: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sidRPr="00D817D9">
              <w:rPr>
                <w:rFonts w:ascii="Times New Roman" w:eastAsia="宋体" w:hAnsi="Times New Roman" w:cs="Times New Roman"/>
                <w:szCs w:val="21"/>
              </w:rPr>
              <w:t>制订安全生产培训计划。</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140072">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140072">
              <w:rPr>
                <w:rFonts w:ascii="Times New Roman" w:eastAsia="宋体" w:hAnsi="Times New Roman" w:cs="Times New Roman"/>
                <w:szCs w:val="21"/>
              </w:rPr>
              <w:t>不通过</w:t>
            </w:r>
            <w:r w:rsidRPr="00140072">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32</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sidRPr="00D817D9">
              <w:rPr>
                <w:rFonts w:ascii="Times New Roman" w:eastAsia="宋体" w:hAnsi="Times New Roman" w:cs="Times New Roman"/>
                <w:szCs w:val="21"/>
              </w:rPr>
              <w:t>新上岗的从业人员应进行</w:t>
            </w:r>
            <w:r w:rsidRPr="00D817D9">
              <w:rPr>
                <w:rFonts w:ascii="Times New Roman" w:eastAsia="宋体" w:hAnsi="Times New Roman" w:cs="Times New Roman"/>
                <w:szCs w:val="21"/>
              </w:rPr>
              <w:t>“</w:t>
            </w:r>
            <w:r w:rsidRPr="00D817D9">
              <w:rPr>
                <w:rFonts w:ascii="Times New Roman" w:eastAsia="宋体" w:hAnsi="Times New Roman" w:cs="Times New Roman"/>
                <w:szCs w:val="21"/>
              </w:rPr>
              <w:t>单位（厂）、部门（车间）、基层（班组）</w:t>
            </w:r>
            <w:r w:rsidRPr="00D817D9">
              <w:rPr>
                <w:rFonts w:ascii="Times New Roman" w:eastAsia="宋体" w:hAnsi="Times New Roman" w:cs="Times New Roman"/>
                <w:szCs w:val="21"/>
              </w:rPr>
              <w:t>”</w:t>
            </w:r>
            <w:r w:rsidRPr="00D817D9">
              <w:rPr>
                <w:rFonts w:ascii="Times New Roman" w:eastAsia="宋体" w:hAnsi="Times New Roman" w:cs="Times New Roman"/>
                <w:szCs w:val="21"/>
              </w:rPr>
              <w:t>三级安全培训教育，岗前安全培训时间不应少于</w:t>
            </w:r>
            <w:r w:rsidRPr="00D817D9">
              <w:rPr>
                <w:rFonts w:ascii="Times New Roman" w:eastAsia="宋体" w:hAnsi="Times New Roman" w:cs="Times New Roman"/>
                <w:szCs w:val="21"/>
              </w:rPr>
              <w:t>24</w:t>
            </w:r>
            <w:r w:rsidRPr="00D817D9">
              <w:rPr>
                <w:rFonts w:ascii="Times New Roman" w:eastAsia="宋体" w:hAnsi="Times New Roman" w:cs="Times New Roman"/>
                <w:szCs w:val="21"/>
              </w:rPr>
              <w:t>学时，每年再培训时间不应少于</w:t>
            </w:r>
            <w:r w:rsidRPr="00D817D9">
              <w:rPr>
                <w:rFonts w:ascii="Times New Roman" w:eastAsia="宋体" w:hAnsi="Times New Roman" w:cs="Times New Roman"/>
                <w:szCs w:val="21"/>
              </w:rPr>
              <w:t>8</w:t>
            </w:r>
            <w:r w:rsidRPr="00D817D9">
              <w:rPr>
                <w:rFonts w:ascii="Times New Roman" w:eastAsia="宋体" w:hAnsi="Times New Roman" w:cs="Times New Roman"/>
                <w:szCs w:val="21"/>
              </w:rPr>
              <w:t>学时。</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140072">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140072">
              <w:rPr>
                <w:rFonts w:ascii="Times New Roman" w:eastAsia="宋体" w:hAnsi="Times New Roman" w:cs="Times New Roman"/>
                <w:szCs w:val="21"/>
              </w:rPr>
              <w:t>不通过</w:t>
            </w:r>
            <w:r w:rsidRPr="00140072">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33</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工作场所存在职业病危害因素分类目录所列职业病危害因素的企业，其主要负责人和职业卫生管理人员初次职业卫生培训不应少于</w:t>
            </w:r>
            <w:r w:rsidRPr="00D817D9">
              <w:rPr>
                <w:rFonts w:ascii="Times New Roman" w:eastAsia="宋体" w:hAnsi="Times New Roman" w:cs="Times New Roman"/>
                <w:szCs w:val="21"/>
              </w:rPr>
              <w:t>16</w:t>
            </w:r>
            <w:r w:rsidRPr="00D817D9">
              <w:rPr>
                <w:rFonts w:ascii="Times New Roman" w:eastAsia="宋体" w:hAnsi="Times New Roman" w:cs="Times New Roman"/>
                <w:szCs w:val="21"/>
              </w:rPr>
              <w:t>学时，每年继续教育不应少于</w:t>
            </w:r>
            <w:r w:rsidRPr="00D817D9">
              <w:rPr>
                <w:rFonts w:ascii="Times New Roman" w:eastAsia="宋体" w:hAnsi="Times New Roman" w:cs="Times New Roman"/>
                <w:szCs w:val="21"/>
              </w:rPr>
              <w:t>8</w:t>
            </w:r>
            <w:r w:rsidRPr="00D817D9">
              <w:rPr>
                <w:rFonts w:ascii="Times New Roman" w:eastAsia="宋体" w:hAnsi="Times New Roman" w:cs="Times New Roman"/>
                <w:szCs w:val="21"/>
              </w:rPr>
              <w:t>学时。</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B795D">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8B795D">
              <w:rPr>
                <w:rFonts w:ascii="Times New Roman" w:eastAsia="宋体" w:hAnsi="Times New Roman" w:cs="Times New Roman"/>
                <w:szCs w:val="21"/>
              </w:rPr>
              <w:t>不通过</w:t>
            </w:r>
            <w:r w:rsidRPr="008B795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34</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从事特种作业、特种设备作业的人员和其他特殊岗位人员应按照有关规定，经安全培训、考核合格，取得相应资格后，方可上岗作业，并按期参加复训和复审。</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B795D">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8B795D">
              <w:rPr>
                <w:rFonts w:ascii="Times New Roman" w:eastAsia="宋体" w:hAnsi="Times New Roman" w:cs="Times New Roman"/>
                <w:szCs w:val="21"/>
              </w:rPr>
              <w:t>不通过</w:t>
            </w:r>
            <w:r w:rsidRPr="008B795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35</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对相关方作业人员（短期临时作业人员、实习学生、学习参观人员及其他外来人员）进行安全教育培训。</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B795D">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8B795D">
              <w:rPr>
                <w:rFonts w:ascii="Times New Roman" w:eastAsia="宋体" w:hAnsi="Times New Roman" w:cs="Times New Roman"/>
                <w:szCs w:val="21"/>
              </w:rPr>
              <w:t>不通过</w:t>
            </w:r>
            <w:r w:rsidRPr="008B795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36</w:t>
            </w:r>
          </w:p>
        </w:tc>
        <w:tc>
          <w:tcPr>
            <w:tcW w:w="555" w:type="pct"/>
            <w:vMerge/>
            <w:tcBorders>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建立安全生产教育培训档案。</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B795D">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8B795D">
              <w:rPr>
                <w:rFonts w:ascii="Times New Roman" w:eastAsia="宋体" w:hAnsi="Times New Roman" w:cs="Times New Roman"/>
                <w:szCs w:val="21"/>
              </w:rPr>
              <w:t>不通过</w:t>
            </w:r>
            <w:r w:rsidRPr="008B795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lastRenderedPageBreak/>
              <w:t>37</w:t>
            </w:r>
          </w:p>
        </w:tc>
        <w:tc>
          <w:tcPr>
            <w:tcW w:w="555" w:type="pct"/>
            <w:vMerge w:val="restart"/>
            <w:tcBorders>
              <w:top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（六）</w:t>
            </w:r>
            <w:r w:rsidRPr="00D817D9">
              <w:rPr>
                <w:rFonts w:ascii="Times New Roman" w:eastAsia="宋体" w:hAnsi="Times New Roman" w:cs="Times New Roman"/>
                <w:color w:val="000000"/>
                <w:szCs w:val="21"/>
              </w:rPr>
              <w:t>应急管理</w:t>
            </w: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在编制应急预案前进行事故风险评估和应急资源调查。</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B795D">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8B795D">
              <w:rPr>
                <w:rFonts w:ascii="Times New Roman" w:eastAsia="宋体" w:hAnsi="Times New Roman" w:cs="Times New Roman"/>
                <w:szCs w:val="21"/>
              </w:rPr>
              <w:t>不通过</w:t>
            </w:r>
            <w:r w:rsidRPr="008B795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38</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根据本单位组织管理体系、生产规模、危险源的性质以及可能发生的事故类型确定本单位的应急预案体系。</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B795D">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8B795D">
              <w:rPr>
                <w:rFonts w:ascii="Times New Roman" w:eastAsia="宋体" w:hAnsi="Times New Roman" w:cs="Times New Roman"/>
                <w:szCs w:val="21"/>
              </w:rPr>
              <w:t>不通过</w:t>
            </w:r>
            <w:r w:rsidRPr="008B795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39</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应急预案应经评审或论证，并经批准实施，现行有效版本应发放至本单位有关部门、岗位和相关应急救援队伍。</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B795D">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8B795D">
              <w:rPr>
                <w:rFonts w:ascii="Times New Roman" w:eastAsia="宋体" w:hAnsi="Times New Roman" w:cs="Times New Roman"/>
                <w:szCs w:val="21"/>
              </w:rPr>
              <w:t>不通过</w:t>
            </w:r>
            <w:r w:rsidRPr="008B795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40</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根据本企业的事故预防重点，每年至少组织</w:t>
            </w:r>
            <w:r w:rsidRPr="00D817D9">
              <w:rPr>
                <w:rFonts w:ascii="Times New Roman" w:eastAsia="宋体" w:hAnsi="Times New Roman" w:cs="Times New Roman"/>
                <w:szCs w:val="21"/>
              </w:rPr>
              <w:t>1</w:t>
            </w:r>
            <w:r w:rsidRPr="00D817D9">
              <w:rPr>
                <w:rFonts w:ascii="Times New Roman" w:eastAsia="宋体" w:hAnsi="Times New Roman" w:cs="Times New Roman"/>
                <w:szCs w:val="21"/>
              </w:rPr>
              <w:t>次综合应急预案演练或者专项应急预案演练，每半年至少组织</w:t>
            </w:r>
            <w:r w:rsidRPr="00D817D9">
              <w:rPr>
                <w:rFonts w:ascii="Times New Roman" w:eastAsia="宋体" w:hAnsi="Times New Roman" w:cs="Times New Roman"/>
                <w:szCs w:val="21"/>
              </w:rPr>
              <w:t>1</w:t>
            </w:r>
            <w:r w:rsidRPr="00D817D9">
              <w:rPr>
                <w:rFonts w:ascii="Times New Roman" w:eastAsia="宋体" w:hAnsi="Times New Roman" w:cs="Times New Roman"/>
                <w:szCs w:val="21"/>
              </w:rPr>
              <w:t>次现场处置方案演练。</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B795D">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8B795D">
              <w:rPr>
                <w:rFonts w:ascii="Times New Roman" w:eastAsia="宋体" w:hAnsi="Times New Roman" w:cs="Times New Roman"/>
                <w:szCs w:val="21"/>
              </w:rPr>
              <w:t>不通过</w:t>
            </w:r>
            <w:r w:rsidRPr="008B795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41</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对应急预案进行定期评估，并对应急预案是否需要修订作出结论。</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B795D">
              <w:rPr>
                <w:rFonts w:ascii="Times New Roman" w:eastAsia="宋体" w:hAnsi="Times New Roman" w:cs="Times New Roman"/>
                <w:szCs w:val="21"/>
              </w:rPr>
              <w:t>通过</w:t>
            </w:r>
            <w:r w:rsidR="007735C3" w:rsidRPr="007735C3">
              <w:rPr>
                <w:rFonts w:ascii="宋体" w:eastAsia="宋体" w:hAnsi="宋体" w:cs="Times New Roman" w:hint="eastAsia"/>
                <w:sz w:val="28"/>
                <w:szCs w:val="28"/>
              </w:rPr>
              <w:t>√</w:t>
            </w:r>
            <w:r w:rsidRPr="008B795D">
              <w:rPr>
                <w:rFonts w:ascii="Times New Roman" w:eastAsia="宋体" w:hAnsi="Times New Roman" w:cs="Times New Roman"/>
                <w:szCs w:val="21"/>
              </w:rPr>
              <w:t>不通过</w:t>
            </w:r>
            <w:r w:rsidRPr="008B795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42</w:t>
            </w:r>
          </w:p>
        </w:tc>
        <w:tc>
          <w:tcPr>
            <w:tcW w:w="555" w:type="pct"/>
            <w:vMerge/>
            <w:tcBorders>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根据实际需求，配备应急设施和装备，储备应急物资，并建立使用状况台账，定期检测和维护。</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B795D">
              <w:rPr>
                <w:rFonts w:ascii="Times New Roman" w:eastAsia="宋体" w:hAnsi="Times New Roman" w:cs="Times New Roman"/>
                <w:szCs w:val="21"/>
              </w:rPr>
              <w:t>通过</w:t>
            </w:r>
            <w:r w:rsidR="0026294B" w:rsidRPr="007735C3">
              <w:rPr>
                <w:rFonts w:ascii="宋体" w:eastAsia="宋体" w:hAnsi="宋体" w:cs="Times New Roman" w:hint="eastAsia"/>
                <w:sz w:val="28"/>
                <w:szCs w:val="28"/>
              </w:rPr>
              <w:t>√</w:t>
            </w:r>
            <w:r w:rsidRPr="008B795D">
              <w:rPr>
                <w:rFonts w:ascii="Times New Roman" w:eastAsia="宋体" w:hAnsi="Times New Roman" w:cs="Times New Roman"/>
                <w:szCs w:val="21"/>
              </w:rPr>
              <w:t>不通过</w:t>
            </w:r>
            <w:r w:rsidRPr="008B795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43</w:t>
            </w:r>
          </w:p>
        </w:tc>
        <w:tc>
          <w:tcPr>
            <w:tcW w:w="555" w:type="pct"/>
            <w:vMerge w:val="restart"/>
            <w:tcBorders>
              <w:top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（七）</w:t>
            </w:r>
            <w:r w:rsidRPr="00D817D9">
              <w:rPr>
                <w:rFonts w:ascii="Times New Roman" w:eastAsia="宋体" w:hAnsi="Times New Roman" w:cs="Times New Roman"/>
                <w:color w:val="000000"/>
                <w:szCs w:val="21"/>
              </w:rPr>
              <w:t>隐患排查</w:t>
            </w: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每月向从业人员通报事故隐患排查治理情况。重大事故隐患消除前，单位应向从业人员公示事故隐患所在位置、危害程度、影响范围和应急措施等信息。</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B795D">
              <w:rPr>
                <w:rFonts w:ascii="Times New Roman" w:eastAsia="宋体" w:hAnsi="Times New Roman" w:cs="Times New Roman"/>
                <w:szCs w:val="21"/>
              </w:rPr>
              <w:t>通过</w:t>
            </w:r>
            <w:r w:rsidR="0026294B" w:rsidRPr="007735C3">
              <w:rPr>
                <w:rFonts w:ascii="宋体" w:eastAsia="宋体" w:hAnsi="宋体" w:cs="Times New Roman" w:hint="eastAsia"/>
                <w:sz w:val="28"/>
                <w:szCs w:val="28"/>
              </w:rPr>
              <w:t>√</w:t>
            </w:r>
            <w:r w:rsidRPr="008B795D">
              <w:rPr>
                <w:rFonts w:ascii="Times New Roman" w:eastAsia="宋体" w:hAnsi="Times New Roman" w:cs="Times New Roman"/>
                <w:szCs w:val="21"/>
              </w:rPr>
              <w:t>不通过</w:t>
            </w:r>
            <w:r w:rsidRPr="008B795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44</w:t>
            </w:r>
          </w:p>
        </w:tc>
        <w:tc>
          <w:tcPr>
            <w:tcW w:w="555" w:type="pct"/>
            <w:vMerge/>
            <w:tcBorders>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按照要求使用生产安全事故隐患排查治理信息系统，如实记录事故隐患的排查时间、所属类型、所在位置、责任部门和责任人、治理措施及整改情况等内容。</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B795D">
              <w:rPr>
                <w:rFonts w:ascii="Times New Roman" w:eastAsia="宋体" w:hAnsi="Times New Roman" w:cs="Times New Roman"/>
                <w:szCs w:val="21"/>
              </w:rPr>
              <w:t>通过</w:t>
            </w:r>
            <w:r w:rsidR="0026294B" w:rsidRPr="007735C3">
              <w:rPr>
                <w:rFonts w:ascii="宋体" w:eastAsia="宋体" w:hAnsi="宋体" w:cs="Times New Roman" w:hint="eastAsia"/>
                <w:sz w:val="28"/>
                <w:szCs w:val="28"/>
              </w:rPr>
              <w:t>√</w:t>
            </w:r>
            <w:r w:rsidRPr="008B795D">
              <w:rPr>
                <w:rFonts w:ascii="Times New Roman" w:eastAsia="宋体" w:hAnsi="Times New Roman" w:cs="Times New Roman"/>
                <w:szCs w:val="21"/>
              </w:rPr>
              <w:t>不通过</w:t>
            </w:r>
            <w:r w:rsidRPr="008B795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45</w:t>
            </w:r>
          </w:p>
        </w:tc>
        <w:tc>
          <w:tcPr>
            <w:tcW w:w="555" w:type="pct"/>
            <w:vMerge w:val="restart"/>
            <w:tcBorders>
              <w:top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（八）</w:t>
            </w:r>
            <w:r w:rsidRPr="00D817D9">
              <w:rPr>
                <w:rFonts w:ascii="Times New Roman" w:eastAsia="宋体" w:hAnsi="Times New Roman" w:cs="Times New Roman"/>
                <w:color w:val="000000"/>
                <w:szCs w:val="21"/>
              </w:rPr>
              <w:t>相关方管理</w:t>
            </w: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选用具有相应资质的供应单位、承包（承租）单位。</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7358">
              <w:rPr>
                <w:rFonts w:ascii="Times New Roman" w:eastAsia="宋体" w:hAnsi="Times New Roman" w:cs="Times New Roman"/>
                <w:szCs w:val="21"/>
              </w:rPr>
              <w:t>通过</w:t>
            </w:r>
            <w:r w:rsidR="0026294B" w:rsidRPr="007735C3">
              <w:rPr>
                <w:rFonts w:ascii="宋体" w:eastAsia="宋体" w:hAnsi="宋体" w:cs="Times New Roman" w:hint="eastAsia"/>
                <w:sz w:val="28"/>
                <w:szCs w:val="28"/>
              </w:rPr>
              <w:t>√</w:t>
            </w:r>
            <w:r w:rsidRPr="008D7358">
              <w:rPr>
                <w:rFonts w:ascii="Times New Roman" w:eastAsia="宋体" w:hAnsi="Times New Roman" w:cs="Times New Roman"/>
                <w:szCs w:val="21"/>
              </w:rPr>
              <w:t>不通过</w:t>
            </w:r>
            <w:r w:rsidRPr="008D7358">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46</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与供应单位、承包（承租）单位签订安全生产管理协议，或者在合同中约定各自的安全生产管理职责。</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7358">
              <w:rPr>
                <w:rFonts w:ascii="Times New Roman" w:eastAsia="宋体" w:hAnsi="Times New Roman" w:cs="Times New Roman"/>
                <w:szCs w:val="21"/>
              </w:rPr>
              <w:t>通过</w:t>
            </w:r>
            <w:r w:rsidR="0026294B" w:rsidRPr="007735C3">
              <w:rPr>
                <w:rFonts w:ascii="宋体" w:eastAsia="宋体" w:hAnsi="宋体" w:cs="Times New Roman" w:hint="eastAsia"/>
                <w:sz w:val="28"/>
                <w:szCs w:val="28"/>
              </w:rPr>
              <w:t>√</w:t>
            </w:r>
            <w:r w:rsidRPr="008D7358">
              <w:rPr>
                <w:rFonts w:ascii="Times New Roman" w:eastAsia="宋体" w:hAnsi="Times New Roman" w:cs="Times New Roman"/>
                <w:szCs w:val="21"/>
              </w:rPr>
              <w:t>不通过</w:t>
            </w:r>
            <w:r w:rsidRPr="008D7358">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47</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将被派遣劳动者纳入本企业从业人员进行统一管理，对被派遣劳动者进行岗位安全操作规程和安全操作技能的教育和培训。</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7358">
              <w:rPr>
                <w:rFonts w:ascii="Times New Roman" w:eastAsia="宋体" w:hAnsi="Times New Roman" w:cs="Times New Roman"/>
                <w:szCs w:val="21"/>
              </w:rPr>
              <w:t>通过</w:t>
            </w:r>
            <w:r w:rsidR="0026294B" w:rsidRPr="007735C3">
              <w:rPr>
                <w:rFonts w:ascii="宋体" w:eastAsia="宋体" w:hAnsi="宋体" w:cs="Times New Roman" w:hint="eastAsia"/>
                <w:sz w:val="28"/>
                <w:szCs w:val="28"/>
              </w:rPr>
              <w:t>√</w:t>
            </w:r>
            <w:r w:rsidRPr="008D7358">
              <w:rPr>
                <w:rFonts w:ascii="Times New Roman" w:eastAsia="宋体" w:hAnsi="Times New Roman" w:cs="Times New Roman"/>
                <w:szCs w:val="21"/>
              </w:rPr>
              <w:t>不通过</w:t>
            </w:r>
            <w:r w:rsidRPr="008D7358">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48</w:t>
            </w:r>
          </w:p>
        </w:tc>
        <w:tc>
          <w:tcPr>
            <w:tcW w:w="555" w:type="pct"/>
            <w:vMerge/>
            <w:tcBorders>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对承包（承租）单位的安全生产工作统一协调、管理，定期进行安全检查。</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7358">
              <w:rPr>
                <w:rFonts w:ascii="Times New Roman" w:eastAsia="宋体" w:hAnsi="Times New Roman" w:cs="Times New Roman"/>
                <w:szCs w:val="21"/>
              </w:rPr>
              <w:t>通过</w:t>
            </w:r>
            <w:r w:rsidR="0026294B" w:rsidRPr="007735C3">
              <w:rPr>
                <w:rFonts w:ascii="宋体" w:eastAsia="宋体" w:hAnsi="宋体" w:cs="Times New Roman" w:hint="eastAsia"/>
                <w:sz w:val="28"/>
                <w:szCs w:val="28"/>
              </w:rPr>
              <w:t>√</w:t>
            </w:r>
            <w:r w:rsidRPr="008D7358">
              <w:rPr>
                <w:rFonts w:ascii="Times New Roman" w:eastAsia="宋体" w:hAnsi="Times New Roman" w:cs="Times New Roman"/>
                <w:szCs w:val="21"/>
              </w:rPr>
              <w:t>不通过</w:t>
            </w:r>
            <w:r w:rsidRPr="008D7358">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49</w:t>
            </w:r>
          </w:p>
        </w:tc>
        <w:tc>
          <w:tcPr>
            <w:tcW w:w="555"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（九）</w:t>
            </w:r>
            <w:r w:rsidRPr="00D817D9">
              <w:rPr>
                <w:rFonts w:ascii="Times New Roman" w:eastAsia="宋体" w:hAnsi="Times New Roman" w:cs="Times New Roman"/>
                <w:color w:val="000000"/>
                <w:szCs w:val="21"/>
              </w:rPr>
              <w:t>劳动防护</w:t>
            </w: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为从业人员提供劳动防护用品，</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7358">
              <w:rPr>
                <w:rFonts w:ascii="Times New Roman" w:eastAsia="宋体" w:hAnsi="Times New Roman" w:cs="Times New Roman"/>
                <w:szCs w:val="21"/>
              </w:rPr>
              <w:t>通过</w:t>
            </w:r>
            <w:r w:rsidR="0026294B" w:rsidRPr="007735C3">
              <w:rPr>
                <w:rFonts w:ascii="宋体" w:eastAsia="宋体" w:hAnsi="宋体" w:cs="Times New Roman" w:hint="eastAsia"/>
                <w:sz w:val="28"/>
                <w:szCs w:val="28"/>
              </w:rPr>
              <w:t>√</w:t>
            </w:r>
            <w:r w:rsidRPr="008D7358">
              <w:rPr>
                <w:rFonts w:ascii="Times New Roman" w:eastAsia="宋体" w:hAnsi="Times New Roman" w:cs="Times New Roman"/>
                <w:szCs w:val="21"/>
              </w:rPr>
              <w:t>不通过</w:t>
            </w:r>
            <w:r w:rsidRPr="008D7358">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50</w:t>
            </w:r>
          </w:p>
        </w:tc>
        <w:tc>
          <w:tcPr>
            <w:tcW w:w="555" w:type="pct"/>
            <w:vMerge w:val="restart"/>
            <w:tcBorders>
              <w:top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（十）</w:t>
            </w:r>
            <w:r w:rsidRPr="00D817D9">
              <w:rPr>
                <w:rFonts w:ascii="Times New Roman" w:eastAsia="宋体" w:hAnsi="Times New Roman" w:cs="Times New Roman"/>
                <w:color w:val="000000"/>
                <w:szCs w:val="21"/>
              </w:rPr>
              <w:t>职业卫生</w:t>
            </w: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工作场所存在职业病危害因素分类目录所列职业病危害因素的单位，应及时、如实向所在地安全生产监督管理部门申报职业病危害项目。</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hint="eastAsia"/>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7358">
              <w:rPr>
                <w:rFonts w:ascii="Times New Roman" w:eastAsia="宋体" w:hAnsi="Times New Roman" w:cs="Times New Roman"/>
                <w:szCs w:val="21"/>
              </w:rPr>
              <w:t>通过</w:t>
            </w:r>
            <w:r w:rsidRPr="008D7358">
              <w:rPr>
                <w:rFonts w:ascii="Times New Roman" w:eastAsia="宋体" w:hAnsi="Times New Roman" w:cs="Times New Roman"/>
                <w:sz w:val="36"/>
                <w:szCs w:val="36"/>
              </w:rPr>
              <w:t>□</w:t>
            </w:r>
            <w:r w:rsidRPr="008D7358">
              <w:rPr>
                <w:rFonts w:ascii="Times New Roman" w:eastAsia="宋体" w:hAnsi="Times New Roman" w:cs="Times New Roman"/>
                <w:szCs w:val="21"/>
              </w:rPr>
              <w:t>不通过</w:t>
            </w:r>
            <w:r w:rsidRPr="008D7358">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51</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工作场所存在职业病危害因素分类目录所列职业病危害因素的单位应委托具有相应资质的职业卫生技术服务机构，每年应至少进行</w:t>
            </w:r>
            <w:r w:rsidRPr="00D817D9">
              <w:rPr>
                <w:rFonts w:ascii="Times New Roman" w:eastAsia="宋体" w:hAnsi="Times New Roman" w:cs="Times New Roman"/>
                <w:szCs w:val="21"/>
              </w:rPr>
              <w:t>1</w:t>
            </w:r>
            <w:r w:rsidRPr="00D817D9">
              <w:rPr>
                <w:rFonts w:ascii="Times New Roman" w:eastAsia="宋体" w:hAnsi="Times New Roman" w:cs="Times New Roman"/>
                <w:szCs w:val="21"/>
              </w:rPr>
              <w:t>次职业病危害因素检</w:t>
            </w:r>
            <w:r w:rsidRPr="00D817D9">
              <w:rPr>
                <w:rFonts w:ascii="Times New Roman" w:eastAsia="宋体" w:hAnsi="Times New Roman" w:cs="Times New Roman"/>
                <w:szCs w:val="21"/>
              </w:rPr>
              <w:lastRenderedPageBreak/>
              <w:t>测；职业病危害严重的用人单位，每三年应至少进行</w:t>
            </w:r>
            <w:r w:rsidRPr="00D817D9">
              <w:rPr>
                <w:rFonts w:ascii="Times New Roman" w:eastAsia="宋体" w:hAnsi="Times New Roman" w:cs="Times New Roman"/>
                <w:szCs w:val="21"/>
              </w:rPr>
              <w:t>1</w:t>
            </w:r>
            <w:r w:rsidRPr="00D817D9">
              <w:rPr>
                <w:rFonts w:ascii="Times New Roman" w:eastAsia="宋体" w:hAnsi="Times New Roman" w:cs="Times New Roman"/>
                <w:szCs w:val="21"/>
              </w:rPr>
              <w:t>次职业病危害现状评价，检测、评价结果存入职业卫生档案。</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lastRenderedPageBreak/>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7358">
              <w:rPr>
                <w:rFonts w:ascii="Times New Roman" w:eastAsia="宋体" w:hAnsi="Times New Roman" w:cs="Times New Roman"/>
                <w:szCs w:val="21"/>
              </w:rPr>
              <w:t>通过</w:t>
            </w:r>
            <w:r w:rsidRPr="008D7358">
              <w:rPr>
                <w:rFonts w:ascii="Times New Roman" w:eastAsia="宋体" w:hAnsi="Times New Roman" w:cs="Times New Roman"/>
                <w:sz w:val="36"/>
                <w:szCs w:val="36"/>
              </w:rPr>
              <w:t>□</w:t>
            </w:r>
            <w:r w:rsidRPr="008D7358">
              <w:rPr>
                <w:rFonts w:ascii="Times New Roman" w:eastAsia="宋体" w:hAnsi="Times New Roman" w:cs="Times New Roman"/>
                <w:szCs w:val="21"/>
              </w:rPr>
              <w:t>不通过</w:t>
            </w:r>
            <w:r w:rsidRPr="008D7358">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52</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工作场所存在职业病危害因素分类目录所列职业病危害因素的单位，应对接触职业病危害因素人员进行上岗前、在岗期间和离岗时的职业健康检查。</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7358">
              <w:rPr>
                <w:rFonts w:ascii="Times New Roman" w:eastAsia="宋体" w:hAnsi="Times New Roman" w:cs="Times New Roman"/>
                <w:szCs w:val="21"/>
              </w:rPr>
              <w:t>通过</w:t>
            </w:r>
            <w:r w:rsidRPr="008D7358">
              <w:rPr>
                <w:rFonts w:ascii="Times New Roman" w:eastAsia="宋体" w:hAnsi="Times New Roman" w:cs="Times New Roman"/>
                <w:sz w:val="36"/>
                <w:szCs w:val="36"/>
              </w:rPr>
              <w:t>□</w:t>
            </w:r>
            <w:r w:rsidRPr="008D7358">
              <w:rPr>
                <w:rFonts w:ascii="Times New Roman" w:eastAsia="宋体" w:hAnsi="Times New Roman" w:cs="Times New Roman"/>
                <w:szCs w:val="21"/>
              </w:rPr>
              <w:t>不通过</w:t>
            </w:r>
            <w:r w:rsidRPr="008D7358">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53</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工作场所存在职业病危害因素分类目录所列职业病危害因素的单位，应建立职业健康监护档案，并保存档案。职业健康监护档案应包括劳动者的职业史、职业病危害接触史、职业健康检查结果和职业病诊疗等有关个人健康资料。</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7358">
              <w:rPr>
                <w:rFonts w:ascii="Times New Roman" w:eastAsia="宋体" w:hAnsi="Times New Roman" w:cs="Times New Roman"/>
                <w:szCs w:val="21"/>
              </w:rPr>
              <w:t>通过</w:t>
            </w:r>
            <w:r w:rsidRPr="008D7358">
              <w:rPr>
                <w:rFonts w:ascii="Times New Roman" w:eastAsia="宋体" w:hAnsi="Times New Roman" w:cs="Times New Roman"/>
                <w:sz w:val="36"/>
                <w:szCs w:val="36"/>
              </w:rPr>
              <w:t>□</w:t>
            </w:r>
            <w:r w:rsidRPr="008D7358">
              <w:rPr>
                <w:rFonts w:ascii="Times New Roman" w:eastAsia="宋体" w:hAnsi="Times New Roman" w:cs="Times New Roman"/>
                <w:szCs w:val="21"/>
              </w:rPr>
              <w:t>不通过</w:t>
            </w:r>
            <w:r w:rsidRPr="008D7358">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54</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工作场所存在职业病危害因素分类目录所列职业病危害因素的单位，不应安排有职业禁忌的从业人员从事其所禁忌的作业；不应安排未成年工从事接触职业病危害因素的作业；不应安排孕期、哺乳期的女职工从事对本人和胎儿、婴儿有危害的作业。</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7358">
              <w:rPr>
                <w:rFonts w:ascii="Times New Roman" w:eastAsia="宋体" w:hAnsi="Times New Roman" w:cs="Times New Roman"/>
                <w:szCs w:val="21"/>
              </w:rPr>
              <w:t>通过</w:t>
            </w:r>
            <w:r w:rsidRPr="008D7358">
              <w:rPr>
                <w:rFonts w:ascii="Times New Roman" w:eastAsia="宋体" w:hAnsi="Times New Roman" w:cs="Times New Roman"/>
                <w:sz w:val="36"/>
                <w:szCs w:val="36"/>
              </w:rPr>
              <w:t>□</w:t>
            </w:r>
            <w:r w:rsidRPr="008D7358">
              <w:rPr>
                <w:rFonts w:ascii="Times New Roman" w:eastAsia="宋体" w:hAnsi="Times New Roman" w:cs="Times New Roman"/>
                <w:szCs w:val="21"/>
              </w:rPr>
              <w:t>不通过</w:t>
            </w:r>
            <w:r w:rsidRPr="008D7358">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55</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工作场所存在职业病危害因素分类目录所列职业病危害因素的单位，应建立、健全职业健康管理档案。职业健康管理档案资料应包括下列内容：</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a</w:t>
            </w:r>
            <w:r w:rsidRPr="00D817D9">
              <w:rPr>
                <w:rFonts w:ascii="Times New Roman" w:eastAsia="宋体" w:hAnsi="Times New Roman" w:cs="Times New Roman"/>
                <w:szCs w:val="21"/>
              </w:rPr>
              <w:t>）工作场所职业病危害因素种类清单以及作业人员接触情况等资料；</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b</w:t>
            </w:r>
            <w:r w:rsidRPr="00D817D9">
              <w:rPr>
                <w:rFonts w:ascii="Times New Roman" w:eastAsia="宋体" w:hAnsi="Times New Roman" w:cs="Times New Roman"/>
                <w:szCs w:val="21"/>
              </w:rPr>
              <w:t>）工作场所职业病危害因素检测结果、评价报告；</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c</w:t>
            </w:r>
            <w:r w:rsidRPr="00D817D9">
              <w:rPr>
                <w:rFonts w:ascii="Times New Roman" w:eastAsia="宋体" w:hAnsi="Times New Roman" w:cs="Times New Roman"/>
                <w:szCs w:val="21"/>
              </w:rPr>
              <w:t>）职业健康检查结果汇总资料与评价报告；</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d</w:t>
            </w:r>
            <w:r w:rsidRPr="00D817D9">
              <w:rPr>
                <w:rFonts w:ascii="Times New Roman" w:eastAsia="宋体" w:hAnsi="Times New Roman" w:cs="Times New Roman"/>
                <w:szCs w:val="21"/>
              </w:rPr>
              <w:t>）职业病危害事故报告与应急处置记录；</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e</w:t>
            </w:r>
            <w:r w:rsidRPr="00D817D9">
              <w:rPr>
                <w:rFonts w:ascii="Times New Roman" w:eastAsia="宋体" w:hAnsi="Times New Roman" w:cs="Times New Roman"/>
                <w:szCs w:val="21"/>
              </w:rPr>
              <w:t>）对存在职业禁忌证、职业健康损害或者职业病的从业人员处理和安置情况记录；</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f</w:t>
            </w:r>
            <w:r w:rsidRPr="00D817D9">
              <w:rPr>
                <w:rFonts w:ascii="Times New Roman" w:eastAsia="宋体" w:hAnsi="Times New Roman" w:cs="Times New Roman"/>
                <w:szCs w:val="21"/>
              </w:rPr>
              <w:t>）其他有关职业卫生管理的资料或者文件。</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399D">
              <w:rPr>
                <w:rFonts w:ascii="Times New Roman" w:eastAsia="宋体" w:hAnsi="Times New Roman" w:cs="Times New Roman"/>
                <w:szCs w:val="21"/>
              </w:rPr>
              <w:t>通过</w:t>
            </w:r>
            <w:r w:rsidRPr="008D399D">
              <w:rPr>
                <w:rFonts w:ascii="Times New Roman" w:eastAsia="宋体" w:hAnsi="Times New Roman" w:cs="Times New Roman"/>
                <w:sz w:val="36"/>
                <w:szCs w:val="36"/>
              </w:rPr>
              <w:t>□</w:t>
            </w:r>
            <w:r w:rsidRPr="008D399D">
              <w:rPr>
                <w:rFonts w:ascii="Times New Roman" w:eastAsia="宋体" w:hAnsi="Times New Roman" w:cs="Times New Roman"/>
                <w:szCs w:val="21"/>
              </w:rPr>
              <w:t>不通过</w:t>
            </w:r>
            <w:r w:rsidRPr="008D399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56</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工作场所存在职业病危害因素分类目录所列职业病危害因素的单位与从业人员订立劳动合同时，应将工作过程中可能产生的职业病危害及其后果和防护措施如实告知从业人员，并在劳动合同中写明。</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399D">
              <w:rPr>
                <w:rFonts w:ascii="Times New Roman" w:eastAsia="宋体" w:hAnsi="Times New Roman" w:cs="Times New Roman"/>
                <w:szCs w:val="21"/>
              </w:rPr>
              <w:t>通过</w:t>
            </w:r>
            <w:r w:rsidRPr="008D399D">
              <w:rPr>
                <w:rFonts w:ascii="Times New Roman" w:eastAsia="宋体" w:hAnsi="Times New Roman" w:cs="Times New Roman"/>
                <w:sz w:val="36"/>
                <w:szCs w:val="36"/>
              </w:rPr>
              <w:t>□</w:t>
            </w:r>
            <w:r w:rsidRPr="008D399D">
              <w:rPr>
                <w:rFonts w:ascii="Times New Roman" w:eastAsia="宋体" w:hAnsi="Times New Roman" w:cs="Times New Roman"/>
                <w:szCs w:val="21"/>
              </w:rPr>
              <w:t>不通过</w:t>
            </w:r>
            <w:r w:rsidRPr="008D399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67</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对接触职业病危害因素的从业人员进行培训。</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399D">
              <w:rPr>
                <w:rFonts w:ascii="Times New Roman" w:eastAsia="宋体" w:hAnsi="Times New Roman" w:cs="Times New Roman"/>
                <w:szCs w:val="21"/>
              </w:rPr>
              <w:t>通过</w:t>
            </w:r>
            <w:r w:rsidRPr="008D399D">
              <w:rPr>
                <w:rFonts w:ascii="Times New Roman" w:eastAsia="宋体" w:hAnsi="Times New Roman" w:cs="Times New Roman"/>
                <w:sz w:val="36"/>
                <w:szCs w:val="36"/>
              </w:rPr>
              <w:t>□</w:t>
            </w:r>
            <w:r w:rsidRPr="008D399D">
              <w:rPr>
                <w:rFonts w:ascii="Times New Roman" w:eastAsia="宋体" w:hAnsi="Times New Roman" w:cs="Times New Roman"/>
                <w:szCs w:val="21"/>
              </w:rPr>
              <w:t>不通过</w:t>
            </w:r>
            <w:r w:rsidRPr="008D399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58</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公布职业病防治的规章制度等内容。公布本单位的职业卫生管理制度和操作规程、应急救援措施、职业病危害因素检测结果。</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399D">
              <w:rPr>
                <w:rFonts w:ascii="Times New Roman" w:eastAsia="宋体" w:hAnsi="Times New Roman" w:cs="Times New Roman"/>
                <w:szCs w:val="21"/>
              </w:rPr>
              <w:t>通过</w:t>
            </w:r>
            <w:r w:rsidRPr="008D399D">
              <w:rPr>
                <w:rFonts w:ascii="Times New Roman" w:eastAsia="宋体" w:hAnsi="Times New Roman" w:cs="Times New Roman"/>
                <w:sz w:val="36"/>
                <w:szCs w:val="36"/>
              </w:rPr>
              <w:t>□</w:t>
            </w:r>
            <w:r w:rsidRPr="008D399D">
              <w:rPr>
                <w:rFonts w:ascii="Times New Roman" w:eastAsia="宋体" w:hAnsi="Times New Roman" w:cs="Times New Roman"/>
                <w:szCs w:val="21"/>
              </w:rPr>
              <w:t>不通过</w:t>
            </w:r>
            <w:r w:rsidRPr="008D399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59</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有害作业应与无害作业分开。</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399D">
              <w:rPr>
                <w:rFonts w:ascii="Times New Roman" w:eastAsia="宋体" w:hAnsi="Times New Roman" w:cs="Times New Roman"/>
                <w:szCs w:val="21"/>
              </w:rPr>
              <w:t>通过</w:t>
            </w:r>
            <w:r w:rsidRPr="008D399D">
              <w:rPr>
                <w:rFonts w:ascii="Times New Roman" w:eastAsia="宋体" w:hAnsi="Times New Roman" w:cs="Times New Roman"/>
                <w:sz w:val="36"/>
                <w:szCs w:val="36"/>
              </w:rPr>
              <w:t>□</w:t>
            </w:r>
            <w:r w:rsidRPr="008D399D">
              <w:rPr>
                <w:rFonts w:ascii="Times New Roman" w:eastAsia="宋体" w:hAnsi="Times New Roman" w:cs="Times New Roman"/>
                <w:szCs w:val="21"/>
              </w:rPr>
              <w:t>不通过</w:t>
            </w:r>
            <w:r w:rsidRPr="008D399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lastRenderedPageBreak/>
              <w:t>60</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kern w:val="0"/>
                <w:szCs w:val="21"/>
              </w:rPr>
              <w:t>存在或产生职业病危害的工作场所、作业岗位、设备、设施，应在醒目位置设置图形、警示线、警示语句等警示标识和中文警示说明。警示说明应当载明产生职业病危害的种类、后果、预防和应急处置措施等内容。</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399D">
              <w:rPr>
                <w:rFonts w:ascii="Times New Roman" w:eastAsia="宋体" w:hAnsi="Times New Roman" w:cs="Times New Roman"/>
                <w:szCs w:val="21"/>
              </w:rPr>
              <w:t>通过</w:t>
            </w:r>
            <w:r w:rsidRPr="008D399D">
              <w:rPr>
                <w:rFonts w:ascii="Times New Roman" w:eastAsia="宋体" w:hAnsi="Times New Roman" w:cs="Times New Roman"/>
                <w:sz w:val="36"/>
                <w:szCs w:val="36"/>
              </w:rPr>
              <w:t>□</w:t>
            </w:r>
            <w:r w:rsidRPr="008D399D">
              <w:rPr>
                <w:rFonts w:ascii="Times New Roman" w:eastAsia="宋体" w:hAnsi="Times New Roman" w:cs="Times New Roman"/>
                <w:szCs w:val="21"/>
              </w:rPr>
              <w:t>不通过</w:t>
            </w:r>
            <w:r w:rsidRPr="008D399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61</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kern w:val="0"/>
                <w:szCs w:val="21"/>
              </w:rPr>
              <w:t>对可能发生急性职业损伤的有毒、有害工作场所，设置报警装置，配置现场急救用品、冲洗设备、应急撤离通道。</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399D">
              <w:rPr>
                <w:rFonts w:ascii="Times New Roman" w:eastAsia="宋体" w:hAnsi="Times New Roman" w:cs="Times New Roman"/>
                <w:szCs w:val="21"/>
              </w:rPr>
              <w:t>通过</w:t>
            </w:r>
            <w:r w:rsidRPr="008D399D">
              <w:rPr>
                <w:rFonts w:ascii="Times New Roman" w:eastAsia="宋体" w:hAnsi="Times New Roman" w:cs="Times New Roman"/>
                <w:sz w:val="36"/>
                <w:szCs w:val="36"/>
              </w:rPr>
              <w:t>□</w:t>
            </w:r>
            <w:r w:rsidRPr="008D399D">
              <w:rPr>
                <w:rFonts w:ascii="Times New Roman" w:eastAsia="宋体" w:hAnsi="Times New Roman" w:cs="Times New Roman"/>
                <w:szCs w:val="21"/>
              </w:rPr>
              <w:t>不通过</w:t>
            </w:r>
            <w:r w:rsidRPr="008D399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62</w:t>
            </w:r>
          </w:p>
        </w:tc>
        <w:tc>
          <w:tcPr>
            <w:tcW w:w="555" w:type="pct"/>
            <w:vMerge/>
            <w:tcBorders>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kern w:val="0"/>
                <w:szCs w:val="21"/>
              </w:rPr>
            </w:pPr>
            <w:r w:rsidRPr="00D817D9">
              <w:rPr>
                <w:rFonts w:ascii="Times New Roman" w:eastAsia="宋体" w:hAnsi="Times New Roman" w:cs="Times New Roman"/>
                <w:kern w:val="0"/>
                <w:szCs w:val="21"/>
              </w:rPr>
              <w:t>对职业病防护设备、应急救援设施和个人使用的职业病防护用品，应当进行经常性的维护、检修，定期检测其性能和效果，确保其处于正常状态，不得擅自拆除或者停止使用。</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不涉及</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8D399D">
              <w:rPr>
                <w:rFonts w:ascii="Times New Roman" w:eastAsia="宋体" w:hAnsi="Times New Roman" w:cs="Times New Roman"/>
                <w:szCs w:val="21"/>
              </w:rPr>
              <w:t>通过</w:t>
            </w:r>
            <w:r w:rsidRPr="008D399D">
              <w:rPr>
                <w:rFonts w:ascii="Times New Roman" w:eastAsia="宋体" w:hAnsi="Times New Roman" w:cs="Times New Roman"/>
                <w:sz w:val="36"/>
                <w:szCs w:val="36"/>
              </w:rPr>
              <w:t>□</w:t>
            </w:r>
            <w:r w:rsidRPr="008D399D">
              <w:rPr>
                <w:rFonts w:ascii="Times New Roman" w:eastAsia="宋体" w:hAnsi="Times New Roman" w:cs="Times New Roman"/>
                <w:szCs w:val="21"/>
              </w:rPr>
              <w:t>不通过</w:t>
            </w:r>
            <w:r w:rsidRPr="008D399D">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63</w:t>
            </w:r>
          </w:p>
        </w:tc>
        <w:tc>
          <w:tcPr>
            <w:tcW w:w="555"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（十一）</w:t>
            </w:r>
            <w:r w:rsidRPr="00D817D9">
              <w:rPr>
                <w:rFonts w:ascii="Times New Roman" w:eastAsia="宋体" w:hAnsi="Times New Roman" w:cs="Times New Roman"/>
                <w:color w:val="000000"/>
                <w:szCs w:val="21"/>
              </w:rPr>
              <w:t>三同时管理</w:t>
            </w: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对新建、改建、扩建工程项目安全设施和职业病防护设施实行</w:t>
            </w:r>
            <w:r w:rsidRPr="00D817D9">
              <w:rPr>
                <w:rFonts w:ascii="Times New Roman" w:eastAsia="宋体" w:hAnsi="Times New Roman" w:cs="Times New Roman"/>
                <w:szCs w:val="21"/>
              </w:rPr>
              <w:t>“</w:t>
            </w:r>
            <w:r w:rsidRPr="00D817D9">
              <w:rPr>
                <w:rFonts w:ascii="Times New Roman" w:eastAsia="宋体" w:hAnsi="Times New Roman" w:cs="Times New Roman"/>
                <w:szCs w:val="21"/>
              </w:rPr>
              <w:t>三同时</w:t>
            </w:r>
            <w:r w:rsidRPr="00D817D9">
              <w:rPr>
                <w:rFonts w:ascii="Times New Roman" w:eastAsia="宋体" w:hAnsi="Times New Roman" w:cs="Times New Roman"/>
                <w:szCs w:val="21"/>
              </w:rPr>
              <w:t>”</w:t>
            </w:r>
            <w:r w:rsidRPr="00D817D9">
              <w:rPr>
                <w:rFonts w:ascii="Times New Roman" w:eastAsia="宋体" w:hAnsi="Times New Roman" w:cs="Times New Roman"/>
                <w:szCs w:val="21"/>
              </w:rPr>
              <w:t>管理，安全设施和职业病防护设施应与主体工程同时设计、同时施工、同时投入生产和使用，且应符合建设项目安全设施和职业病防护设施</w:t>
            </w:r>
            <w:r w:rsidRPr="00D817D9">
              <w:rPr>
                <w:rFonts w:ascii="Times New Roman" w:eastAsia="宋体" w:hAnsi="Times New Roman" w:cs="Times New Roman"/>
                <w:szCs w:val="21"/>
              </w:rPr>
              <w:t>“</w:t>
            </w:r>
            <w:r w:rsidRPr="00D817D9">
              <w:rPr>
                <w:rFonts w:ascii="Times New Roman" w:eastAsia="宋体" w:hAnsi="Times New Roman" w:cs="Times New Roman"/>
                <w:szCs w:val="21"/>
              </w:rPr>
              <w:t>三同时</w:t>
            </w:r>
            <w:r w:rsidRPr="00D817D9">
              <w:rPr>
                <w:rFonts w:ascii="Times New Roman" w:eastAsia="宋体" w:hAnsi="Times New Roman" w:cs="Times New Roman"/>
                <w:szCs w:val="21"/>
              </w:rPr>
              <w:t>”</w:t>
            </w:r>
            <w:r w:rsidRPr="00D817D9">
              <w:rPr>
                <w:rFonts w:ascii="Times New Roman" w:eastAsia="宋体" w:hAnsi="Times New Roman" w:cs="Times New Roman"/>
                <w:szCs w:val="21"/>
              </w:rPr>
              <w:t>的相关规定。</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196A81">
              <w:rPr>
                <w:rFonts w:ascii="Times New Roman" w:eastAsia="宋体" w:hAnsi="Times New Roman" w:cs="Times New Roman"/>
                <w:szCs w:val="21"/>
              </w:rPr>
              <w:t>通过</w:t>
            </w:r>
            <w:r w:rsidR="0026294B" w:rsidRPr="007735C3">
              <w:rPr>
                <w:rFonts w:ascii="宋体" w:eastAsia="宋体" w:hAnsi="宋体" w:cs="Times New Roman" w:hint="eastAsia"/>
                <w:sz w:val="28"/>
                <w:szCs w:val="28"/>
              </w:rPr>
              <w:t>√</w:t>
            </w:r>
            <w:r w:rsidRPr="00196A81">
              <w:rPr>
                <w:rFonts w:ascii="Times New Roman" w:eastAsia="宋体" w:hAnsi="Times New Roman" w:cs="Times New Roman"/>
                <w:szCs w:val="21"/>
              </w:rPr>
              <w:t>不通过</w:t>
            </w:r>
            <w:r w:rsidRPr="00196A81">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64</w:t>
            </w:r>
          </w:p>
        </w:tc>
        <w:tc>
          <w:tcPr>
            <w:tcW w:w="555"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（十二）</w:t>
            </w:r>
            <w:r w:rsidRPr="00D817D9">
              <w:rPr>
                <w:rFonts w:ascii="Times New Roman" w:eastAsia="宋体" w:hAnsi="Times New Roman" w:cs="Times New Roman"/>
                <w:color w:val="000000"/>
                <w:szCs w:val="21"/>
              </w:rPr>
              <w:t>有限空间作业</w:t>
            </w: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有限空间作业应严格执行危险作业审批制度。有限空间作业应符合下列要求：</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a</w:t>
            </w:r>
            <w:r w:rsidRPr="00D817D9">
              <w:rPr>
                <w:rFonts w:ascii="Times New Roman" w:eastAsia="宋体" w:hAnsi="Times New Roman" w:cs="Times New Roman"/>
                <w:szCs w:val="21"/>
              </w:rPr>
              <w:t>）应有明显的警示标志；</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b</w:t>
            </w:r>
            <w:r w:rsidRPr="00D817D9">
              <w:rPr>
                <w:rFonts w:ascii="Times New Roman" w:eastAsia="宋体" w:hAnsi="Times New Roman" w:cs="Times New Roman"/>
                <w:szCs w:val="21"/>
              </w:rPr>
              <w:t>）进行有毒有害气体浓度和氧气浓度检测，浓度符合安全指标后，方可准备进行作业；</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c</w:t>
            </w:r>
            <w:r w:rsidRPr="00D817D9">
              <w:rPr>
                <w:rFonts w:ascii="Times New Roman" w:eastAsia="宋体" w:hAnsi="Times New Roman" w:cs="Times New Roman"/>
                <w:szCs w:val="21"/>
              </w:rPr>
              <w:t>）作业时，应佩带必要的安全防护用具。</w:t>
            </w:r>
          </w:p>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e</w:t>
            </w:r>
            <w:r w:rsidRPr="00D817D9">
              <w:rPr>
                <w:rFonts w:ascii="Times New Roman" w:eastAsia="宋体" w:hAnsi="Times New Roman" w:cs="Times New Roman"/>
                <w:szCs w:val="21"/>
              </w:rPr>
              <w:t>）作业时，应有监护人，监护人不应擅离职守，操作期间应对有毒有害气体浓度和氧气浓度不间断监测。</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196A81">
              <w:rPr>
                <w:rFonts w:ascii="Times New Roman" w:eastAsia="宋体" w:hAnsi="Times New Roman" w:cs="Times New Roman"/>
                <w:szCs w:val="21"/>
              </w:rPr>
              <w:t>通过</w:t>
            </w:r>
            <w:r w:rsidR="0026294B" w:rsidRPr="007735C3">
              <w:rPr>
                <w:rFonts w:ascii="宋体" w:eastAsia="宋体" w:hAnsi="宋体" w:cs="Times New Roman" w:hint="eastAsia"/>
                <w:sz w:val="28"/>
                <w:szCs w:val="28"/>
              </w:rPr>
              <w:t>√</w:t>
            </w:r>
            <w:r w:rsidRPr="00196A81">
              <w:rPr>
                <w:rFonts w:ascii="Times New Roman" w:eastAsia="宋体" w:hAnsi="Times New Roman" w:cs="Times New Roman"/>
                <w:szCs w:val="21"/>
              </w:rPr>
              <w:t>不通过</w:t>
            </w:r>
            <w:r w:rsidRPr="00196A81">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65</w:t>
            </w:r>
          </w:p>
        </w:tc>
        <w:tc>
          <w:tcPr>
            <w:tcW w:w="555"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（十三）</w:t>
            </w:r>
            <w:r w:rsidRPr="00D817D9">
              <w:rPr>
                <w:rFonts w:ascii="Times New Roman" w:eastAsia="宋体" w:hAnsi="Times New Roman" w:cs="Times New Roman"/>
                <w:color w:val="000000"/>
                <w:szCs w:val="21"/>
              </w:rPr>
              <w:t>电气</w:t>
            </w: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依据国家公布的设备性能标准逐步淘汰落后的电气设备。</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196A81">
              <w:rPr>
                <w:rFonts w:ascii="Times New Roman" w:eastAsia="宋体" w:hAnsi="Times New Roman" w:cs="Times New Roman"/>
                <w:szCs w:val="21"/>
              </w:rPr>
              <w:t>通过</w:t>
            </w:r>
            <w:r w:rsidR="0026294B" w:rsidRPr="007735C3">
              <w:rPr>
                <w:rFonts w:ascii="宋体" w:eastAsia="宋体" w:hAnsi="宋体" w:cs="Times New Roman" w:hint="eastAsia"/>
                <w:sz w:val="28"/>
                <w:szCs w:val="28"/>
              </w:rPr>
              <w:t>√</w:t>
            </w:r>
            <w:r w:rsidRPr="00196A81">
              <w:rPr>
                <w:rFonts w:ascii="Times New Roman" w:eastAsia="宋体" w:hAnsi="Times New Roman" w:cs="Times New Roman"/>
                <w:szCs w:val="21"/>
              </w:rPr>
              <w:t>不通过</w:t>
            </w:r>
            <w:r w:rsidRPr="00196A81">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66</w:t>
            </w:r>
          </w:p>
        </w:tc>
        <w:tc>
          <w:tcPr>
            <w:tcW w:w="555" w:type="pct"/>
            <w:vMerge w:val="restart"/>
            <w:tcBorders>
              <w:top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（十四）</w:t>
            </w:r>
            <w:r w:rsidRPr="00D817D9">
              <w:rPr>
                <w:rFonts w:ascii="Times New Roman" w:eastAsia="宋体" w:hAnsi="Times New Roman" w:cs="Times New Roman"/>
                <w:color w:val="000000"/>
                <w:szCs w:val="21"/>
              </w:rPr>
              <w:t>消防</w:t>
            </w: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rPr>
              <w:t>建筑物或者场所应依法通过消防验收或者进行消防竣工验收备案。</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196A81">
              <w:rPr>
                <w:rFonts w:ascii="Times New Roman" w:eastAsia="宋体" w:hAnsi="Times New Roman" w:cs="Times New Roman"/>
                <w:szCs w:val="21"/>
              </w:rPr>
              <w:t>通过</w:t>
            </w:r>
            <w:r w:rsidR="0026294B" w:rsidRPr="007735C3">
              <w:rPr>
                <w:rFonts w:ascii="宋体" w:eastAsia="宋体" w:hAnsi="宋体" w:cs="Times New Roman" w:hint="eastAsia"/>
                <w:sz w:val="28"/>
                <w:szCs w:val="28"/>
              </w:rPr>
              <w:t>√</w:t>
            </w:r>
            <w:r w:rsidRPr="00196A81">
              <w:rPr>
                <w:rFonts w:ascii="Times New Roman" w:eastAsia="宋体" w:hAnsi="Times New Roman" w:cs="Times New Roman"/>
                <w:szCs w:val="21"/>
              </w:rPr>
              <w:t>不通过</w:t>
            </w:r>
            <w:r w:rsidRPr="00196A81">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67</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rPr>
            </w:pPr>
            <w:r w:rsidRPr="00D817D9">
              <w:rPr>
                <w:rFonts w:ascii="Times New Roman" w:eastAsia="宋体" w:hAnsi="Times New Roman" w:cs="Times New Roman"/>
                <w:szCs w:val="21"/>
                <w:shd w:val="clear" w:color="auto" w:fill="FFFFFF"/>
              </w:rPr>
              <w:t>对建筑消防设施每年至少进行</w:t>
            </w:r>
            <w:r w:rsidRPr="00D817D9">
              <w:rPr>
                <w:rFonts w:ascii="Times New Roman" w:eastAsia="宋体" w:hAnsi="Times New Roman" w:cs="Times New Roman"/>
                <w:szCs w:val="21"/>
                <w:shd w:val="clear" w:color="auto" w:fill="FFFFFF"/>
              </w:rPr>
              <w:t>1</w:t>
            </w:r>
            <w:r w:rsidRPr="00D817D9">
              <w:rPr>
                <w:rFonts w:ascii="Times New Roman" w:eastAsia="宋体" w:hAnsi="Times New Roman" w:cs="Times New Roman"/>
                <w:szCs w:val="21"/>
                <w:shd w:val="clear" w:color="auto" w:fill="FFFFFF"/>
              </w:rPr>
              <w:t>次全面检测，确保完好有效。</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196A81">
              <w:rPr>
                <w:rFonts w:ascii="Times New Roman" w:eastAsia="宋体" w:hAnsi="Times New Roman" w:cs="Times New Roman"/>
                <w:szCs w:val="21"/>
              </w:rPr>
              <w:t>通过</w:t>
            </w:r>
            <w:r w:rsidR="0026294B" w:rsidRPr="007735C3">
              <w:rPr>
                <w:rFonts w:ascii="宋体" w:eastAsia="宋体" w:hAnsi="宋体" w:cs="Times New Roman" w:hint="eastAsia"/>
                <w:sz w:val="28"/>
                <w:szCs w:val="28"/>
              </w:rPr>
              <w:t>√</w:t>
            </w:r>
            <w:r w:rsidRPr="00196A81">
              <w:rPr>
                <w:rFonts w:ascii="Times New Roman" w:eastAsia="宋体" w:hAnsi="Times New Roman" w:cs="Times New Roman"/>
                <w:szCs w:val="21"/>
              </w:rPr>
              <w:t>不通过</w:t>
            </w:r>
            <w:r w:rsidRPr="00196A81">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68</w:t>
            </w:r>
          </w:p>
        </w:tc>
        <w:tc>
          <w:tcPr>
            <w:tcW w:w="555" w:type="pct"/>
            <w:vMerge/>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shd w:val="clear" w:color="auto" w:fill="FFFFFF"/>
              </w:rPr>
            </w:pPr>
            <w:r w:rsidRPr="00D817D9">
              <w:rPr>
                <w:rFonts w:ascii="Times New Roman" w:eastAsia="宋体" w:hAnsi="Times New Roman" w:cs="Times New Roman"/>
                <w:szCs w:val="21"/>
                <w:shd w:val="clear" w:color="auto" w:fill="FFFFFF"/>
              </w:rPr>
              <w:t>消防安全重点单位应定期对电气防火安全进行检测和开展每日防火巡查。</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196A81">
              <w:rPr>
                <w:rFonts w:ascii="Times New Roman" w:eastAsia="宋体" w:hAnsi="Times New Roman" w:cs="Times New Roman"/>
                <w:szCs w:val="21"/>
              </w:rPr>
              <w:t>通过</w:t>
            </w:r>
            <w:r w:rsidR="0026294B" w:rsidRPr="007735C3">
              <w:rPr>
                <w:rFonts w:ascii="宋体" w:eastAsia="宋体" w:hAnsi="宋体" w:cs="Times New Roman" w:hint="eastAsia"/>
                <w:sz w:val="28"/>
                <w:szCs w:val="28"/>
              </w:rPr>
              <w:t>√</w:t>
            </w:r>
            <w:r w:rsidRPr="00196A81">
              <w:rPr>
                <w:rFonts w:ascii="Times New Roman" w:eastAsia="宋体" w:hAnsi="Times New Roman" w:cs="Times New Roman"/>
                <w:szCs w:val="21"/>
              </w:rPr>
              <w:t>不通过</w:t>
            </w:r>
            <w:r w:rsidRPr="00196A81">
              <w:rPr>
                <w:rFonts w:ascii="Times New Roman" w:eastAsia="宋体" w:hAnsi="Times New Roman" w:cs="Times New Roman"/>
                <w:sz w:val="36"/>
                <w:szCs w:val="36"/>
              </w:rPr>
              <w:t>□</w:t>
            </w:r>
          </w:p>
        </w:tc>
      </w:tr>
      <w:tr w:rsidR="00E44EFD" w:rsidRPr="00D817D9" w:rsidTr="00D608AD">
        <w:trPr>
          <w:jc w:val="center"/>
        </w:trPr>
        <w:tc>
          <w:tcPr>
            <w:tcW w:w="258" w:type="pct"/>
            <w:tcBorders>
              <w:top w:val="single" w:sz="4" w:space="0" w:color="auto"/>
              <w:bottom w:val="single" w:sz="4" w:space="0" w:color="auto"/>
            </w:tcBorders>
            <w:vAlign w:val="center"/>
          </w:tcPr>
          <w:p w:rsidR="00E44EFD" w:rsidRPr="001C14C2" w:rsidRDefault="00E44EFD" w:rsidP="00D608AD">
            <w:pPr>
              <w:adjustRightInd w:val="0"/>
              <w:snapToGrid w:val="0"/>
              <w:jc w:val="center"/>
              <w:rPr>
                <w:rFonts w:ascii="Times New Roman" w:eastAsia="宋体" w:hAnsi="Times New Roman" w:cs="Times New Roman"/>
                <w:color w:val="000000"/>
                <w:szCs w:val="21"/>
              </w:rPr>
            </w:pPr>
            <w:r w:rsidRPr="001C14C2">
              <w:rPr>
                <w:rFonts w:ascii="Times New Roman" w:eastAsia="宋体" w:hAnsi="Times New Roman" w:cs="Times New Roman" w:hint="eastAsia"/>
                <w:color w:val="000000"/>
                <w:szCs w:val="21"/>
              </w:rPr>
              <w:t>69</w:t>
            </w:r>
          </w:p>
        </w:tc>
        <w:tc>
          <w:tcPr>
            <w:tcW w:w="555" w:type="pct"/>
            <w:vMerge/>
            <w:tcBorders>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color w:val="000000"/>
                <w:szCs w:val="21"/>
              </w:rPr>
            </w:pPr>
          </w:p>
        </w:tc>
        <w:tc>
          <w:tcPr>
            <w:tcW w:w="2634" w:type="pct"/>
            <w:tcBorders>
              <w:top w:val="single" w:sz="4" w:space="0" w:color="auto"/>
              <w:bottom w:val="single" w:sz="4" w:space="0" w:color="auto"/>
            </w:tcBorders>
            <w:vAlign w:val="center"/>
          </w:tcPr>
          <w:p w:rsidR="00E44EFD" w:rsidRPr="00D817D9" w:rsidRDefault="00E44EFD" w:rsidP="00D608AD">
            <w:pPr>
              <w:adjustRightInd w:val="0"/>
              <w:snapToGrid w:val="0"/>
              <w:rPr>
                <w:rFonts w:ascii="Times New Roman" w:eastAsia="宋体" w:hAnsi="Times New Roman" w:cs="Times New Roman"/>
                <w:szCs w:val="21"/>
                <w:shd w:val="clear" w:color="auto" w:fill="FFFFFF"/>
              </w:rPr>
            </w:pPr>
            <w:r w:rsidRPr="00D817D9">
              <w:rPr>
                <w:rFonts w:ascii="Times New Roman" w:eastAsia="宋体" w:hAnsi="Times New Roman" w:cs="Times New Roman"/>
                <w:szCs w:val="21"/>
                <w:shd w:val="clear" w:color="auto" w:fill="FFFFFF"/>
              </w:rPr>
              <w:t>保持畅通，不应占用、堵塞、封闭安全出口、消防车道和疏散通道或者有其他妨碍安全疏散的行为。</w:t>
            </w:r>
          </w:p>
        </w:tc>
        <w:tc>
          <w:tcPr>
            <w:tcW w:w="807" w:type="pct"/>
            <w:tcBorders>
              <w:top w:val="single" w:sz="4" w:space="0" w:color="auto"/>
              <w:bottom w:val="single" w:sz="4" w:space="0" w:color="auto"/>
            </w:tcBorders>
            <w:vAlign w:val="center"/>
          </w:tcPr>
          <w:p w:rsidR="00E44EFD" w:rsidRPr="00D817D9" w:rsidRDefault="007735C3" w:rsidP="00215DCB">
            <w:pPr>
              <w:adjustRightInd w:val="0"/>
              <w:snapToGrid w:val="0"/>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合格</w:t>
            </w:r>
          </w:p>
        </w:tc>
        <w:tc>
          <w:tcPr>
            <w:tcW w:w="746" w:type="pct"/>
            <w:tcBorders>
              <w:top w:val="single" w:sz="4" w:space="0" w:color="auto"/>
              <w:bottom w:val="single" w:sz="4" w:space="0" w:color="auto"/>
            </w:tcBorders>
            <w:vAlign w:val="center"/>
          </w:tcPr>
          <w:p w:rsidR="00E44EFD" w:rsidRDefault="00E44EFD" w:rsidP="00D608AD">
            <w:pPr>
              <w:snapToGrid w:val="0"/>
              <w:jc w:val="center"/>
            </w:pPr>
            <w:r w:rsidRPr="00196A81">
              <w:rPr>
                <w:rFonts w:ascii="Times New Roman" w:eastAsia="宋体" w:hAnsi="Times New Roman" w:cs="Times New Roman"/>
                <w:szCs w:val="21"/>
              </w:rPr>
              <w:t>通过</w:t>
            </w:r>
            <w:r w:rsidR="0026294B" w:rsidRPr="007735C3">
              <w:rPr>
                <w:rFonts w:ascii="宋体" w:eastAsia="宋体" w:hAnsi="宋体" w:cs="Times New Roman" w:hint="eastAsia"/>
                <w:sz w:val="28"/>
                <w:szCs w:val="28"/>
              </w:rPr>
              <w:t>√</w:t>
            </w:r>
            <w:r w:rsidRPr="00196A81">
              <w:rPr>
                <w:rFonts w:ascii="Times New Roman" w:eastAsia="宋体" w:hAnsi="Times New Roman" w:cs="Times New Roman"/>
                <w:szCs w:val="21"/>
              </w:rPr>
              <w:t>不通过</w:t>
            </w:r>
            <w:r w:rsidRPr="00196A81">
              <w:rPr>
                <w:rFonts w:ascii="Times New Roman" w:eastAsia="宋体" w:hAnsi="Times New Roman" w:cs="Times New Roman"/>
                <w:sz w:val="36"/>
                <w:szCs w:val="36"/>
              </w:rPr>
              <w:t>□</w:t>
            </w:r>
          </w:p>
        </w:tc>
      </w:tr>
    </w:tbl>
    <w:p w:rsidR="00E44EFD" w:rsidRPr="00AE4D61" w:rsidRDefault="00E44EFD" w:rsidP="00E44EFD">
      <w:pPr>
        <w:snapToGrid w:val="0"/>
        <w:outlineLvl w:val="0"/>
        <w:rPr>
          <w:rFonts w:ascii="仿宋_GB2312" w:eastAsia="仿宋_GB2312" w:cs="仿宋_GB2312"/>
          <w:kern w:val="0"/>
          <w:sz w:val="32"/>
          <w:szCs w:val="32"/>
        </w:rPr>
      </w:pPr>
    </w:p>
    <w:p w:rsidR="004B7C11" w:rsidRDefault="004B7C11"/>
    <w:sectPr w:rsidR="004B7C11" w:rsidSect="00D705D6">
      <w:headerReference w:type="default" r:id="rId6"/>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389F" w:rsidRDefault="0084389F" w:rsidP="00E44EFD">
      <w:r>
        <w:separator/>
      </w:r>
    </w:p>
  </w:endnote>
  <w:endnote w:type="continuationSeparator" w:id="0">
    <w:p w:rsidR="0084389F" w:rsidRDefault="0084389F" w:rsidP="00E4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389F" w:rsidRDefault="0084389F" w:rsidP="00E44EFD">
      <w:r>
        <w:separator/>
      </w:r>
    </w:p>
  </w:footnote>
  <w:footnote w:type="continuationSeparator" w:id="0">
    <w:p w:rsidR="0084389F" w:rsidRDefault="0084389F" w:rsidP="00E44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52D64" w:rsidRPr="00652D64" w:rsidRDefault="00652D64" w:rsidP="00652D64">
    <w:pPr>
      <w:pStyle w:val="a3"/>
      <w:jc w:val="left"/>
      <w:rPr>
        <w:sz w:val="30"/>
        <w:szCs w:val="30"/>
      </w:rPr>
    </w:pPr>
    <w:r w:rsidRPr="00652D64">
      <w:rPr>
        <w:rFonts w:hint="eastAsia"/>
        <w:sz w:val="30"/>
        <w:szCs w:val="30"/>
      </w:rPr>
      <w:t>单位名称：北京光华荣昌汽车部件有限公司</w:t>
    </w:r>
  </w:p>
  <w:p w:rsidR="00652D64" w:rsidRDefault="00652D6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8D8"/>
    <w:rsid w:val="00037AD3"/>
    <w:rsid w:val="00215DCB"/>
    <w:rsid w:val="002531C4"/>
    <w:rsid w:val="0026294B"/>
    <w:rsid w:val="003E3E7C"/>
    <w:rsid w:val="0046422A"/>
    <w:rsid w:val="004B7C11"/>
    <w:rsid w:val="00652D64"/>
    <w:rsid w:val="007735C3"/>
    <w:rsid w:val="0084389F"/>
    <w:rsid w:val="008C3929"/>
    <w:rsid w:val="00C6036C"/>
    <w:rsid w:val="00DA08D8"/>
    <w:rsid w:val="00E44EFD"/>
    <w:rsid w:val="00FC4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ED8FD"/>
  <w15:chartTrackingRefBased/>
  <w15:docId w15:val="{25935E33-16C6-4A17-A7CF-065FF7612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E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E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4EFD"/>
    <w:rPr>
      <w:sz w:val="18"/>
      <w:szCs w:val="18"/>
    </w:rPr>
  </w:style>
  <w:style w:type="paragraph" w:styleId="a5">
    <w:name w:val="footer"/>
    <w:basedOn w:val="a"/>
    <w:link w:val="a6"/>
    <w:uiPriority w:val="99"/>
    <w:unhideWhenUsed/>
    <w:rsid w:val="00E44EFD"/>
    <w:pPr>
      <w:tabs>
        <w:tab w:val="center" w:pos="4153"/>
        <w:tab w:val="right" w:pos="8306"/>
      </w:tabs>
      <w:snapToGrid w:val="0"/>
      <w:jc w:val="left"/>
    </w:pPr>
    <w:rPr>
      <w:sz w:val="18"/>
      <w:szCs w:val="18"/>
    </w:rPr>
  </w:style>
  <w:style w:type="character" w:customStyle="1" w:styleId="a6">
    <w:name w:val="页脚 字符"/>
    <w:basedOn w:val="a0"/>
    <w:link w:val="a5"/>
    <w:uiPriority w:val="99"/>
    <w:rsid w:val="00E44EFD"/>
    <w:rPr>
      <w:sz w:val="18"/>
      <w:szCs w:val="18"/>
    </w:rPr>
  </w:style>
  <w:style w:type="paragraph" w:customStyle="1" w:styleId="a7">
    <w:name w:val="三级无"/>
    <w:basedOn w:val="a"/>
    <w:rsid w:val="00E44EFD"/>
    <w:pPr>
      <w:widowControl/>
      <w:jc w:val="left"/>
      <w:outlineLvl w:val="4"/>
    </w:pPr>
    <w:rPr>
      <w:rFonts w:ascii="宋体"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1080</Words>
  <Characters>6158</Characters>
  <Application>Microsoft Office Word</Application>
  <DocSecurity>0</DocSecurity>
  <Lines>51</Lines>
  <Paragraphs>14</Paragraphs>
  <ScaleCrop>false</ScaleCrop>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jcli</dc:creator>
  <cp:keywords/>
  <dc:description/>
  <cp:lastModifiedBy>宇飞 刘</cp:lastModifiedBy>
  <cp:revision>7</cp:revision>
  <dcterms:created xsi:type="dcterms:W3CDTF">2025-07-23T03:25:00Z</dcterms:created>
  <dcterms:modified xsi:type="dcterms:W3CDTF">2025-07-23T03:51:00Z</dcterms:modified>
</cp:coreProperties>
</file>