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A6BE1">
      <w:pPr>
        <w:spacing w:line="360" w:lineRule="auto"/>
        <w:ind w:right="1660"/>
        <w:rPr>
          <w:rFonts w:hint="eastAsia" w:ascii="微软雅黑" w:hAnsi="微软雅黑" w:eastAsia="微软雅黑" w:cs="微软雅黑"/>
          <w:sz w:val="22"/>
          <w:szCs w:val="22"/>
          <w:vertAlign w:val="baseline"/>
        </w:rPr>
      </w:pP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hint="eastAsia" w:ascii="微软雅黑" w:hAnsi="微软雅黑" w:eastAsia="微软雅黑" w:cs="微软雅黑"/>
          <w:sz w:val="22"/>
          <w:szCs w:val="22"/>
          <w:vertAlign w:val="baseline"/>
        </w:rPr>
        <w:t>甲方合同编号：</w:t>
      </w:r>
    </w:p>
    <w:p w14:paraId="0349699D">
      <w:pPr>
        <w:spacing w:line="360" w:lineRule="auto"/>
        <w:ind w:left="5880" w:right="1660" w:firstLine="440" w:firstLineChars="20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乙方合同编号：</w:t>
      </w:r>
    </w:p>
    <w:p w14:paraId="32655B77">
      <w:pPr>
        <w:spacing w:line="360" w:lineRule="auto"/>
        <w:jc w:val="right"/>
        <w:rPr>
          <w:rFonts w:hint="eastAsia" w:ascii="仿宋" w:hAnsi="仿宋" w:eastAsia="仿宋" w:cs="仿宋"/>
          <w:sz w:val="24"/>
          <w:szCs w:val="24"/>
          <w:vertAlign w:val="baseline"/>
        </w:rPr>
      </w:pPr>
    </w:p>
    <w:p w14:paraId="7572BD3F">
      <w:pPr>
        <w:spacing w:line="360" w:lineRule="auto"/>
        <w:jc w:val="center"/>
        <w:rPr>
          <w:rFonts w:hint="eastAsia" w:ascii="仿宋" w:hAnsi="仿宋" w:eastAsia="仿宋" w:cs="仿宋"/>
          <w:sz w:val="24"/>
          <w:szCs w:val="24"/>
          <w:vertAlign w:val="baseline"/>
        </w:rPr>
      </w:pPr>
    </w:p>
    <w:p w14:paraId="4DD302A3">
      <w:pPr>
        <w:spacing w:line="360" w:lineRule="auto"/>
        <w:jc w:val="center"/>
        <w:rPr>
          <w:rFonts w:hint="eastAsia" w:ascii="仿宋" w:hAnsi="仿宋" w:eastAsia="仿宋" w:cs="仿宋"/>
          <w:sz w:val="72"/>
          <w:szCs w:val="72"/>
          <w:vertAlign w:val="baseline"/>
        </w:rPr>
      </w:pPr>
      <w:r>
        <w:rPr>
          <w:rFonts w:hint="eastAsia" w:ascii="微软雅黑" w:hAnsi="微软雅黑" w:eastAsia="微软雅黑" w:cs="微软雅黑"/>
          <w:sz w:val="72"/>
          <w:szCs w:val="72"/>
          <w:vertAlign w:val="baseline"/>
        </w:rPr>
        <w:t>零部件物流服务合同</w:t>
      </w:r>
    </w:p>
    <w:p w14:paraId="3318FEA8">
      <w:pPr>
        <w:spacing w:line="360" w:lineRule="auto"/>
        <w:jc w:val="center"/>
        <w:rPr>
          <w:rFonts w:hint="eastAsia" w:ascii="仿宋" w:hAnsi="仿宋" w:eastAsia="仿宋" w:cs="仿宋"/>
          <w:sz w:val="24"/>
          <w:szCs w:val="24"/>
          <w:vertAlign w:val="baseline"/>
        </w:rPr>
      </w:pPr>
    </w:p>
    <w:p w14:paraId="60EE4BE5">
      <w:pPr>
        <w:spacing w:line="360" w:lineRule="auto"/>
        <w:jc w:val="center"/>
        <w:rPr>
          <w:rFonts w:hint="eastAsia" w:ascii="仿宋" w:hAnsi="仿宋" w:eastAsia="仿宋" w:cs="仿宋"/>
          <w:sz w:val="24"/>
          <w:szCs w:val="24"/>
          <w:vertAlign w:val="baseline"/>
        </w:rPr>
      </w:pPr>
    </w:p>
    <w:p w14:paraId="30E27A5E">
      <w:pPr>
        <w:spacing w:line="360" w:lineRule="auto"/>
        <w:jc w:val="center"/>
        <w:rPr>
          <w:rFonts w:hint="eastAsia" w:ascii="仿宋" w:hAnsi="仿宋" w:eastAsia="仿宋" w:cs="仿宋"/>
          <w:sz w:val="24"/>
          <w:szCs w:val="24"/>
          <w:vertAlign w:val="baseline"/>
        </w:rPr>
      </w:pPr>
    </w:p>
    <w:p w14:paraId="7B7D2A62">
      <w:pPr>
        <w:spacing w:line="360" w:lineRule="auto"/>
        <w:jc w:val="center"/>
        <w:rPr>
          <w:rFonts w:hint="eastAsia" w:ascii="仿宋" w:hAnsi="仿宋" w:eastAsia="仿宋" w:cs="仿宋"/>
          <w:sz w:val="24"/>
          <w:szCs w:val="24"/>
          <w:vertAlign w:val="baseline"/>
        </w:rPr>
      </w:pPr>
    </w:p>
    <w:p w14:paraId="0BCFE153">
      <w:pPr>
        <w:spacing w:line="360" w:lineRule="auto"/>
        <w:jc w:val="center"/>
        <w:rPr>
          <w:rFonts w:hint="eastAsia" w:ascii="仿宋" w:hAnsi="仿宋" w:eastAsia="仿宋" w:cs="仿宋"/>
          <w:sz w:val="24"/>
          <w:szCs w:val="24"/>
          <w:vertAlign w:val="baseline"/>
        </w:rPr>
      </w:pPr>
    </w:p>
    <w:p w14:paraId="4103DA09">
      <w:pPr>
        <w:spacing w:line="360" w:lineRule="auto"/>
        <w:jc w:val="center"/>
        <w:rPr>
          <w:rFonts w:hint="eastAsia" w:ascii="仿宋" w:hAnsi="仿宋" w:eastAsia="仿宋" w:cs="仿宋"/>
          <w:sz w:val="24"/>
          <w:szCs w:val="24"/>
          <w:vertAlign w:val="baseline"/>
        </w:rPr>
      </w:pPr>
    </w:p>
    <w:p w14:paraId="4BD05D8A">
      <w:pPr>
        <w:spacing w:line="360" w:lineRule="auto"/>
        <w:jc w:val="center"/>
        <w:rPr>
          <w:rFonts w:hint="eastAsia" w:ascii="仿宋" w:hAnsi="仿宋" w:eastAsia="仿宋" w:cs="仿宋"/>
          <w:sz w:val="24"/>
          <w:szCs w:val="24"/>
          <w:vertAlign w:val="baseline"/>
        </w:rPr>
      </w:pPr>
    </w:p>
    <w:p w14:paraId="13A161E9">
      <w:pPr>
        <w:spacing w:line="360" w:lineRule="auto"/>
        <w:jc w:val="center"/>
        <w:rPr>
          <w:rFonts w:hint="eastAsia" w:ascii="仿宋" w:hAnsi="仿宋" w:eastAsia="仿宋" w:cs="仿宋"/>
          <w:sz w:val="24"/>
          <w:szCs w:val="24"/>
          <w:vertAlign w:val="baseline"/>
        </w:rPr>
      </w:pPr>
    </w:p>
    <w:p w14:paraId="3135D4E7">
      <w:pPr>
        <w:spacing w:line="360" w:lineRule="auto"/>
        <w:jc w:val="center"/>
        <w:rPr>
          <w:rFonts w:hint="eastAsia" w:ascii="仿宋" w:hAnsi="仿宋" w:eastAsia="仿宋" w:cs="仿宋"/>
          <w:sz w:val="24"/>
          <w:szCs w:val="24"/>
          <w:vertAlign w:val="baseline"/>
        </w:rPr>
      </w:pPr>
    </w:p>
    <w:p w14:paraId="793570AA">
      <w:pPr>
        <w:spacing w:line="360" w:lineRule="auto"/>
        <w:jc w:val="center"/>
        <w:rPr>
          <w:rFonts w:hint="eastAsia" w:ascii="仿宋" w:hAnsi="仿宋" w:eastAsia="仿宋" w:cs="仿宋"/>
          <w:sz w:val="24"/>
          <w:szCs w:val="24"/>
          <w:vertAlign w:val="baseline"/>
        </w:rPr>
      </w:pPr>
    </w:p>
    <w:p w14:paraId="1230264B">
      <w:pPr>
        <w:spacing w:line="360" w:lineRule="auto"/>
        <w:jc w:val="center"/>
        <w:rPr>
          <w:rFonts w:hint="eastAsia" w:ascii="仿宋" w:hAnsi="仿宋" w:eastAsia="仿宋" w:cs="仿宋"/>
          <w:sz w:val="24"/>
          <w:szCs w:val="24"/>
          <w:vertAlign w:val="baseline"/>
        </w:rPr>
      </w:pPr>
    </w:p>
    <w:p w14:paraId="5C39BA86">
      <w:pPr>
        <w:spacing w:line="360" w:lineRule="auto"/>
        <w:jc w:val="center"/>
        <w:rPr>
          <w:rFonts w:hint="eastAsia" w:ascii="仿宋" w:hAnsi="仿宋" w:eastAsia="仿宋" w:cs="仿宋"/>
          <w:sz w:val="24"/>
          <w:szCs w:val="24"/>
          <w:vertAlign w:val="baseline"/>
        </w:rPr>
      </w:pPr>
    </w:p>
    <w:p w14:paraId="2DB5981F">
      <w:pPr>
        <w:spacing w:line="360" w:lineRule="auto"/>
        <w:jc w:val="center"/>
        <w:rPr>
          <w:rFonts w:hint="eastAsia" w:ascii="仿宋" w:hAnsi="仿宋" w:eastAsia="仿宋" w:cs="仿宋"/>
          <w:sz w:val="24"/>
          <w:szCs w:val="24"/>
          <w:vertAlign w:val="baseline"/>
        </w:rPr>
      </w:pPr>
    </w:p>
    <w:p w14:paraId="2A99B741">
      <w:pPr>
        <w:spacing w:line="360" w:lineRule="auto"/>
        <w:jc w:val="center"/>
        <w:rPr>
          <w:rFonts w:hint="eastAsia" w:ascii="仿宋" w:hAnsi="仿宋" w:eastAsia="仿宋" w:cs="仿宋"/>
          <w:sz w:val="24"/>
          <w:szCs w:val="24"/>
          <w:vertAlign w:val="baseline"/>
        </w:rPr>
      </w:pPr>
    </w:p>
    <w:p w14:paraId="6617F1DB">
      <w:pPr>
        <w:spacing w:line="360" w:lineRule="auto"/>
        <w:jc w:val="center"/>
        <w:rPr>
          <w:rFonts w:hint="eastAsia" w:ascii="仿宋" w:hAnsi="仿宋" w:eastAsia="仿宋" w:cs="仿宋"/>
          <w:sz w:val="24"/>
          <w:szCs w:val="24"/>
          <w:vertAlign w:val="baseline"/>
        </w:rPr>
      </w:pPr>
    </w:p>
    <w:p w14:paraId="3FA65612">
      <w:pPr>
        <w:spacing w:line="720" w:lineRule="auto"/>
        <w:ind w:firstLine="360" w:firstLineChars="100"/>
        <w:jc w:val="left"/>
        <w:rPr>
          <w:rFonts w:hint="eastAsia" w:ascii="微软雅黑" w:hAnsi="微软雅黑" w:eastAsia="微软雅黑" w:cs="微软雅黑"/>
          <w:sz w:val="36"/>
          <w:szCs w:val="36"/>
          <w:vertAlign w:val="baseline"/>
        </w:rPr>
      </w:pPr>
      <w:r>
        <w:rPr>
          <w:rFonts w:hint="eastAsia" w:ascii="微软雅黑" w:hAnsi="微软雅黑" w:eastAsia="微软雅黑" w:cs="微软雅黑"/>
          <w:sz w:val="36"/>
          <w:szCs w:val="36"/>
          <w:vertAlign w:val="baseline"/>
        </w:rPr>
        <w:t xml:space="preserve">甲方：河北光华荣昌汽车部件有限公司 </w:t>
      </w:r>
      <w:r>
        <w:rPr>
          <w:rFonts w:ascii="微软雅黑" w:hAnsi="微软雅黑" w:eastAsia="微软雅黑" w:cs="微软雅黑"/>
          <w:sz w:val="36"/>
          <w:szCs w:val="36"/>
          <w:vertAlign w:val="baseline"/>
        </w:rPr>
        <w:t xml:space="preserve"> </w:t>
      </w:r>
    </w:p>
    <w:p w14:paraId="6B40BF83">
      <w:pPr>
        <w:spacing w:line="720" w:lineRule="auto"/>
        <w:ind w:right="630" w:rightChars="300" w:firstLine="360" w:firstLineChars="100"/>
        <w:jc w:val="center"/>
        <w:rPr>
          <w:rFonts w:hint="eastAsia" w:ascii="微软雅黑" w:hAnsi="微软雅黑" w:eastAsia="微软雅黑" w:cs="微软雅黑"/>
          <w:sz w:val="36"/>
          <w:szCs w:val="36"/>
          <w:vertAlign w:val="baseline"/>
        </w:rPr>
      </w:pPr>
      <w:r>
        <w:rPr>
          <w:rFonts w:hint="eastAsia" w:ascii="微软雅黑" w:hAnsi="微软雅黑" w:eastAsia="微软雅黑" w:cs="微软雅黑"/>
          <w:sz w:val="36"/>
          <w:szCs w:val="36"/>
          <w:vertAlign w:val="baseline"/>
        </w:rPr>
        <w:t>乙方：中都数科供应链管理有限公司山东商用车分公司</w:t>
      </w:r>
    </w:p>
    <w:p w14:paraId="0544C56E">
      <w:pPr>
        <w:sectPr>
          <w:pgSz w:w="11906" w:h="16838"/>
          <w:pgMar w:top="1440" w:right="1080" w:bottom="1440" w:left="1080" w:header="851" w:footer="992" w:gutter="0"/>
          <w:cols w:space="425" w:num="1"/>
          <w:docGrid w:type="lines" w:linePitch="312" w:charSpace="0"/>
        </w:sectPr>
      </w:pPr>
    </w:p>
    <w:p w14:paraId="6F3D0682">
      <w:pPr>
        <w:spacing w:line="360" w:lineRule="auto"/>
        <w:jc w:val="center"/>
        <w:rPr>
          <w:rFonts w:hint="eastAsia" w:ascii="仿宋" w:hAnsi="仿宋" w:eastAsia="仿宋" w:cs="仿宋"/>
          <w:bCs/>
          <w:sz w:val="28"/>
          <w:szCs w:val="28"/>
          <w:vertAlign w:val="baseline"/>
        </w:rPr>
      </w:pPr>
      <w:r>
        <w:rPr>
          <w:rFonts w:hint="eastAsia" w:ascii="微软雅黑" w:hAnsi="微软雅黑" w:eastAsia="微软雅黑" w:cs="微软雅黑"/>
          <w:b/>
          <w:sz w:val="32"/>
          <w:szCs w:val="32"/>
          <w:vertAlign w:val="baseline"/>
        </w:rPr>
        <w:t>零部件物流服务合同</w:t>
      </w:r>
    </w:p>
    <w:p w14:paraId="132F908E">
      <w:pPr>
        <w:spacing w:line="360" w:lineRule="auto"/>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bCs/>
          <w:sz w:val="22"/>
          <w:szCs w:val="22"/>
          <w:vertAlign w:val="baseline"/>
        </w:rPr>
        <w:t>委托方：河北光华荣昌汽车部件有限公司（以下简称：甲方）</w:t>
      </w:r>
    </w:p>
    <w:p w14:paraId="22C95DA5">
      <w:pPr>
        <w:spacing w:line="360" w:lineRule="auto"/>
        <w:rPr>
          <w:rFonts w:hint="eastAsia" w:ascii="微软雅黑" w:hAnsi="微软雅黑" w:eastAsia="微软雅黑" w:cs="微软雅黑"/>
          <w:bCs/>
          <w:sz w:val="22"/>
          <w:szCs w:val="22"/>
          <w:vertAlign w:val="baseline"/>
        </w:rPr>
      </w:pPr>
      <w:r>
        <w:rPr>
          <w:rFonts w:hint="eastAsia" w:ascii="微软雅黑" w:hAnsi="微软雅黑" w:eastAsia="微软雅黑" w:cs="微软雅黑"/>
          <w:bCs/>
          <w:sz w:val="22"/>
          <w:szCs w:val="22"/>
          <w:vertAlign w:val="baseline"/>
        </w:rPr>
        <w:t>受托方：中都数科供应链管理有限公司山东商用车分公司   （以下简称：乙方）</w:t>
      </w:r>
    </w:p>
    <w:p w14:paraId="221A566A">
      <w:pPr>
        <w:spacing w:line="360" w:lineRule="auto"/>
        <w:ind w:firstLine="440" w:firstLineChars="20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为保证北汽福田海外出口件的生产和配套需求，甲方将其生产的零部件委托乙方储运。根据《中华人民共和国民法典》的相关规定，甲方和乙方本着合作共赢、诚实守信的原则，经协商一致，签订本合同。</w:t>
      </w:r>
    </w:p>
    <w:p w14:paraId="6771E152">
      <w:p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本合同条款中所涉及的专用名词，以下列解释为准：</w:t>
      </w:r>
    </w:p>
    <w:p w14:paraId="16DDE534">
      <w:pPr>
        <w:spacing w:line="48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b/>
          <w:bCs/>
          <w:sz w:val="22"/>
          <w:szCs w:val="22"/>
          <w:vertAlign w:val="baseline"/>
        </w:rPr>
        <w:t>主机厂：</w:t>
      </w:r>
      <w:r>
        <w:rPr>
          <w:rFonts w:hint="eastAsia" w:ascii="微软雅黑" w:hAnsi="微软雅黑" w:eastAsia="微软雅黑" w:cs="微软雅黑"/>
          <w:sz w:val="22"/>
          <w:szCs w:val="22"/>
          <w:vertAlign w:val="baseline"/>
        </w:rPr>
        <w:t>指甲方委托乙方服务的主体单位北汽福田的简称。</w:t>
      </w:r>
    </w:p>
    <w:p w14:paraId="59AEAA45">
      <w:p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b/>
          <w:bCs/>
          <w:sz w:val="22"/>
          <w:szCs w:val="22"/>
          <w:vertAlign w:val="baseline"/>
        </w:rPr>
        <w:t>生产件：</w:t>
      </w:r>
      <w:r>
        <w:rPr>
          <w:rFonts w:hint="eastAsia" w:ascii="微软雅黑" w:hAnsi="微软雅黑" w:eastAsia="微软雅黑" w:cs="微软雅黑"/>
          <w:sz w:val="22"/>
          <w:szCs w:val="22"/>
          <w:vertAlign w:val="baseline"/>
        </w:rPr>
        <w:t>指直接送到生产线装车的汽车零部件。</w:t>
      </w:r>
    </w:p>
    <w:p w14:paraId="1CC7039E">
      <w:p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b/>
          <w:bCs/>
          <w:sz w:val="22"/>
          <w:szCs w:val="22"/>
          <w:vertAlign w:val="baseline"/>
        </w:rPr>
        <w:t>样件：</w:t>
      </w:r>
      <w:r>
        <w:rPr>
          <w:rFonts w:hint="eastAsia" w:ascii="微软雅黑" w:hAnsi="微软雅黑" w:eastAsia="微软雅黑" w:cs="微软雅黑"/>
          <w:sz w:val="22"/>
          <w:szCs w:val="22"/>
          <w:vertAlign w:val="baseline"/>
        </w:rPr>
        <w:t>指供应商提供给主机厂试装用件。</w:t>
      </w:r>
    </w:p>
    <w:p w14:paraId="19E2831E">
      <w:p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b/>
          <w:bCs/>
          <w:sz w:val="22"/>
          <w:szCs w:val="22"/>
          <w:vertAlign w:val="baseline"/>
        </w:rPr>
        <w:t>不合格件：</w:t>
      </w:r>
      <w:r>
        <w:rPr>
          <w:rFonts w:hint="eastAsia" w:ascii="微软雅黑" w:hAnsi="微软雅黑" w:eastAsia="微软雅黑" w:cs="微软雅黑"/>
          <w:sz w:val="22"/>
          <w:szCs w:val="22"/>
          <w:vertAlign w:val="baseline"/>
        </w:rPr>
        <w:t>指主机厂判定质量不合格的生产件，一般特指还未装车的零部件（包括在分拣过程中发现异常的）。</w:t>
      </w:r>
    </w:p>
    <w:p w14:paraId="21CCCAA6">
      <w:pPr>
        <w:spacing w:line="360" w:lineRule="auto"/>
        <w:ind w:left="1320" w:hanging="1321" w:hangingChars="600"/>
        <w:rPr>
          <w:rFonts w:hint="eastAsia" w:ascii="微软雅黑" w:hAnsi="微软雅黑" w:eastAsia="微软雅黑" w:cs="微软雅黑"/>
          <w:sz w:val="22"/>
          <w:szCs w:val="22"/>
          <w:vertAlign w:val="baseline"/>
        </w:rPr>
      </w:pPr>
      <w:r>
        <w:rPr>
          <w:rFonts w:hint="eastAsia" w:ascii="微软雅黑" w:hAnsi="微软雅黑" w:eastAsia="微软雅黑" w:cs="微软雅黑"/>
          <w:b/>
          <w:bCs/>
          <w:sz w:val="22"/>
          <w:szCs w:val="22"/>
          <w:vertAlign w:val="baseline"/>
        </w:rPr>
        <w:t>CKD件</w:t>
      </w:r>
      <w:r>
        <w:rPr>
          <w:rFonts w:hint="eastAsia" w:ascii="微软雅黑" w:hAnsi="微软雅黑" w:eastAsia="微软雅黑" w:cs="微软雅黑"/>
          <w:sz w:val="22"/>
          <w:szCs w:val="22"/>
          <w:vertAlign w:val="baseline"/>
        </w:rPr>
        <w:t>：指主机厂出口的汽车零部件。</w:t>
      </w:r>
    </w:p>
    <w:p w14:paraId="48871759">
      <w:pPr>
        <w:tabs>
          <w:tab w:val="left" w:pos="1800"/>
        </w:tabs>
        <w:spacing w:line="360" w:lineRule="auto"/>
        <w:ind w:left="1412" w:leftChars="-9" w:hanging="1431" w:hangingChars="650"/>
        <w:rPr>
          <w:rFonts w:hint="eastAsia" w:ascii="微软雅黑" w:hAnsi="微软雅黑" w:eastAsia="微软雅黑" w:cs="微软雅黑"/>
          <w:sz w:val="22"/>
          <w:szCs w:val="22"/>
          <w:vertAlign w:val="baseline"/>
        </w:rPr>
      </w:pPr>
      <w:r>
        <w:rPr>
          <w:rFonts w:hint="eastAsia" w:ascii="微软雅黑" w:hAnsi="微软雅黑" w:eastAsia="微软雅黑" w:cs="微软雅黑"/>
          <w:b/>
          <w:bCs/>
          <w:sz w:val="22"/>
          <w:szCs w:val="22"/>
          <w:vertAlign w:val="baseline"/>
        </w:rPr>
        <w:t>工位器具：</w:t>
      </w:r>
      <w:r>
        <w:rPr>
          <w:rFonts w:hint="eastAsia" w:ascii="微软雅黑" w:hAnsi="微软雅黑" w:eastAsia="微软雅黑" w:cs="微软雅黑"/>
          <w:sz w:val="22"/>
          <w:szCs w:val="22"/>
          <w:vertAlign w:val="baseline"/>
        </w:rPr>
        <w:t>指根据主机厂生产的需要，由供应商提供的周转箱或料架。</w:t>
      </w:r>
    </w:p>
    <w:p w14:paraId="01979165">
      <w:pPr>
        <w:spacing w:line="360" w:lineRule="auto"/>
        <w:rPr>
          <w:rFonts w:hint="eastAsia" w:ascii="微软雅黑" w:hAnsi="微软雅黑" w:eastAsia="微软雅黑" w:cs="微软雅黑"/>
          <w:b/>
          <w:sz w:val="22"/>
          <w:szCs w:val="22"/>
          <w:vertAlign w:val="baseline"/>
        </w:rPr>
      </w:pPr>
      <w:r>
        <w:rPr>
          <w:rFonts w:hint="eastAsia" w:ascii="微软雅黑" w:hAnsi="微软雅黑" w:eastAsia="微软雅黑" w:cs="微软雅黑"/>
          <w:b/>
          <w:sz w:val="22"/>
          <w:szCs w:val="22"/>
          <w:vertAlign w:val="baseline"/>
        </w:rPr>
        <w:t>第一条 零部件基础信息</w:t>
      </w:r>
    </w:p>
    <w:p w14:paraId="2EB17DEC">
      <w:pPr>
        <w:spacing w:line="360" w:lineRule="auto"/>
        <w:rPr>
          <w:rFonts w:hint="eastAsia" w:ascii="微软雅黑" w:hAnsi="微软雅黑" w:eastAsia="微软雅黑" w:cs="微软雅黑"/>
          <w:b/>
          <w:bCs/>
          <w:sz w:val="22"/>
          <w:szCs w:val="22"/>
          <w:vertAlign w:val="baseline"/>
        </w:rPr>
      </w:pPr>
      <w:r>
        <w:rPr>
          <w:rFonts w:hint="eastAsia" w:ascii="微软雅黑" w:hAnsi="微软雅黑" w:eastAsia="微软雅黑" w:cs="微软雅黑"/>
          <w:sz w:val="22"/>
          <w:szCs w:val="22"/>
          <w:vertAlign w:val="baseline"/>
        </w:rPr>
        <w:t>零件编号、零件名称、规格、数量、价格等信息：详见附件一《零部件清单》。</w:t>
      </w:r>
    </w:p>
    <w:p w14:paraId="6A38A358">
      <w:pPr>
        <w:spacing w:line="360" w:lineRule="auto"/>
        <w:rPr>
          <w:rFonts w:hint="eastAsia" w:ascii="微软雅黑" w:hAnsi="微软雅黑" w:eastAsia="微软雅黑" w:cs="微软雅黑"/>
          <w:b/>
          <w:sz w:val="22"/>
          <w:szCs w:val="22"/>
          <w:vertAlign w:val="baseline"/>
        </w:rPr>
      </w:pPr>
      <w:r>
        <w:rPr>
          <w:rFonts w:hint="eastAsia" w:ascii="微软雅黑" w:hAnsi="微软雅黑" w:eastAsia="微软雅黑" w:cs="微软雅黑"/>
          <w:b/>
          <w:sz w:val="22"/>
          <w:szCs w:val="22"/>
          <w:vertAlign w:val="baseline"/>
        </w:rPr>
        <w:t>第二条 服务范围界定：</w:t>
      </w:r>
    </w:p>
    <w:p w14:paraId="19DF5FCB">
      <w:pPr>
        <w:numPr>
          <w:ilvl w:val="0"/>
          <w:numId w:val="1"/>
        </w:num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服务内容：</w:t>
      </w:r>
    </w:p>
    <w:p w14:paraId="296AB16F">
      <w:p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 xml:space="preserve"> ❏</w:t>
      </w:r>
      <w:r>
        <w:rPr>
          <w:rFonts w:hint="eastAsia" w:ascii="微软雅黑" w:hAnsi="微软雅黑" w:eastAsia="微软雅黑" w:cs="微软雅黑"/>
          <w:b/>
          <w:bCs/>
          <w:sz w:val="22"/>
          <w:szCs w:val="22"/>
          <w:vertAlign w:val="baseline"/>
        </w:rPr>
        <w:t xml:space="preserve"> 收货：</w:t>
      </w:r>
      <w:r>
        <w:rPr>
          <w:rFonts w:hint="eastAsia" w:ascii="微软雅黑" w:hAnsi="微软雅黑" w:eastAsia="微软雅黑" w:cs="微软雅黑"/>
          <w:bCs/>
          <w:sz w:val="22"/>
          <w:szCs w:val="22"/>
          <w:vertAlign w:val="baseline"/>
        </w:rPr>
        <w:t>甲方送货车辆到达乙方仓库后，满足乙方叉车作业条件（自带标准托盘1200mm*1000mm，高度不超过1400mm），由乙方提供叉车卸货，如来料不能满足乙方叉车作业条件的，由甲方安排人员将物料放置于标准托盘之上后，由乙方安排叉车进行作业。</w:t>
      </w:r>
    </w:p>
    <w:p w14:paraId="049FB51A">
      <w:pP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 xml:space="preserve">❏ </w:t>
      </w:r>
      <w:r>
        <w:rPr>
          <w:rFonts w:hint="eastAsia" w:ascii="微软雅黑" w:hAnsi="微软雅黑" w:eastAsia="微软雅黑" w:cs="微软雅黑"/>
          <w:b/>
          <w:bCs/>
          <w:sz w:val="22"/>
          <w:szCs w:val="22"/>
          <w:vertAlign w:val="baseline"/>
        </w:rPr>
        <w:t>仓储：</w:t>
      </w:r>
      <w:r>
        <w:rPr>
          <w:rFonts w:hint="eastAsia" w:ascii="微软雅黑" w:hAnsi="微软雅黑" w:eastAsia="微软雅黑" w:cs="微软雅黑"/>
          <w:sz w:val="22"/>
          <w:szCs w:val="22"/>
          <w:vertAlign w:val="baseline"/>
        </w:rPr>
        <w:t>乙方负责甲方货品的库存管理等服务。</w:t>
      </w:r>
    </w:p>
    <w:p w14:paraId="3BD51F8C">
      <w:p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 xml:space="preserve">❏ </w:t>
      </w:r>
      <w:r>
        <w:rPr>
          <w:rFonts w:hint="eastAsia" w:ascii="微软雅黑" w:hAnsi="微软雅黑" w:eastAsia="微软雅黑" w:cs="微软雅黑"/>
          <w:b/>
          <w:bCs/>
          <w:sz w:val="22"/>
          <w:szCs w:val="22"/>
          <w:vertAlign w:val="baseline"/>
        </w:rPr>
        <w:t>换装：</w:t>
      </w:r>
      <w:r>
        <w:rPr>
          <w:rFonts w:hint="eastAsia" w:ascii="微软雅黑" w:hAnsi="微软雅黑" w:eastAsia="微软雅黑" w:cs="微软雅黑"/>
          <w:sz w:val="22"/>
          <w:szCs w:val="22"/>
          <w:vertAlign w:val="baseline"/>
        </w:rPr>
        <w:t>对来料不符合主机厂包装标准的物料进行更换包装物、粘贴包装标签等服务。</w:t>
      </w:r>
    </w:p>
    <w:p w14:paraId="7A281320">
      <w:p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 xml:space="preserve">❏ </w:t>
      </w:r>
      <w:r>
        <w:rPr>
          <w:rFonts w:hint="eastAsia" w:ascii="微软雅黑" w:hAnsi="微软雅黑" w:eastAsia="微软雅黑" w:cs="微软雅黑"/>
          <w:b/>
          <w:bCs/>
          <w:sz w:val="22"/>
          <w:szCs w:val="22"/>
          <w:vertAlign w:val="baseline"/>
        </w:rPr>
        <w:t>物料配送：</w:t>
      </w:r>
      <w:r>
        <w:rPr>
          <w:rFonts w:hint="eastAsia" w:ascii="微软雅黑" w:hAnsi="微软雅黑" w:eastAsia="微软雅黑" w:cs="微软雅黑"/>
          <w:sz w:val="22"/>
          <w:szCs w:val="22"/>
          <w:vertAlign w:val="baseline"/>
        </w:rPr>
        <w:t>配送到主机厂指定地点，即乙方按主机厂的需求指令，将货物送达主机厂，并以主机厂签收确认的收货单据作为凭证。</w:t>
      </w:r>
    </w:p>
    <w:p w14:paraId="6E72A796">
      <w:pPr>
        <w:numPr>
          <w:ilvl w:val="255"/>
          <w:numId w:val="0"/>
        </w:num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 xml:space="preserve">❏ </w:t>
      </w:r>
      <w:r>
        <w:rPr>
          <w:rFonts w:hint="eastAsia" w:ascii="微软雅黑" w:hAnsi="微软雅黑" w:eastAsia="微软雅黑" w:cs="微软雅黑"/>
          <w:b/>
          <w:bCs/>
          <w:sz w:val="22"/>
          <w:szCs w:val="22"/>
          <w:vertAlign w:val="baseline"/>
        </w:rPr>
        <w:t>包装物管理：</w:t>
      </w:r>
      <w:r>
        <w:rPr>
          <w:rFonts w:hint="eastAsia" w:ascii="微软雅黑" w:hAnsi="微软雅黑" w:eastAsia="微软雅黑" w:cs="微软雅黑"/>
          <w:sz w:val="22"/>
          <w:szCs w:val="22"/>
          <w:vertAlign w:val="baseline"/>
        </w:rPr>
        <w:t>乙方按照甲方的要求定期对包装物进行收集、返空、整理，正常情况下乙方仅对甲方的包装物进行回收与归类整理，如有特殊要求，需明确说明、费用另算，比如说包装物折叠、定期清洗服务等。甲方负责提供运作条件及支持配合，定期组织包装物返回；对于来料到货包装交接时，发现已经损坏但不影响物料存储质量安全的包装，乙方可以要求甲方送货司机当面验证并签订货物和包装物确认单。同时，甲方应免除乙方该包装物和物料赔偿责任的义务。如果甲方司机拒绝签字，乙方有权拒绝此批货物包装签收。若包装物损坏情况影响到物料质量和存储安全，乙方有义务反馈现场情况给到甲方，并有权拒收该包装物及物料；乙方有权与甲方就仓储检查、盘存等工作协商达成相关约定，以便协调处理可能出现的盘存差异、包装流转异常等问题。</w:t>
      </w:r>
    </w:p>
    <w:p w14:paraId="3F941429">
      <w:pPr>
        <w:numPr>
          <w:ilvl w:val="0"/>
          <w:numId w:val="1"/>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收发存报表，乙方正常工作日发给甲方，并做好保存，方便甲方核对，保存期不超过合同有效期且自报表制作之日起最长不超过一年；</w:t>
      </w:r>
    </w:p>
    <w:p w14:paraId="2ED64DAD">
      <w:pPr>
        <w:numPr>
          <w:ilvl w:val="0"/>
          <w:numId w:val="1"/>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账务：每月</w:t>
      </w:r>
      <w:r>
        <w:rPr>
          <w:rFonts w:hint="eastAsia" w:ascii="微软雅黑" w:hAnsi="微软雅黑" w:eastAsia="微软雅黑" w:cs="微软雅黑"/>
          <w:sz w:val="22"/>
          <w:szCs w:val="22"/>
          <w:highlight w:val="yellow"/>
          <w:vertAlign w:val="baseline"/>
        </w:rPr>
        <w:t>10号</w:t>
      </w:r>
      <w:r>
        <w:rPr>
          <w:rFonts w:hint="eastAsia" w:ascii="微软雅黑" w:hAnsi="微软雅黑" w:eastAsia="微软雅黑" w:cs="微软雅黑"/>
          <w:sz w:val="22"/>
          <w:szCs w:val="22"/>
          <w:vertAlign w:val="baseline"/>
        </w:rPr>
        <w:t>之前，乙方通过指定电子邮箱向甲方提供上月与主机厂核对正确的收、发、存报表，由甲方核对确认；并每日以邮件形式及时发送库存情况，甲方指定的对账电子邮箱为</w:t>
      </w:r>
      <w:r>
        <w:rPr>
          <w:rFonts w:hint="eastAsia" w:ascii="微软雅黑" w:hAnsi="微软雅黑" w:eastAsia="微软雅黑" w:cs="微软雅黑"/>
          <w:sz w:val="22"/>
          <w:szCs w:val="22"/>
          <w:u w:val="single"/>
          <w:vertAlign w:val="baseline"/>
        </w:rPr>
        <w:t xml:space="preserve">                 </w:t>
      </w:r>
      <w:r>
        <w:rPr>
          <w:rFonts w:hint="eastAsia" w:ascii="仿宋" w:hAnsi="仿宋" w:eastAsia="仿宋" w:cs="仿宋"/>
          <w:sz w:val="24"/>
          <w:szCs w:val="24"/>
          <w:vertAlign w:val="baseline"/>
        </w:rPr>
        <w:t>【</w:t>
      </w:r>
      <w:r>
        <w:rPr>
          <w:rFonts w:hint="eastAsia" w:ascii="仿宋" w:hAnsi="仿宋" w:eastAsia="仿宋" w:cs="仿宋"/>
          <w:sz w:val="24"/>
          <w:szCs w:val="24"/>
          <w:u w:val="single"/>
          <w:vertAlign w:val="baseline"/>
        </w:rPr>
        <w:t xml:space="preserve">      </w:t>
      </w:r>
      <w:r>
        <w:rPr>
          <w:rFonts w:hint="eastAsia" w:ascii="微软雅黑" w:hAnsi="微软雅黑" w:eastAsia="微软雅黑" w:cs="微软雅黑"/>
          <w:sz w:val="22"/>
          <w:szCs w:val="22"/>
          <w:u w:val="single"/>
          <w:vertAlign w:val="baseline"/>
        </w:rPr>
        <w:t xml:space="preserve"> </w:t>
      </w:r>
      <w:r>
        <w:rPr>
          <w:rFonts w:hint="eastAsia" w:ascii="仿宋" w:hAnsi="仿宋" w:eastAsia="仿宋" w:cs="仿宋"/>
          <w:sz w:val="24"/>
          <w:szCs w:val="24"/>
          <w:u w:val="single"/>
          <w:vertAlign w:val="baseline"/>
        </w:rPr>
        <w:t xml:space="preserve">      </w:t>
      </w:r>
      <w:r>
        <w:rPr>
          <w:rFonts w:hint="eastAsia" w:ascii="仿宋" w:hAnsi="仿宋" w:eastAsia="仿宋" w:cs="仿宋"/>
          <w:sz w:val="24"/>
          <w:szCs w:val="24"/>
          <w:vertAlign w:val="baseline"/>
        </w:rPr>
        <w:t>】</w:t>
      </w:r>
      <w:r>
        <w:rPr>
          <w:rFonts w:hint="eastAsia" w:ascii="微软雅黑" w:hAnsi="微软雅黑" w:eastAsia="微软雅黑" w:cs="微软雅黑"/>
          <w:sz w:val="22"/>
          <w:szCs w:val="22"/>
          <w:vertAlign w:val="baseline"/>
        </w:rPr>
        <w:t>；乙方指定对账电子邮箱为</w:t>
      </w:r>
      <w:r>
        <w:rPr>
          <w:rFonts w:hint="eastAsia" w:ascii="仿宋" w:hAnsi="仿宋" w:eastAsia="仿宋" w:cs="仿宋"/>
          <w:sz w:val="24"/>
          <w:szCs w:val="24"/>
          <w:vertAlign w:val="baseline"/>
        </w:rPr>
        <w:t>【</w:t>
      </w:r>
      <w:r>
        <w:rPr>
          <w:rFonts w:hint="eastAsia" w:ascii="仿宋" w:hAnsi="仿宋" w:eastAsia="仿宋" w:cs="仿宋"/>
          <w:sz w:val="24"/>
          <w:szCs w:val="24"/>
          <w:u w:val="single"/>
          <w:vertAlign w:val="baseline"/>
        </w:rPr>
        <w:t xml:space="preserve">                 </w:t>
      </w:r>
      <w:r>
        <w:rPr>
          <w:rFonts w:hint="eastAsia" w:ascii="仿宋" w:hAnsi="仿宋" w:eastAsia="仿宋" w:cs="仿宋"/>
          <w:sz w:val="24"/>
          <w:szCs w:val="24"/>
          <w:vertAlign w:val="baseline"/>
        </w:rPr>
        <w:t>】</w:t>
      </w:r>
      <w:r>
        <w:rPr>
          <w:rFonts w:hint="eastAsia" w:ascii="微软雅黑" w:hAnsi="微软雅黑" w:eastAsia="微软雅黑" w:cs="微软雅黑"/>
          <w:sz w:val="22"/>
          <w:szCs w:val="22"/>
          <w:u w:val="single"/>
          <w:vertAlign w:val="baseline"/>
        </w:rPr>
        <w:t>；</w:t>
      </w:r>
    </w:p>
    <w:p w14:paraId="6E6EA516">
      <w:pPr>
        <w:numPr>
          <w:ilvl w:val="0"/>
          <w:numId w:val="1"/>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保管：货物仓储期间的毁损和灭失由乙方负责，因自然损耗和货物本身属性导致的问题除外。</w:t>
      </w:r>
    </w:p>
    <w:p w14:paraId="25C02286">
      <w:pPr>
        <w:numPr>
          <w:ilvl w:val="0"/>
          <w:numId w:val="1"/>
        </w:num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双方联系方式：</w:t>
      </w:r>
    </w:p>
    <w:p w14:paraId="56F926F3">
      <w:p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b/>
          <w:bCs/>
          <w:sz w:val="22"/>
          <w:szCs w:val="22"/>
          <w:vertAlign w:val="baseline"/>
        </w:rPr>
        <w:t>甲方</w:t>
      </w:r>
      <w:r>
        <w:rPr>
          <w:rFonts w:hint="eastAsia" w:ascii="微软雅黑" w:hAnsi="微软雅黑" w:eastAsia="微软雅黑" w:cs="微软雅黑"/>
          <w:sz w:val="22"/>
          <w:szCs w:val="22"/>
          <w:vertAlign w:val="baseline"/>
        </w:rPr>
        <w:t>相关工作人员联系方式：</w:t>
      </w:r>
    </w:p>
    <w:tbl>
      <w:tblPr>
        <w:tblStyle w:val="1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86"/>
        <w:gridCol w:w="2835"/>
        <w:gridCol w:w="1560"/>
        <w:gridCol w:w="1842"/>
      </w:tblGrid>
      <w:tr w14:paraId="79DFE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center"/>
          </w:tcPr>
          <w:p w14:paraId="2F5821ED">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姓名</w:t>
            </w:r>
          </w:p>
        </w:tc>
        <w:tc>
          <w:tcPr>
            <w:tcW w:w="1886" w:type="dxa"/>
            <w:vAlign w:val="center"/>
          </w:tcPr>
          <w:p w14:paraId="631A5F48">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电话</w:t>
            </w:r>
          </w:p>
        </w:tc>
        <w:tc>
          <w:tcPr>
            <w:tcW w:w="2835" w:type="dxa"/>
            <w:vAlign w:val="center"/>
          </w:tcPr>
          <w:p w14:paraId="05C6335D">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邮箱</w:t>
            </w:r>
          </w:p>
        </w:tc>
        <w:tc>
          <w:tcPr>
            <w:tcW w:w="1560" w:type="dxa"/>
            <w:vAlign w:val="center"/>
          </w:tcPr>
          <w:p w14:paraId="1FAD20F9">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职位</w:t>
            </w:r>
          </w:p>
        </w:tc>
        <w:tc>
          <w:tcPr>
            <w:tcW w:w="1842" w:type="dxa"/>
            <w:vAlign w:val="center"/>
          </w:tcPr>
          <w:p w14:paraId="4FD6AE0C">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主要负责业务</w:t>
            </w:r>
          </w:p>
        </w:tc>
      </w:tr>
      <w:tr w14:paraId="76E69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center"/>
          </w:tcPr>
          <w:p w14:paraId="1DD58DC5">
            <w:p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 xml:space="preserve"> </w:t>
            </w:r>
          </w:p>
        </w:tc>
        <w:tc>
          <w:tcPr>
            <w:tcW w:w="1886" w:type="dxa"/>
            <w:vAlign w:val="center"/>
          </w:tcPr>
          <w:p w14:paraId="24AC72A5">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 xml:space="preserve"> </w:t>
            </w:r>
          </w:p>
        </w:tc>
        <w:tc>
          <w:tcPr>
            <w:tcW w:w="2835" w:type="dxa"/>
            <w:vAlign w:val="center"/>
          </w:tcPr>
          <w:p w14:paraId="06B6E0A3">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 xml:space="preserve"> </w:t>
            </w:r>
          </w:p>
        </w:tc>
        <w:tc>
          <w:tcPr>
            <w:tcW w:w="1560" w:type="dxa"/>
            <w:vAlign w:val="center"/>
          </w:tcPr>
          <w:p w14:paraId="30D485A3">
            <w:pPr>
              <w:spacing w:line="360" w:lineRule="auto"/>
              <w:jc w:val="center"/>
              <w:rPr>
                <w:rFonts w:hint="eastAsia" w:ascii="微软雅黑" w:hAnsi="微软雅黑" w:eastAsia="微软雅黑" w:cs="微软雅黑"/>
                <w:sz w:val="22"/>
                <w:szCs w:val="22"/>
                <w:vertAlign w:val="baseline"/>
              </w:rPr>
            </w:pPr>
          </w:p>
        </w:tc>
        <w:tc>
          <w:tcPr>
            <w:tcW w:w="1842" w:type="dxa"/>
            <w:vAlign w:val="center"/>
          </w:tcPr>
          <w:p w14:paraId="64178F6F">
            <w:pPr>
              <w:spacing w:line="360" w:lineRule="auto"/>
              <w:jc w:val="center"/>
              <w:rPr>
                <w:rFonts w:hint="eastAsia" w:ascii="微软雅黑" w:hAnsi="微软雅黑" w:eastAsia="微软雅黑" w:cs="微软雅黑"/>
                <w:sz w:val="22"/>
                <w:szCs w:val="22"/>
                <w:vertAlign w:val="baseline"/>
              </w:rPr>
            </w:pPr>
          </w:p>
        </w:tc>
      </w:tr>
      <w:tr w14:paraId="7202F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center"/>
          </w:tcPr>
          <w:p w14:paraId="066DB472">
            <w:pPr>
              <w:spacing w:line="360" w:lineRule="auto"/>
              <w:jc w:val="center"/>
              <w:rPr>
                <w:rFonts w:hint="eastAsia" w:ascii="微软雅黑" w:hAnsi="微软雅黑" w:eastAsia="微软雅黑" w:cs="微软雅黑"/>
                <w:sz w:val="22"/>
                <w:szCs w:val="22"/>
                <w:vertAlign w:val="baseline"/>
              </w:rPr>
            </w:pPr>
          </w:p>
        </w:tc>
        <w:tc>
          <w:tcPr>
            <w:tcW w:w="1886" w:type="dxa"/>
            <w:vAlign w:val="center"/>
          </w:tcPr>
          <w:p w14:paraId="39B01CB5">
            <w:pPr>
              <w:spacing w:line="360" w:lineRule="auto"/>
              <w:jc w:val="center"/>
              <w:rPr>
                <w:rFonts w:hint="eastAsia" w:ascii="微软雅黑" w:hAnsi="微软雅黑" w:eastAsia="微软雅黑" w:cs="微软雅黑"/>
                <w:sz w:val="22"/>
                <w:szCs w:val="22"/>
                <w:vertAlign w:val="baseline"/>
              </w:rPr>
            </w:pPr>
          </w:p>
        </w:tc>
        <w:tc>
          <w:tcPr>
            <w:tcW w:w="2835" w:type="dxa"/>
            <w:vAlign w:val="center"/>
          </w:tcPr>
          <w:p w14:paraId="344A146F">
            <w:pPr>
              <w:spacing w:line="360" w:lineRule="auto"/>
              <w:jc w:val="center"/>
              <w:rPr>
                <w:rFonts w:hint="eastAsia" w:ascii="微软雅黑" w:hAnsi="微软雅黑" w:eastAsia="微软雅黑" w:cs="微软雅黑"/>
                <w:sz w:val="22"/>
                <w:szCs w:val="22"/>
                <w:vertAlign w:val="baseline"/>
              </w:rPr>
            </w:pPr>
          </w:p>
        </w:tc>
        <w:tc>
          <w:tcPr>
            <w:tcW w:w="1560" w:type="dxa"/>
            <w:vAlign w:val="center"/>
          </w:tcPr>
          <w:p w14:paraId="18FEC782">
            <w:pPr>
              <w:spacing w:line="360" w:lineRule="auto"/>
              <w:jc w:val="center"/>
              <w:rPr>
                <w:rFonts w:hint="eastAsia" w:ascii="微软雅黑" w:hAnsi="微软雅黑" w:eastAsia="微软雅黑" w:cs="微软雅黑"/>
                <w:sz w:val="22"/>
                <w:szCs w:val="22"/>
                <w:vertAlign w:val="baseline"/>
              </w:rPr>
            </w:pPr>
          </w:p>
        </w:tc>
        <w:tc>
          <w:tcPr>
            <w:tcW w:w="1842" w:type="dxa"/>
            <w:vAlign w:val="center"/>
          </w:tcPr>
          <w:p w14:paraId="01389043">
            <w:pPr>
              <w:spacing w:line="360" w:lineRule="auto"/>
              <w:jc w:val="center"/>
              <w:rPr>
                <w:rFonts w:hint="eastAsia" w:ascii="微软雅黑" w:hAnsi="微软雅黑" w:eastAsia="微软雅黑" w:cs="微软雅黑"/>
                <w:sz w:val="22"/>
                <w:szCs w:val="22"/>
                <w:vertAlign w:val="baseline"/>
              </w:rPr>
            </w:pPr>
          </w:p>
        </w:tc>
      </w:tr>
      <w:tr w14:paraId="5728B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center"/>
          </w:tcPr>
          <w:p w14:paraId="5F351F49">
            <w:pPr>
              <w:spacing w:line="360" w:lineRule="auto"/>
              <w:jc w:val="center"/>
              <w:rPr>
                <w:rFonts w:hint="eastAsia" w:ascii="微软雅黑" w:hAnsi="微软雅黑" w:eastAsia="微软雅黑" w:cs="微软雅黑"/>
                <w:sz w:val="22"/>
                <w:szCs w:val="22"/>
                <w:vertAlign w:val="baseline"/>
              </w:rPr>
            </w:pPr>
          </w:p>
        </w:tc>
        <w:tc>
          <w:tcPr>
            <w:tcW w:w="1886" w:type="dxa"/>
            <w:vAlign w:val="center"/>
          </w:tcPr>
          <w:p w14:paraId="13FE2AE2">
            <w:pPr>
              <w:spacing w:line="360" w:lineRule="auto"/>
              <w:jc w:val="center"/>
              <w:rPr>
                <w:rFonts w:hint="eastAsia" w:ascii="微软雅黑" w:hAnsi="微软雅黑" w:eastAsia="微软雅黑" w:cs="微软雅黑"/>
                <w:sz w:val="22"/>
                <w:szCs w:val="22"/>
                <w:vertAlign w:val="baseline"/>
              </w:rPr>
            </w:pPr>
          </w:p>
        </w:tc>
        <w:tc>
          <w:tcPr>
            <w:tcW w:w="2835" w:type="dxa"/>
            <w:vAlign w:val="center"/>
          </w:tcPr>
          <w:p w14:paraId="18BFE124">
            <w:pPr>
              <w:spacing w:line="360" w:lineRule="auto"/>
              <w:jc w:val="center"/>
              <w:rPr>
                <w:rFonts w:hint="eastAsia" w:ascii="微软雅黑" w:hAnsi="微软雅黑" w:eastAsia="微软雅黑" w:cs="微软雅黑"/>
                <w:sz w:val="22"/>
                <w:szCs w:val="22"/>
                <w:vertAlign w:val="baseline"/>
              </w:rPr>
            </w:pPr>
          </w:p>
        </w:tc>
        <w:tc>
          <w:tcPr>
            <w:tcW w:w="1560" w:type="dxa"/>
            <w:vAlign w:val="center"/>
          </w:tcPr>
          <w:p w14:paraId="142CEF08">
            <w:pPr>
              <w:spacing w:line="360" w:lineRule="auto"/>
              <w:jc w:val="center"/>
              <w:rPr>
                <w:rFonts w:hint="eastAsia" w:ascii="微软雅黑" w:hAnsi="微软雅黑" w:eastAsia="微软雅黑" w:cs="微软雅黑"/>
                <w:sz w:val="22"/>
                <w:szCs w:val="22"/>
                <w:vertAlign w:val="baseline"/>
              </w:rPr>
            </w:pPr>
          </w:p>
        </w:tc>
        <w:tc>
          <w:tcPr>
            <w:tcW w:w="1842" w:type="dxa"/>
            <w:vAlign w:val="center"/>
          </w:tcPr>
          <w:p w14:paraId="1ADACE4A">
            <w:pPr>
              <w:spacing w:line="360" w:lineRule="auto"/>
              <w:jc w:val="center"/>
              <w:rPr>
                <w:rFonts w:hint="eastAsia" w:ascii="微软雅黑" w:hAnsi="微软雅黑" w:eastAsia="微软雅黑" w:cs="微软雅黑"/>
                <w:sz w:val="22"/>
                <w:szCs w:val="22"/>
                <w:vertAlign w:val="baseline"/>
              </w:rPr>
            </w:pPr>
          </w:p>
        </w:tc>
      </w:tr>
    </w:tbl>
    <w:p w14:paraId="4F48DC50">
      <w:p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b/>
          <w:bCs/>
          <w:sz w:val="22"/>
          <w:szCs w:val="22"/>
          <w:vertAlign w:val="baseline"/>
        </w:rPr>
        <w:t>乙方</w:t>
      </w:r>
      <w:r>
        <w:rPr>
          <w:rFonts w:hint="eastAsia" w:ascii="微软雅黑" w:hAnsi="微软雅黑" w:eastAsia="微软雅黑" w:cs="微软雅黑"/>
          <w:sz w:val="22"/>
          <w:szCs w:val="22"/>
          <w:vertAlign w:val="baseline"/>
        </w:rPr>
        <w:t>相关工作人员联系方式：</w:t>
      </w:r>
    </w:p>
    <w:tbl>
      <w:tblPr>
        <w:tblStyle w:val="18"/>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857"/>
        <w:gridCol w:w="2808"/>
        <w:gridCol w:w="1761"/>
        <w:gridCol w:w="2078"/>
      </w:tblGrid>
      <w:tr w14:paraId="3C54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3938D316">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姓名</w:t>
            </w:r>
          </w:p>
        </w:tc>
        <w:tc>
          <w:tcPr>
            <w:tcW w:w="1857" w:type="dxa"/>
            <w:vAlign w:val="center"/>
          </w:tcPr>
          <w:p w14:paraId="5406CDA8">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电话</w:t>
            </w:r>
          </w:p>
        </w:tc>
        <w:tc>
          <w:tcPr>
            <w:tcW w:w="2808" w:type="dxa"/>
            <w:vAlign w:val="center"/>
          </w:tcPr>
          <w:p w14:paraId="240C77A1">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邮箱</w:t>
            </w:r>
          </w:p>
        </w:tc>
        <w:tc>
          <w:tcPr>
            <w:tcW w:w="1761" w:type="dxa"/>
            <w:vAlign w:val="center"/>
          </w:tcPr>
          <w:p w14:paraId="0D562DEA">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职位</w:t>
            </w:r>
          </w:p>
        </w:tc>
        <w:tc>
          <w:tcPr>
            <w:tcW w:w="2078" w:type="dxa"/>
            <w:vAlign w:val="center"/>
          </w:tcPr>
          <w:p w14:paraId="3E2C15FE">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主要负责业务</w:t>
            </w:r>
          </w:p>
        </w:tc>
      </w:tr>
      <w:tr w14:paraId="5888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103EE22C">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张洁</w:t>
            </w:r>
          </w:p>
        </w:tc>
        <w:tc>
          <w:tcPr>
            <w:tcW w:w="1857" w:type="dxa"/>
            <w:vAlign w:val="center"/>
          </w:tcPr>
          <w:p w14:paraId="57775ABF">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1</w:t>
            </w:r>
            <w:r>
              <w:rPr>
                <w:rFonts w:ascii="微软雅黑" w:hAnsi="微软雅黑" w:eastAsia="微软雅黑" w:cs="微软雅黑"/>
                <w:sz w:val="22"/>
                <w:szCs w:val="22"/>
                <w:vertAlign w:val="baseline"/>
              </w:rPr>
              <w:t>8371402055</w:t>
            </w:r>
          </w:p>
        </w:tc>
        <w:tc>
          <w:tcPr>
            <w:tcW w:w="2808" w:type="dxa"/>
            <w:vAlign w:val="center"/>
          </w:tcPr>
          <w:p w14:paraId="18E12409">
            <w:pPr>
              <w:spacing w:line="360" w:lineRule="auto"/>
              <w:jc w:val="center"/>
              <w:rPr>
                <w:rFonts w:hint="eastAsia" w:ascii="微软雅黑" w:hAnsi="微软雅黑" w:eastAsia="微软雅黑" w:cs="微软雅黑"/>
                <w:sz w:val="22"/>
                <w:szCs w:val="22"/>
                <w:vertAlign w:val="baseline"/>
              </w:rPr>
            </w:pPr>
            <w:r>
              <w:rPr>
                <w:rFonts w:ascii="微软雅黑" w:hAnsi="微软雅黑" w:eastAsia="微软雅黑" w:cs="微软雅黑"/>
                <w:sz w:val="22"/>
                <w:szCs w:val="22"/>
                <w:vertAlign w:val="baseline"/>
              </w:rPr>
              <w:t>zhangjie1@baiccl.com</w:t>
            </w:r>
          </w:p>
        </w:tc>
        <w:tc>
          <w:tcPr>
            <w:tcW w:w="1761" w:type="dxa"/>
            <w:vAlign w:val="center"/>
          </w:tcPr>
          <w:p w14:paraId="10302E29">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商务管理经理</w:t>
            </w:r>
          </w:p>
        </w:tc>
        <w:tc>
          <w:tcPr>
            <w:tcW w:w="2078" w:type="dxa"/>
            <w:vAlign w:val="center"/>
          </w:tcPr>
          <w:p w14:paraId="236799E9">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商务沟通</w:t>
            </w:r>
          </w:p>
        </w:tc>
      </w:tr>
      <w:tr w14:paraId="2C617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007C2BA1">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邱绪光</w:t>
            </w:r>
          </w:p>
        </w:tc>
        <w:tc>
          <w:tcPr>
            <w:tcW w:w="1857" w:type="dxa"/>
            <w:vAlign w:val="center"/>
          </w:tcPr>
          <w:p w14:paraId="36A27AAF">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1</w:t>
            </w:r>
            <w:r>
              <w:rPr>
                <w:rFonts w:ascii="微软雅黑" w:hAnsi="微软雅黑" w:eastAsia="微软雅黑" w:cs="微软雅黑"/>
                <w:sz w:val="22"/>
                <w:szCs w:val="22"/>
                <w:vertAlign w:val="baseline"/>
              </w:rPr>
              <w:t>3604057651</w:t>
            </w:r>
          </w:p>
        </w:tc>
        <w:tc>
          <w:tcPr>
            <w:tcW w:w="2808" w:type="dxa"/>
            <w:vAlign w:val="center"/>
          </w:tcPr>
          <w:p w14:paraId="12495216">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q</w:t>
            </w:r>
            <w:r>
              <w:rPr>
                <w:rFonts w:ascii="微软雅黑" w:hAnsi="微软雅黑" w:eastAsia="微软雅黑" w:cs="微软雅黑"/>
                <w:sz w:val="22"/>
                <w:szCs w:val="22"/>
                <w:vertAlign w:val="baseline"/>
              </w:rPr>
              <w:t>iu</w:t>
            </w:r>
            <w:r>
              <w:rPr>
                <w:rFonts w:hint="eastAsia" w:ascii="微软雅黑" w:hAnsi="微软雅黑" w:eastAsia="微软雅黑" w:cs="微软雅黑"/>
                <w:sz w:val="22"/>
                <w:szCs w:val="22"/>
                <w:vertAlign w:val="baseline"/>
              </w:rPr>
              <w:t>xuguang</w:t>
            </w:r>
            <w:r>
              <w:rPr>
                <w:rFonts w:ascii="微软雅黑" w:hAnsi="微软雅黑" w:eastAsia="微软雅黑" w:cs="微软雅黑"/>
                <w:sz w:val="22"/>
                <w:szCs w:val="22"/>
                <w:vertAlign w:val="baseline"/>
              </w:rPr>
              <w:t>@baiccl.com</w:t>
            </w:r>
          </w:p>
        </w:tc>
        <w:tc>
          <w:tcPr>
            <w:tcW w:w="1761" w:type="dxa"/>
            <w:vAlign w:val="center"/>
          </w:tcPr>
          <w:p w14:paraId="21DED203">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项目负责人</w:t>
            </w:r>
          </w:p>
        </w:tc>
        <w:tc>
          <w:tcPr>
            <w:tcW w:w="2078" w:type="dxa"/>
            <w:vAlign w:val="center"/>
          </w:tcPr>
          <w:p w14:paraId="7C2B8385">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项目、现场业务</w:t>
            </w:r>
          </w:p>
        </w:tc>
      </w:tr>
      <w:tr w14:paraId="69A1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32D0A223">
            <w:pPr>
              <w:spacing w:line="360" w:lineRule="auto"/>
              <w:jc w:val="center"/>
              <w:rPr>
                <w:rFonts w:hint="eastAsia" w:ascii="微软雅黑" w:hAnsi="微软雅黑" w:eastAsia="微软雅黑" w:cs="微软雅黑"/>
                <w:sz w:val="22"/>
                <w:szCs w:val="22"/>
                <w:vertAlign w:val="baseline"/>
              </w:rPr>
            </w:pPr>
          </w:p>
        </w:tc>
        <w:tc>
          <w:tcPr>
            <w:tcW w:w="1857" w:type="dxa"/>
            <w:vAlign w:val="center"/>
          </w:tcPr>
          <w:p w14:paraId="08E8D99B">
            <w:pPr>
              <w:spacing w:line="360" w:lineRule="auto"/>
              <w:jc w:val="center"/>
              <w:rPr>
                <w:rFonts w:hint="eastAsia" w:ascii="微软雅黑" w:hAnsi="微软雅黑" w:eastAsia="微软雅黑" w:cs="微软雅黑"/>
                <w:sz w:val="22"/>
                <w:szCs w:val="22"/>
                <w:vertAlign w:val="baseline"/>
              </w:rPr>
            </w:pPr>
          </w:p>
        </w:tc>
        <w:tc>
          <w:tcPr>
            <w:tcW w:w="2808" w:type="dxa"/>
            <w:vAlign w:val="center"/>
          </w:tcPr>
          <w:p w14:paraId="67F0CE52">
            <w:pPr>
              <w:spacing w:line="360" w:lineRule="auto"/>
              <w:jc w:val="center"/>
              <w:rPr>
                <w:rFonts w:hint="eastAsia" w:ascii="微软雅黑" w:hAnsi="微软雅黑" w:eastAsia="微软雅黑" w:cs="微软雅黑"/>
                <w:sz w:val="22"/>
                <w:szCs w:val="22"/>
                <w:vertAlign w:val="baseline"/>
              </w:rPr>
            </w:pPr>
          </w:p>
        </w:tc>
        <w:tc>
          <w:tcPr>
            <w:tcW w:w="1761" w:type="dxa"/>
            <w:vAlign w:val="center"/>
          </w:tcPr>
          <w:p w14:paraId="1C2816C7">
            <w:pPr>
              <w:spacing w:line="360" w:lineRule="auto"/>
              <w:jc w:val="center"/>
              <w:rPr>
                <w:rFonts w:hint="eastAsia" w:ascii="微软雅黑" w:hAnsi="微软雅黑" w:eastAsia="微软雅黑" w:cs="微软雅黑"/>
                <w:sz w:val="22"/>
                <w:szCs w:val="22"/>
                <w:vertAlign w:val="baseline"/>
              </w:rPr>
            </w:pPr>
          </w:p>
        </w:tc>
        <w:tc>
          <w:tcPr>
            <w:tcW w:w="2078" w:type="dxa"/>
            <w:vAlign w:val="center"/>
          </w:tcPr>
          <w:p w14:paraId="48FE94DA">
            <w:pPr>
              <w:spacing w:line="360" w:lineRule="auto"/>
              <w:jc w:val="center"/>
              <w:rPr>
                <w:rFonts w:hint="eastAsia" w:ascii="微软雅黑" w:hAnsi="微软雅黑" w:eastAsia="微软雅黑" w:cs="微软雅黑"/>
                <w:sz w:val="22"/>
                <w:szCs w:val="22"/>
                <w:vertAlign w:val="baseline"/>
              </w:rPr>
            </w:pPr>
          </w:p>
        </w:tc>
      </w:tr>
    </w:tbl>
    <w:p w14:paraId="6CA3C29E">
      <w:pPr>
        <w:spacing w:line="360" w:lineRule="auto"/>
        <w:rPr>
          <w:rFonts w:hint="eastAsia" w:ascii="微软雅黑" w:hAnsi="微软雅黑" w:eastAsia="微软雅黑" w:cs="微软雅黑"/>
          <w:b/>
          <w:sz w:val="22"/>
          <w:szCs w:val="22"/>
          <w:vertAlign w:val="baseline"/>
        </w:rPr>
      </w:pPr>
      <w:r>
        <w:rPr>
          <w:rFonts w:hint="eastAsia" w:ascii="微软雅黑" w:hAnsi="微软雅黑" w:eastAsia="微软雅黑" w:cs="微软雅黑"/>
          <w:b/>
          <w:sz w:val="22"/>
          <w:szCs w:val="22"/>
          <w:vertAlign w:val="baseline"/>
        </w:rPr>
        <w:t>第三条 包装</w:t>
      </w:r>
    </w:p>
    <w:p w14:paraId="616E24AD">
      <w:pPr>
        <w:numPr>
          <w:ilvl w:val="0"/>
          <w:numId w:val="2"/>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甲方负责货物的运输包装，包装按国家标准或行业标准执行，而且必须符合主机厂的要求；</w:t>
      </w:r>
    </w:p>
    <w:p w14:paraId="5981F5A9">
      <w:pPr>
        <w:numPr>
          <w:ilvl w:val="0"/>
          <w:numId w:val="2"/>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包装必须能够保证零部件在运输和存储过程中的质量和数量，</w:t>
      </w:r>
      <w:r>
        <w:rPr>
          <w:rFonts w:hint="eastAsia" w:ascii="微软雅黑" w:hAnsi="微软雅黑" w:eastAsia="微软雅黑" w:cs="微软雅黑"/>
          <w:sz w:val="22"/>
          <w:szCs w:val="22"/>
          <w:vertAlign w:val="baseline"/>
          <w:lang w:eastAsia="zh-Hans"/>
        </w:rPr>
        <w:t>因包装不合格造成的损失由甲方承担</w:t>
      </w:r>
      <w:r>
        <w:rPr>
          <w:rFonts w:hint="eastAsia" w:ascii="微软雅黑" w:hAnsi="微软雅黑" w:eastAsia="微软雅黑" w:cs="微软雅黑"/>
          <w:sz w:val="22"/>
          <w:szCs w:val="22"/>
          <w:vertAlign w:val="baseline"/>
        </w:rPr>
        <w:t>；</w:t>
      </w:r>
    </w:p>
    <w:p w14:paraId="69BA350D">
      <w:pPr>
        <w:numPr>
          <w:ilvl w:val="0"/>
          <w:numId w:val="2"/>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包装必须便于货物的分类和区别，外包装标识须按照主机厂要求制作和粘贴；</w:t>
      </w:r>
    </w:p>
    <w:p w14:paraId="279219B4">
      <w:pPr>
        <w:numPr>
          <w:ilvl w:val="0"/>
          <w:numId w:val="2"/>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主机厂要求上线为循环包装的，则甲方必须提供换装周转循环包装，以保证乙方配送时周转的需要。后期循环包装维修全部由甲方负责，因循环包装问题带来的停线由甲方全权负责。</w:t>
      </w:r>
    </w:p>
    <w:p w14:paraId="2AF0CA09">
      <w:pPr>
        <w:spacing w:line="360" w:lineRule="auto"/>
        <w:rPr>
          <w:rFonts w:hint="eastAsia" w:ascii="微软雅黑" w:hAnsi="微软雅黑" w:eastAsia="微软雅黑" w:cs="微软雅黑"/>
          <w:b/>
          <w:sz w:val="22"/>
          <w:szCs w:val="22"/>
          <w:vertAlign w:val="baseline"/>
        </w:rPr>
      </w:pPr>
      <w:r>
        <w:rPr>
          <w:rFonts w:hint="eastAsia" w:ascii="微软雅黑" w:hAnsi="微软雅黑" w:eastAsia="微软雅黑" w:cs="微软雅黑"/>
          <w:b/>
          <w:sz w:val="22"/>
          <w:szCs w:val="22"/>
          <w:vertAlign w:val="baseline"/>
        </w:rPr>
        <w:t>第四条 到货与验收</w:t>
      </w:r>
    </w:p>
    <w:p w14:paraId="72838539">
      <w:pPr>
        <w:numPr>
          <w:ilvl w:val="0"/>
          <w:numId w:val="3"/>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甲方负责将货物送至乙方仓库。甲方在发货前须以书面方式通知乙方所发货的品种、数量、运输方式、发货时间和预计到货时间，以便乙方安排接货；</w:t>
      </w:r>
    </w:p>
    <w:p w14:paraId="3A9AC043">
      <w:pPr>
        <w:numPr>
          <w:ilvl w:val="0"/>
          <w:numId w:val="3"/>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货物到达后，乙方应根据送货单，对货物整箱/架数量及外包装等进行清点，确认实收货物与送货单相符后，在送货单上签字认可，作为双方对账凭据，货损风险自甲方送至乙方仓库，乙方签收时转移，货物仓储期间，甲方保留货物的所有权和处分权；如发现材料缺失、外包装损坏、数量短少等情况，乙方有权拒收或根据实际数量签收；</w:t>
      </w:r>
    </w:p>
    <w:p w14:paraId="5DCE9B30">
      <w:pPr>
        <w:numPr>
          <w:ilvl w:val="0"/>
          <w:numId w:val="3"/>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乙方根据甲方签订的面积进行入库，如若超出，乙方有权拒收或根据实物所超面积计算仓储费用（通过照片或邮件确认）；</w:t>
      </w:r>
    </w:p>
    <w:p w14:paraId="3AA09736">
      <w:pPr>
        <w:numPr>
          <w:ilvl w:val="0"/>
          <w:numId w:val="3"/>
        </w:num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甲方随货应提供资料：①机打送货清单。②出厂检验报告；</w:t>
      </w:r>
    </w:p>
    <w:p w14:paraId="3DD5C291">
      <w:pPr>
        <w:numPr>
          <w:ilvl w:val="0"/>
          <w:numId w:val="3"/>
        </w:num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甲方到货如出现如下情况，乙方将拒绝收货：</w:t>
      </w:r>
    </w:p>
    <w:p w14:paraId="4C96073F">
      <w:pPr>
        <w:numPr>
          <w:ilvl w:val="0"/>
          <w:numId w:val="4"/>
        </w:numPr>
        <w:spacing w:line="48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单据问题：非主机厂规定标准送货单、单据条码无法识别、单据涂改、单据内容不清晰、服务清单外物料、无《出厂检验报告》等；</w:t>
      </w:r>
    </w:p>
    <w:p w14:paraId="32A0DC2C">
      <w:pPr>
        <w:numPr>
          <w:ilvl w:val="0"/>
          <w:numId w:val="4"/>
        </w:numPr>
        <w:spacing w:line="48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到货质量问题：到货包装破损、淋湿、生锈或货物裸露无包装、货物批次混放、同一送货单超过2个批次等；</w:t>
      </w:r>
    </w:p>
    <w:p w14:paraId="602B471E">
      <w:pPr>
        <w:numPr>
          <w:ilvl w:val="0"/>
          <w:numId w:val="4"/>
        </w:numPr>
        <w:spacing w:line="48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包装标识问题：新状态或断点切换物料未按主机厂标识、包装或包装标签不符合主机厂标准等；</w:t>
      </w:r>
    </w:p>
    <w:p w14:paraId="77544082">
      <w:pPr>
        <w:numPr>
          <w:ilvl w:val="0"/>
          <w:numId w:val="4"/>
        </w:numPr>
        <w:spacing w:line="48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其它：有退货且已经到达约定条件而不清退的、到期或逾期未付款的。</w:t>
      </w:r>
    </w:p>
    <w:p w14:paraId="763BA9AB">
      <w:pPr>
        <w:tabs>
          <w:tab w:val="left" w:pos="900"/>
        </w:tabs>
        <w:spacing w:line="360" w:lineRule="auto"/>
        <w:rPr>
          <w:rFonts w:hint="eastAsia" w:ascii="微软雅黑" w:hAnsi="微软雅黑" w:eastAsia="微软雅黑" w:cs="微软雅黑"/>
          <w:b/>
          <w:bCs/>
          <w:sz w:val="22"/>
          <w:szCs w:val="22"/>
          <w:vertAlign w:val="baseline"/>
        </w:rPr>
      </w:pPr>
      <w:r>
        <w:rPr>
          <w:rFonts w:hint="eastAsia" w:ascii="微软雅黑" w:hAnsi="微软雅黑" w:eastAsia="微软雅黑" w:cs="微软雅黑"/>
          <w:b/>
          <w:bCs/>
          <w:sz w:val="22"/>
          <w:szCs w:val="22"/>
          <w:vertAlign w:val="baseline"/>
        </w:rPr>
        <w:t>第五条 货物保管条件和要求</w:t>
      </w:r>
    </w:p>
    <w:p w14:paraId="69E8FB6E">
      <w:pPr>
        <w:numPr>
          <w:ilvl w:val="0"/>
          <w:numId w:val="5"/>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乙方仓库设施应符合国家有关防火、防盗、防潮的规定；</w:t>
      </w:r>
    </w:p>
    <w:p w14:paraId="2A02A3F9">
      <w:pPr>
        <w:numPr>
          <w:ilvl w:val="0"/>
          <w:numId w:val="5"/>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库房地面需平整、清洁、无杂物和污染物；</w:t>
      </w:r>
    </w:p>
    <w:p w14:paraId="42594858">
      <w:pPr>
        <w:numPr>
          <w:ilvl w:val="0"/>
          <w:numId w:val="5"/>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仓库货物必须堆放整齐，分清不同品种与到货批次，纸箱包装可堆垛但不得超过外包装规定的最高堆码数；</w:t>
      </w:r>
    </w:p>
    <w:p w14:paraId="76393D58">
      <w:pPr>
        <w:numPr>
          <w:ilvl w:val="0"/>
          <w:numId w:val="5"/>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仓储和装运时应避免损伤、雨淋、污染，检具、工位器具等应小心保管；</w:t>
      </w:r>
    </w:p>
    <w:p w14:paraId="0CF34FF5">
      <w:pPr>
        <w:numPr>
          <w:ilvl w:val="0"/>
          <w:numId w:val="5"/>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经双方协商，设定零部件安全库存量及最高库存量，如主机厂需求变化，库存量可另行协商；</w:t>
      </w:r>
    </w:p>
    <w:p w14:paraId="6D4F2E90">
      <w:pPr>
        <w:pStyle w:val="15"/>
        <w:spacing w:before="0" w:beforeAutospacing="0" w:after="0" w:afterAutospacing="0" w:line="360" w:lineRule="auto"/>
        <w:jc w:val="both"/>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第六条 货物出库及配送</w:t>
      </w:r>
    </w:p>
    <w:p w14:paraId="11BA2BDF">
      <w:pPr>
        <w:pStyle w:val="15"/>
        <w:numPr>
          <w:ilvl w:val="0"/>
          <w:numId w:val="6"/>
        </w:numPr>
        <w:spacing w:before="0" w:beforeAutospacing="0" w:after="0" w:afterAutospacing="0" w:line="360" w:lineRule="auto"/>
        <w:ind w:left="0" w:firstLine="0"/>
        <w:jc w:val="both"/>
        <w:rPr>
          <w:rFonts w:hint="eastAsia" w:ascii="微软雅黑" w:hAnsi="微软雅黑" w:eastAsia="微软雅黑" w:cs="微软雅黑"/>
          <w:color w:val="auto"/>
          <w:kern w:val="2"/>
          <w:sz w:val="22"/>
          <w:szCs w:val="22"/>
        </w:rPr>
      </w:pPr>
      <w:r>
        <w:rPr>
          <w:rFonts w:hint="eastAsia" w:ascii="微软雅黑" w:hAnsi="微软雅黑" w:eastAsia="微软雅黑" w:cs="微软雅黑"/>
          <w:color w:val="auto"/>
          <w:sz w:val="22"/>
          <w:szCs w:val="22"/>
        </w:rPr>
        <w:t>货物出库须遵照“先进先出”的原则；</w:t>
      </w:r>
    </w:p>
    <w:p w14:paraId="2E31D0AC">
      <w:pPr>
        <w:pStyle w:val="15"/>
        <w:numPr>
          <w:ilvl w:val="0"/>
          <w:numId w:val="6"/>
        </w:numPr>
        <w:spacing w:before="0" w:beforeAutospacing="0" w:after="0" w:afterAutospacing="0" w:line="360" w:lineRule="auto"/>
        <w:ind w:left="0" w:firstLine="0"/>
        <w:jc w:val="both"/>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甲方自提出库，</w:t>
      </w:r>
      <w:r>
        <w:rPr>
          <w:rFonts w:hint="eastAsia" w:ascii="微软雅黑" w:hAnsi="微软雅黑" w:eastAsia="微软雅黑" w:cs="微软雅黑"/>
          <w:color w:val="auto"/>
          <w:kern w:val="2"/>
          <w:sz w:val="22"/>
          <w:szCs w:val="22"/>
        </w:rPr>
        <w:t>应当提前以书面形式告知。</w:t>
      </w:r>
      <w:r>
        <w:rPr>
          <w:rFonts w:hint="eastAsia" w:ascii="微软雅黑" w:hAnsi="微软雅黑" w:eastAsia="微软雅黑" w:cs="微软雅黑"/>
          <w:color w:val="auto"/>
          <w:sz w:val="22"/>
          <w:szCs w:val="22"/>
        </w:rPr>
        <w:t>提货人应当表明其提货的合法身份，</w:t>
      </w:r>
      <w:r>
        <w:rPr>
          <w:rFonts w:hint="eastAsia" w:ascii="微软雅黑" w:hAnsi="微软雅黑" w:eastAsia="微软雅黑" w:cs="微软雅黑"/>
          <w:color w:val="auto"/>
          <w:kern w:val="2"/>
          <w:sz w:val="22"/>
          <w:szCs w:val="22"/>
        </w:rPr>
        <w:t>并履行主机厂及乙方规定的手续；</w:t>
      </w:r>
    </w:p>
    <w:p w14:paraId="481F14F9">
      <w:pPr>
        <w:pStyle w:val="15"/>
        <w:numPr>
          <w:ilvl w:val="0"/>
          <w:numId w:val="6"/>
        </w:numPr>
        <w:spacing w:before="0" w:beforeAutospacing="0" w:after="0" w:afterAutospacing="0" w:line="360" w:lineRule="auto"/>
        <w:ind w:left="0" w:firstLine="0"/>
        <w:jc w:val="both"/>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乙方根据主机厂的需求送货，凡主机厂要求乙方送货的即视为甲方默认（甲方以书面形式的特殊要求除外）；</w:t>
      </w:r>
    </w:p>
    <w:p w14:paraId="6B748107">
      <w:pPr>
        <w:pStyle w:val="15"/>
        <w:numPr>
          <w:ilvl w:val="0"/>
          <w:numId w:val="6"/>
        </w:numPr>
        <w:spacing w:before="0" w:beforeAutospacing="0" w:after="0" w:afterAutospacing="0" w:line="360" w:lineRule="auto"/>
        <w:ind w:left="0" w:firstLine="0"/>
        <w:jc w:val="both"/>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因主机厂系统原因，乙方仓库不支持对主机厂以外的地方送货；</w:t>
      </w:r>
    </w:p>
    <w:p w14:paraId="3D1E4F6D">
      <w:pPr>
        <w:pStyle w:val="15"/>
        <w:numPr>
          <w:ilvl w:val="0"/>
          <w:numId w:val="6"/>
        </w:numPr>
        <w:spacing w:before="0" w:beforeAutospacing="0" w:after="0" w:afterAutospacing="0" w:line="360" w:lineRule="auto"/>
        <w:ind w:left="0" w:firstLine="0"/>
        <w:jc w:val="both"/>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根据主机厂需求指令或甲方要求，乙方准时、准点将货物送达主机厂，并保证配送过程中货物安全。主机厂的空包装物返空，由乙方根据主机厂物流返还的工位器具数量，如数带回。</w:t>
      </w:r>
    </w:p>
    <w:p w14:paraId="4ED9CB5C">
      <w:pPr>
        <w:pStyle w:val="15"/>
        <w:spacing w:before="0" w:beforeAutospacing="0" w:after="0" w:afterAutospacing="0" w:line="360" w:lineRule="auto"/>
        <w:jc w:val="both"/>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第七条 货物的冻结及返修、呆滞货品、不合格品的处理</w:t>
      </w:r>
    </w:p>
    <w:p w14:paraId="145B5C32">
      <w:pPr>
        <w:pStyle w:val="15"/>
        <w:numPr>
          <w:ilvl w:val="0"/>
          <w:numId w:val="7"/>
        </w:numPr>
        <w:spacing w:before="0" w:beforeAutospacing="0" w:after="0" w:afterAutospacing="0" w:line="360" w:lineRule="auto"/>
        <w:ind w:left="0" w:firstLine="0"/>
        <w:jc w:val="both"/>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甲方货物如出现质量或状态等问题，甲方或主机厂的通知应以书面形式（注明货物的名称、零件号、批次及数量）及时通知乙方。乙方收到甲方正式书面通知后，由甲方人员到乙方仓库对该批货物实施冻结。否则，因此导致的一切后果，由甲方承担；</w:t>
      </w:r>
    </w:p>
    <w:p w14:paraId="0FECA07E">
      <w:pPr>
        <w:pStyle w:val="15"/>
        <w:numPr>
          <w:ilvl w:val="0"/>
          <w:numId w:val="7"/>
        </w:numPr>
        <w:spacing w:before="0" w:beforeAutospacing="0" w:after="0" w:afterAutospacing="0" w:line="360" w:lineRule="auto"/>
        <w:ind w:left="0" w:firstLine="0"/>
        <w:jc w:val="both"/>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冻结的货品甲方应及时处理，</w:t>
      </w:r>
      <w:r>
        <w:rPr>
          <w:rFonts w:hint="eastAsia" w:ascii="微软雅黑" w:hAnsi="微软雅黑" w:eastAsia="微软雅黑" w:cs="微软雅黑"/>
          <w:color w:val="auto"/>
          <w:kern w:val="2"/>
          <w:sz w:val="22"/>
          <w:szCs w:val="22"/>
        </w:rPr>
        <w:t>不能使用的应尽快返回甲方工厂</w:t>
      </w:r>
      <w:r>
        <w:rPr>
          <w:rFonts w:hint="eastAsia" w:ascii="微软雅黑" w:hAnsi="微软雅黑" w:eastAsia="微软雅黑" w:cs="微软雅黑"/>
          <w:color w:val="auto"/>
          <w:sz w:val="22"/>
          <w:szCs w:val="22"/>
        </w:rPr>
        <w:t>；若甲方需要取消冻结时，应以书面形式通知乙方；冻结货品在乙方仓库内存放超过30日内未及时处理的，乙方将其划至不合品格库区，按不合格品程序处理（参照第七条第3款），若超出甲乙双方签订的仓储面积，按超用乙方库存面积计费标准计费；</w:t>
      </w:r>
    </w:p>
    <w:p w14:paraId="03D5A957">
      <w:pPr>
        <w:pStyle w:val="15"/>
        <w:numPr>
          <w:ilvl w:val="0"/>
          <w:numId w:val="7"/>
        </w:numPr>
        <w:spacing w:before="0" w:beforeAutospacing="0" w:after="0" w:afterAutospacing="0" w:line="360" w:lineRule="auto"/>
        <w:ind w:left="0" w:firstLine="0"/>
        <w:jc w:val="both"/>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甲方送至乙方仓库物料产生的不合格产品，自不合格产品产生之日起，15日内必须退回或处理。逾期未退回的，乙方则按实际超出合同仓储面积的计费标准收取仓储费用；</w:t>
      </w:r>
    </w:p>
    <w:p w14:paraId="36CE1E7C">
      <w:pPr>
        <w:pStyle w:val="15"/>
        <w:numPr>
          <w:ilvl w:val="0"/>
          <w:numId w:val="7"/>
        </w:numPr>
        <w:spacing w:before="0" w:beforeAutospacing="0" w:after="0" w:afterAutospacing="0" w:line="360" w:lineRule="auto"/>
        <w:ind w:left="0" w:firstLine="0"/>
        <w:jc w:val="both"/>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因主机厂生产线或其他原因导致的不合格品，甲方自行负责，由此导致乙方额外支出的费用由甲方承担；</w:t>
      </w:r>
    </w:p>
    <w:p w14:paraId="1C745783">
      <w:pPr>
        <w:pStyle w:val="15"/>
        <w:numPr>
          <w:ilvl w:val="0"/>
          <w:numId w:val="7"/>
        </w:numPr>
        <w:spacing w:before="0" w:beforeAutospacing="0" w:after="0" w:afterAutospacing="0" w:line="360" w:lineRule="auto"/>
        <w:ind w:left="0" w:firstLine="0"/>
        <w:jc w:val="both"/>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如因乙方原因在物流配送过程中造成不合格品，其返工、返修、报废的费用由乙方承担，如造成主机厂停线罚款直接损失由乙方承担。</w:t>
      </w:r>
    </w:p>
    <w:p w14:paraId="364DF59C">
      <w:pPr>
        <w:pStyle w:val="15"/>
        <w:spacing w:before="0" w:beforeAutospacing="0" w:after="0" w:afterAutospacing="0" w:line="360" w:lineRule="auto"/>
        <w:jc w:val="both"/>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第八条 计费项目、标准和账户信息</w:t>
      </w:r>
    </w:p>
    <w:p w14:paraId="67D44447">
      <w:pPr>
        <w:spacing w:after="160" w:line="278" w:lineRule="auto"/>
        <w:jc w:val="left"/>
        <w:rPr>
          <w:rFonts w:hint="eastAsia" w:ascii="微软雅黑" w:hAnsi="微软雅黑" w:eastAsia="微软雅黑" w:cs="微软雅黑"/>
          <w:kern w:val="0"/>
          <w:sz w:val="22"/>
          <w:szCs w:val="22"/>
          <w:vertAlign w:val="baseline"/>
        </w:rPr>
      </w:pPr>
      <w:r>
        <w:rPr>
          <w:rFonts w:ascii="微软雅黑" w:hAnsi="微软雅黑" w:eastAsia="微软雅黑" w:cs="微软雅黑"/>
          <w:kern w:val="0"/>
          <w:sz w:val="22"/>
          <w:szCs w:val="22"/>
          <w:vertAlign w:val="baseline"/>
        </w:rPr>
        <w:t>1</w:t>
      </w:r>
      <w:r>
        <w:rPr>
          <w:rFonts w:hint="eastAsia" w:ascii="微软雅黑" w:hAnsi="微软雅黑" w:eastAsia="微软雅黑" w:cs="微软雅黑"/>
          <w:kern w:val="0"/>
          <w:sz w:val="22"/>
          <w:szCs w:val="22"/>
          <w:vertAlign w:val="baseline"/>
        </w:rPr>
        <w:t>.甲方按下列价格给予乙方支付服务费</w:t>
      </w:r>
    </w:p>
    <w:p w14:paraId="554C3321">
      <w:pPr>
        <w:spacing w:after="160" w:line="300"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计费标准：</w:t>
      </w:r>
    </w:p>
    <w:p w14:paraId="675262EF">
      <w:pPr>
        <w:spacing w:after="160" w:line="300" w:lineRule="auto"/>
        <w:jc w:val="left"/>
        <w:rPr>
          <w:rFonts w:hint="eastAsia" w:ascii="微软雅黑" w:hAnsi="微软雅黑" w:eastAsia="微软雅黑" w:cs="微软雅黑"/>
          <w:kern w:val="0"/>
          <w:sz w:val="22"/>
          <w:szCs w:val="22"/>
          <w:vertAlign w:val="baseline"/>
        </w:rPr>
      </w:pPr>
      <w:r>
        <w:rPr>
          <w:rFonts w:ascii="微软雅黑" w:hAnsi="微软雅黑" w:eastAsia="微软雅黑" w:cs="微软雅黑"/>
          <w:kern w:val="0"/>
          <w:sz w:val="22"/>
          <w:szCs w:val="22"/>
          <w:vertAlign w:val="baseline"/>
        </w:rPr>
        <w:t>月</w:t>
      </w:r>
      <w:r>
        <w:rPr>
          <w:rFonts w:hint="eastAsia" w:ascii="微软雅黑" w:hAnsi="微软雅黑" w:eastAsia="微软雅黑" w:cs="微软雅黑"/>
          <w:kern w:val="0"/>
          <w:sz w:val="22"/>
          <w:szCs w:val="22"/>
          <w:vertAlign w:val="baseline"/>
        </w:rPr>
        <w:t>服务费</w:t>
      </w:r>
      <w:r>
        <w:rPr>
          <w:rFonts w:ascii="微软雅黑" w:hAnsi="微软雅黑" w:eastAsia="微软雅黑" w:cs="微软雅黑"/>
          <w:kern w:val="0"/>
          <w:sz w:val="22"/>
          <w:szCs w:val="22"/>
          <w:vertAlign w:val="baseline"/>
        </w:rPr>
        <w:t>合计＝</w:t>
      </w:r>
      <w:r>
        <w:rPr>
          <w:rFonts w:ascii="微软雅黑" w:hAnsi="微软雅黑" w:eastAsia="微软雅黑" w:cs="微软雅黑"/>
          <w:kern w:val="0"/>
          <w:sz w:val="22"/>
          <w:szCs w:val="22"/>
          <w:highlight w:val="yellow"/>
          <w:vertAlign w:val="baseline"/>
        </w:rPr>
        <w:t>包干收费</w:t>
      </w:r>
      <w:r>
        <w:rPr>
          <w:rFonts w:hint="eastAsia" w:ascii="微软雅黑" w:hAnsi="微软雅黑" w:eastAsia="微软雅黑" w:cs="微软雅黑"/>
          <w:kern w:val="0"/>
          <w:sz w:val="22"/>
          <w:szCs w:val="22"/>
          <w:vertAlign w:val="baseline"/>
        </w:rPr>
        <w:t>+仓储</w:t>
      </w:r>
      <w:r>
        <w:rPr>
          <w:rFonts w:ascii="微软雅黑" w:hAnsi="微软雅黑" w:eastAsia="微软雅黑" w:cs="微软雅黑"/>
          <w:kern w:val="0"/>
          <w:sz w:val="22"/>
          <w:szCs w:val="22"/>
          <w:vertAlign w:val="baseline"/>
        </w:rPr>
        <w:t>收费＋价值收费＋计件收费+其他服务收费</w:t>
      </w:r>
    </w:p>
    <w:p w14:paraId="5EAA64E1">
      <w:pPr>
        <w:spacing w:after="160" w:line="300" w:lineRule="auto"/>
        <w:ind w:left="424" w:leftChars="202"/>
        <w:jc w:val="left"/>
        <w:rPr>
          <w:rFonts w:hint="eastAsia" w:ascii="微软雅黑" w:hAnsi="微软雅黑" w:eastAsia="微软雅黑" w:cs="微软雅黑"/>
          <w:kern w:val="0"/>
          <w:sz w:val="22"/>
          <w:szCs w:val="22"/>
          <w:vertAlign w:val="baseline"/>
        </w:rPr>
      </w:pPr>
      <w:r>
        <w:rPr>
          <w:rFonts w:ascii="微软雅黑" w:hAnsi="微软雅黑" w:eastAsia="微软雅黑" w:cs="微软雅黑"/>
          <w:kern w:val="0"/>
          <w:sz w:val="22"/>
          <w:szCs w:val="22"/>
          <w:vertAlign w:val="baseline"/>
        </w:rPr>
        <w:t xml:space="preserve">□  </w:t>
      </w:r>
      <w:r>
        <w:rPr>
          <w:rFonts w:hint="eastAsia" w:ascii="微软雅黑" w:hAnsi="微软雅黑" w:eastAsia="微软雅黑" w:cs="微软雅黑"/>
          <w:kern w:val="0"/>
          <w:sz w:val="22"/>
          <w:szCs w:val="22"/>
          <w:vertAlign w:val="baseline"/>
        </w:rPr>
        <w:t>包干</w:t>
      </w:r>
      <w:r>
        <w:rPr>
          <w:rFonts w:ascii="微软雅黑" w:hAnsi="微软雅黑" w:eastAsia="微软雅黑" w:cs="微软雅黑"/>
          <w:kern w:val="0"/>
          <w:sz w:val="22"/>
          <w:szCs w:val="22"/>
          <w:vertAlign w:val="baseline"/>
        </w:rPr>
        <w:t>收费：</w:t>
      </w:r>
      <w:r>
        <w:rPr>
          <w:rFonts w:hint="eastAsia" w:ascii="微软雅黑" w:hAnsi="微软雅黑" w:eastAsia="微软雅黑" w:cs="微软雅黑"/>
          <w:kern w:val="0"/>
          <w:sz w:val="22"/>
          <w:szCs w:val="22"/>
          <w:vertAlign w:val="baseline"/>
        </w:rPr>
        <w:t>计算标准=</w:t>
      </w:r>
      <w:r>
        <w:rPr>
          <w:rFonts w:ascii="微软雅黑" w:hAnsi="微软雅黑" w:eastAsia="微软雅黑" w:cs="微软雅黑"/>
          <w:kern w:val="0"/>
          <w:sz w:val="22"/>
          <w:szCs w:val="22"/>
          <w:vertAlign w:val="baseline"/>
        </w:rPr>
        <w:t xml:space="preserve"> 固定费用</w:t>
      </w:r>
      <w:r>
        <w:rPr>
          <w:rFonts w:hint="eastAsia" w:ascii="微软雅黑" w:hAnsi="微软雅黑" w:eastAsia="微软雅黑" w:cs="微软雅黑"/>
          <w:kern w:val="0"/>
          <w:sz w:val="22"/>
          <w:szCs w:val="22"/>
          <w:vertAlign w:val="baseline"/>
        </w:rPr>
        <w:t>X元</w:t>
      </w:r>
    </w:p>
    <w:p w14:paraId="31AFD11F">
      <w:pPr>
        <w:spacing w:after="160" w:line="300" w:lineRule="auto"/>
        <w:ind w:left="424" w:leftChars="202"/>
        <w:jc w:val="left"/>
        <w:rPr>
          <w:rFonts w:hint="eastAsia" w:ascii="微软雅黑" w:hAnsi="微软雅黑" w:eastAsia="微软雅黑" w:cs="微软雅黑"/>
          <w:kern w:val="0"/>
          <w:sz w:val="22"/>
          <w:szCs w:val="22"/>
          <w:vertAlign w:val="baseline"/>
        </w:rPr>
      </w:pPr>
      <w:r>
        <w:rPr>
          <w:rFonts w:ascii="微软雅黑" w:hAnsi="微软雅黑" w:eastAsia="微软雅黑" w:cs="微软雅黑"/>
          <w:kern w:val="0"/>
          <w:sz w:val="22"/>
          <w:szCs w:val="22"/>
          <w:vertAlign w:val="baseline"/>
        </w:rPr>
        <w:t xml:space="preserve">□  </w:t>
      </w:r>
      <w:r>
        <w:rPr>
          <w:rFonts w:hint="eastAsia" w:ascii="微软雅黑" w:hAnsi="微软雅黑" w:eastAsia="微软雅黑" w:cs="微软雅黑"/>
          <w:kern w:val="0"/>
          <w:sz w:val="22"/>
          <w:szCs w:val="22"/>
          <w:vertAlign w:val="baseline"/>
        </w:rPr>
        <w:t>仓储收费</w:t>
      </w:r>
      <w:r>
        <w:rPr>
          <w:rFonts w:ascii="微软雅黑" w:hAnsi="微软雅黑" w:eastAsia="微软雅黑" w:cs="微软雅黑"/>
          <w:kern w:val="0"/>
          <w:sz w:val="22"/>
          <w:szCs w:val="22"/>
          <w:vertAlign w:val="baseline"/>
        </w:rPr>
        <w:t>：</w:t>
      </w:r>
      <w:r>
        <w:rPr>
          <w:rFonts w:hint="eastAsia" w:ascii="微软雅黑" w:hAnsi="微软雅黑" w:eastAsia="微软雅黑" w:cs="微软雅黑"/>
          <w:kern w:val="0"/>
          <w:sz w:val="22"/>
          <w:szCs w:val="22"/>
          <w:vertAlign w:val="baseline"/>
        </w:rPr>
        <w:t>计算标准</w:t>
      </w:r>
      <w:r>
        <w:rPr>
          <w:rFonts w:ascii="微软雅黑" w:hAnsi="微软雅黑" w:eastAsia="微软雅黑" w:cs="微软雅黑"/>
          <w:kern w:val="0"/>
          <w:sz w:val="22"/>
          <w:szCs w:val="22"/>
          <w:vertAlign w:val="baseline"/>
        </w:rPr>
        <w:t>＝仓储面积（平米）×X元/平米</w:t>
      </w:r>
    </w:p>
    <w:p w14:paraId="40F6576C">
      <w:pPr>
        <w:spacing w:after="160" w:line="300" w:lineRule="auto"/>
        <w:ind w:left="424" w:leftChars="202"/>
        <w:jc w:val="left"/>
        <w:rPr>
          <w:rFonts w:hint="eastAsia" w:ascii="微软雅黑" w:hAnsi="微软雅黑" w:eastAsia="微软雅黑" w:cs="微软雅黑"/>
          <w:kern w:val="0"/>
          <w:sz w:val="22"/>
          <w:szCs w:val="22"/>
          <w:vertAlign w:val="baseline"/>
        </w:rPr>
      </w:pPr>
      <w:r>
        <w:rPr>
          <w:rFonts w:ascii="微软雅黑" w:hAnsi="微软雅黑" w:eastAsia="微软雅黑" w:cs="微软雅黑"/>
          <w:kern w:val="0"/>
          <w:sz w:val="22"/>
          <w:szCs w:val="22"/>
          <w:vertAlign w:val="baseline"/>
        </w:rPr>
        <w:t>□  价值收费：</w:t>
      </w:r>
      <w:r>
        <w:rPr>
          <w:rFonts w:hint="eastAsia" w:ascii="微软雅黑" w:hAnsi="微软雅黑" w:eastAsia="微软雅黑" w:cs="微软雅黑"/>
          <w:kern w:val="0"/>
          <w:sz w:val="22"/>
          <w:szCs w:val="22"/>
          <w:vertAlign w:val="baseline"/>
        </w:rPr>
        <w:t>计算标准</w:t>
      </w:r>
      <w:r>
        <w:rPr>
          <w:rFonts w:ascii="微软雅黑" w:hAnsi="微软雅黑" w:eastAsia="微软雅黑" w:cs="微软雅黑"/>
          <w:kern w:val="0"/>
          <w:sz w:val="22"/>
          <w:szCs w:val="22"/>
          <w:vertAlign w:val="baseline"/>
        </w:rPr>
        <w:t>＝月出库数量（按工厂挂账额）×结算单价×X％（按价值提取比例）</w:t>
      </w:r>
    </w:p>
    <w:p w14:paraId="458496D0">
      <w:pPr>
        <w:spacing w:after="160" w:line="300" w:lineRule="auto"/>
        <w:ind w:left="424" w:leftChars="202"/>
        <w:jc w:val="left"/>
        <w:rPr>
          <w:rFonts w:hint="eastAsia" w:ascii="微软雅黑" w:hAnsi="微软雅黑" w:eastAsia="微软雅黑" w:cs="微软雅黑"/>
          <w:kern w:val="0"/>
          <w:sz w:val="22"/>
          <w:szCs w:val="22"/>
          <w:vertAlign w:val="baseline"/>
        </w:rPr>
      </w:pPr>
      <w:r>
        <w:rPr>
          <w:rFonts w:ascii="微软雅黑" w:hAnsi="微软雅黑" w:eastAsia="微软雅黑" w:cs="微软雅黑"/>
          <w:kern w:val="0"/>
          <w:sz w:val="22"/>
          <w:szCs w:val="22"/>
          <w:vertAlign w:val="baseline"/>
        </w:rPr>
        <w:t>□  计件收费：</w:t>
      </w:r>
      <w:r>
        <w:rPr>
          <w:rFonts w:hint="eastAsia" w:ascii="微软雅黑" w:hAnsi="微软雅黑" w:eastAsia="微软雅黑" w:cs="微软雅黑"/>
          <w:kern w:val="0"/>
          <w:sz w:val="22"/>
          <w:szCs w:val="22"/>
          <w:vertAlign w:val="baseline"/>
        </w:rPr>
        <w:t>计算标准</w:t>
      </w:r>
      <w:r>
        <w:rPr>
          <w:rFonts w:ascii="微软雅黑" w:hAnsi="微软雅黑" w:eastAsia="微软雅黑" w:cs="微软雅黑"/>
          <w:kern w:val="0"/>
          <w:sz w:val="22"/>
          <w:szCs w:val="22"/>
          <w:vertAlign w:val="baseline"/>
        </w:rPr>
        <w:t>=月出库数量×X元/件</w:t>
      </w:r>
    </w:p>
    <w:p w14:paraId="0A9A7578">
      <w:pPr>
        <w:spacing w:after="160" w:line="300" w:lineRule="auto"/>
        <w:ind w:left="424" w:leftChars="202"/>
        <w:jc w:val="left"/>
        <w:rPr>
          <w:rFonts w:hint="eastAsia" w:ascii="微软雅黑" w:hAnsi="微软雅黑" w:eastAsia="微软雅黑" w:cs="微软雅黑"/>
          <w:kern w:val="0"/>
          <w:sz w:val="22"/>
          <w:szCs w:val="22"/>
          <w:vertAlign w:val="baseline"/>
        </w:rPr>
      </w:pPr>
      <w:r>
        <w:rPr>
          <w:rFonts w:ascii="微软雅黑" w:hAnsi="微软雅黑" w:eastAsia="微软雅黑" w:cs="微软雅黑"/>
          <w:kern w:val="0"/>
          <w:sz w:val="22"/>
          <w:szCs w:val="22"/>
          <w:vertAlign w:val="baseline"/>
        </w:rPr>
        <w:t>□  其他服务收费：为满足甲方对全面物流服务的需求，增加的其他服务收费</w:t>
      </w:r>
    </w:p>
    <w:p w14:paraId="62993025">
      <w:pPr>
        <w:spacing w:after="160" w:line="300" w:lineRule="auto"/>
        <w:jc w:val="left"/>
        <w:rPr>
          <w:rFonts w:hint="eastAsia" w:ascii="微软雅黑" w:hAnsi="微软雅黑" w:eastAsia="微软雅黑" w:cs="微软雅黑"/>
          <w:kern w:val="0"/>
          <w:sz w:val="22"/>
          <w:szCs w:val="22"/>
          <w:vertAlign w:val="baseline"/>
        </w:rPr>
      </w:pPr>
      <w:r>
        <w:rPr>
          <w:rFonts w:ascii="微软雅黑" w:hAnsi="微软雅黑" w:eastAsia="微软雅黑" w:cs="微软雅黑"/>
          <w:kern w:val="0"/>
          <w:sz w:val="22"/>
          <w:szCs w:val="22"/>
          <w:vertAlign w:val="baseline"/>
        </w:rPr>
        <w:t>说明：</w:t>
      </w:r>
    </w:p>
    <w:p w14:paraId="29D8D415">
      <w:pPr>
        <w:pStyle w:val="34"/>
        <w:numPr>
          <w:ilvl w:val="0"/>
          <w:numId w:val="8"/>
        </w:numPr>
        <w:spacing w:after="160" w:line="300" w:lineRule="auto"/>
        <w:contextualSpacing w:val="0"/>
        <w:jc w:val="left"/>
        <w:rPr>
          <w:rFonts w:hint="eastAsia" w:ascii="微软雅黑" w:hAnsi="微软雅黑" w:eastAsia="微软雅黑" w:cs="微软雅黑"/>
          <w:kern w:val="0"/>
          <w:sz w:val="22"/>
          <w:szCs w:val="22"/>
          <w:vertAlign w:val="baseline"/>
        </w:rPr>
      </w:pPr>
      <w:r>
        <w:rPr>
          <w:rFonts w:ascii="微软雅黑" w:hAnsi="微软雅黑" w:eastAsia="微软雅黑" w:cs="微软雅黑"/>
          <w:kern w:val="0"/>
          <w:sz w:val="22"/>
          <w:szCs w:val="22"/>
          <w:vertAlign w:val="baseline"/>
        </w:rPr>
        <w:t xml:space="preserve"> 仓储面积：指甲方</w:t>
      </w:r>
      <w:r>
        <w:rPr>
          <w:rFonts w:hint="eastAsia" w:ascii="微软雅黑" w:hAnsi="微软雅黑" w:eastAsia="微软雅黑" w:cs="微软雅黑"/>
          <w:kern w:val="0"/>
          <w:sz w:val="22"/>
          <w:szCs w:val="22"/>
          <w:vertAlign w:val="baseline"/>
        </w:rPr>
        <w:t>为</w:t>
      </w:r>
      <w:r>
        <w:rPr>
          <w:rFonts w:ascii="微软雅黑" w:hAnsi="微软雅黑" w:eastAsia="微软雅黑" w:cs="微软雅黑"/>
          <w:kern w:val="0"/>
          <w:sz w:val="22"/>
          <w:szCs w:val="22"/>
          <w:vertAlign w:val="baseline"/>
        </w:rPr>
        <w:t>乙方</w:t>
      </w:r>
      <w:r>
        <w:rPr>
          <w:rFonts w:hint="eastAsia" w:ascii="微软雅黑" w:hAnsi="微软雅黑" w:eastAsia="微软雅黑" w:cs="微软雅黑"/>
          <w:kern w:val="0"/>
          <w:sz w:val="22"/>
          <w:szCs w:val="22"/>
          <w:vertAlign w:val="baseline"/>
        </w:rPr>
        <w:t>提供的</w:t>
      </w:r>
      <w:r>
        <w:rPr>
          <w:rFonts w:ascii="微软雅黑" w:hAnsi="微软雅黑" w:eastAsia="微软雅黑" w:cs="微软雅黑"/>
          <w:kern w:val="0"/>
          <w:sz w:val="22"/>
          <w:szCs w:val="22"/>
          <w:vertAlign w:val="baseline"/>
        </w:rPr>
        <w:t>库房面积(包含器具占用面积和库区公摊面积)</w:t>
      </w:r>
      <w:r>
        <w:rPr>
          <w:rFonts w:hint="eastAsia" w:ascii="微软雅黑" w:hAnsi="微软雅黑" w:eastAsia="微软雅黑" w:cs="微软雅黑"/>
          <w:kern w:val="0"/>
          <w:sz w:val="22"/>
          <w:szCs w:val="22"/>
          <w:vertAlign w:val="baseline"/>
        </w:rPr>
        <w:t>，如每月实际使用面积超出固定仓储面积，月度对账结算按照实际面积（针对超出面积进行对账）结算</w:t>
      </w:r>
      <w:r>
        <w:rPr>
          <w:rFonts w:ascii="微软雅黑" w:hAnsi="微软雅黑" w:eastAsia="微软雅黑" w:cs="微软雅黑"/>
          <w:kern w:val="0"/>
          <w:sz w:val="22"/>
          <w:szCs w:val="22"/>
          <w:vertAlign w:val="baseline"/>
        </w:rPr>
        <w:t>。</w:t>
      </w:r>
    </w:p>
    <w:p w14:paraId="7E4CFEE5">
      <w:pPr>
        <w:spacing w:after="160" w:line="300"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②</w:t>
      </w:r>
      <w:r>
        <w:rPr>
          <w:rFonts w:ascii="微软雅黑" w:hAnsi="微软雅黑" w:eastAsia="微软雅黑" w:cs="微软雅黑"/>
          <w:kern w:val="0"/>
          <w:sz w:val="22"/>
          <w:szCs w:val="22"/>
          <w:vertAlign w:val="baseline"/>
        </w:rPr>
        <w:t xml:space="preserve"> 月出库数量：指按照乙方库房出库数量（包含退库数量），以月度签订的厂家确认表为准。</w:t>
      </w:r>
    </w:p>
    <w:p w14:paraId="6ADB8C27">
      <w:pPr>
        <w:spacing w:after="160" w:line="300"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③</w:t>
      </w:r>
      <w:r>
        <w:rPr>
          <w:rFonts w:ascii="微软雅黑" w:hAnsi="微软雅黑" w:eastAsia="微软雅黑" w:cs="微软雅黑"/>
          <w:kern w:val="0"/>
          <w:sz w:val="22"/>
          <w:szCs w:val="22"/>
          <w:vertAlign w:val="baseline"/>
        </w:rPr>
        <w:t xml:space="preserve"> 结算单价：指甲方按照与主机厂</w:t>
      </w:r>
      <w:r>
        <w:rPr>
          <w:rFonts w:hint="eastAsia" w:ascii="微软雅黑" w:hAnsi="微软雅黑" w:eastAsia="微软雅黑" w:cs="微软雅黑"/>
          <w:kern w:val="0"/>
          <w:sz w:val="22"/>
          <w:szCs w:val="22"/>
          <w:vertAlign w:val="baseline"/>
        </w:rPr>
        <w:t>V</w:t>
      </w:r>
      <w:r>
        <w:rPr>
          <w:rFonts w:ascii="微软雅黑" w:hAnsi="微软雅黑" w:eastAsia="微软雅黑" w:cs="微软雅黑"/>
          <w:kern w:val="0"/>
          <w:sz w:val="22"/>
          <w:szCs w:val="22"/>
          <w:vertAlign w:val="baseline"/>
        </w:rPr>
        <w:t>MI</w:t>
      </w:r>
      <w:r>
        <w:rPr>
          <w:rFonts w:hint="eastAsia" w:ascii="微软雅黑" w:hAnsi="微软雅黑" w:eastAsia="微软雅黑" w:cs="微软雅黑"/>
          <w:kern w:val="0"/>
          <w:sz w:val="22"/>
          <w:szCs w:val="22"/>
          <w:vertAlign w:val="baseline"/>
        </w:rPr>
        <w:t>物流商</w:t>
      </w:r>
      <w:r>
        <w:rPr>
          <w:rFonts w:ascii="微软雅黑" w:hAnsi="微软雅黑" w:eastAsia="微软雅黑" w:cs="微软雅黑"/>
          <w:kern w:val="0"/>
          <w:sz w:val="22"/>
          <w:szCs w:val="22"/>
          <w:vertAlign w:val="baseline"/>
        </w:rPr>
        <w:t>年初签订的</w:t>
      </w:r>
      <w:r>
        <w:rPr>
          <w:rFonts w:hint="eastAsia" w:ascii="微软雅黑" w:hAnsi="微软雅黑" w:eastAsia="微软雅黑" w:cs="微软雅黑"/>
          <w:kern w:val="0"/>
          <w:sz w:val="22"/>
          <w:szCs w:val="22"/>
          <w:vertAlign w:val="baseline"/>
        </w:rPr>
        <w:t>合同价格为依据</w:t>
      </w:r>
      <w:r>
        <w:rPr>
          <w:rFonts w:ascii="微软雅黑" w:hAnsi="微软雅黑" w:eastAsia="微软雅黑" w:cs="微软雅黑"/>
          <w:kern w:val="0"/>
          <w:sz w:val="22"/>
          <w:szCs w:val="22"/>
          <w:vertAlign w:val="baseline"/>
        </w:rPr>
        <w:t>。若出现没有价格的零部件，由乙方参照同类产品价格确定。</w:t>
      </w:r>
    </w:p>
    <w:p w14:paraId="039CA2D7">
      <w:pPr>
        <w:spacing w:after="160" w:line="300" w:lineRule="auto"/>
        <w:ind w:firstLine="440" w:firstLineChars="200"/>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详见附件2</w:t>
      </w:r>
      <w:r>
        <w:rPr>
          <w:rFonts w:ascii="微软雅黑" w:hAnsi="微软雅黑" w:eastAsia="微软雅黑" w:cs="微软雅黑"/>
          <w:kern w:val="0"/>
          <w:sz w:val="22"/>
          <w:szCs w:val="22"/>
          <w:vertAlign w:val="baseline"/>
        </w:rPr>
        <w:t>收费标准</w:t>
      </w:r>
    </w:p>
    <w:p w14:paraId="2B1FD086">
      <w:pPr>
        <w:spacing w:after="160" w:line="278" w:lineRule="auto"/>
        <w:jc w:val="left"/>
        <w:rPr>
          <w:rFonts w:hint="eastAsia" w:ascii="微软雅黑" w:hAnsi="微软雅黑" w:eastAsia="微软雅黑" w:cs="微软雅黑"/>
          <w:kern w:val="0"/>
          <w:sz w:val="22"/>
          <w:szCs w:val="22"/>
          <w:vertAlign w:val="baseline"/>
        </w:rPr>
      </w:pPr>
      <w:r>
        <w:rPr>
          <w:rFonts w:ascii="微软雅黑" w:hAnsi="微软雅黑" w:eastAsia="微软雅黑" w:cs="微软雅黑"/>
          <w:kern w:val="0"/>
          <w:sz w:val="22"/>
          <w:szCs w:val="22"/>
          <w:vertAlign w:val="baseline"/>
        </w:rPr>
        <w:t>2</w:t>
      </w:r>
      <w:r>
        <w:rPr>
          <w:rFonts w:hint="eastAsia" w:ascii="微软雅黑" w:hAnsi="微软雅黑" w:eastAsia="微软雅黑" w:cs="微软雅黑"/>
          <w:kern w:val="0"/>
          <w:sz w:val="22"/>
          <w:szCs w:val="22"/>
          <w:vertAlign w:val="baseline"/>
        </w:rPr>
        <w:t>.</w:t>
      </w:r>
      <w:r>
        <w:rPr>
          <w:rFonts w:ascii="微软雅黑" w:hAnsi="微软雅黑" w:eastAsia="微软雅黑" w:cs="微软雅黑"/>
          <w:kern w:val="0"/>
          <w:sz w:val="22"/>
          <w:szCs w:val="22"/>
          <w:vertAlign w:val="baseline"/>
        </w:rPr>
        <w:t>付款周期及付款时间</w:t>
      </w:r>
    </w:p>
    <w:p w14:paraId="7E8F63EA">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w:t>
      </w:r>
      <w:r>
        <w:rPr>
          <w:rFonts w:ascii="微软雅黑" w:hAnsi="微软雅黑" w:eastAsia="微软雅黑" w:cs="微软雅黑"/>
          <w:kern w:val="0"/>
          <w:sz w:val="22"/>
          <w:szCs w:val="22"/>
          <w:vertAlign w:val="baseline"/>
        </w:rPr>
        <w:t>1</w:t>
      </w:r>
      <w:r>
        <w:rPr>
          <w:rFonts w:hint="eastAsia" w:ascii="微软雅黑" w:hAnsi="微软雅黑" w:eastAsia="微软雅黑" w:cs="微软雅黑"/>
          <w:kern w:val="0"/>
          <w:sz w:val="22"/>
          <w:szCs w:val="22"/>
          <w:vertAlign w:val="baseline"/>
        </w:rPr>
        <w:t>）</w:t>
      </w:r>
      <w:r>
        <w:rPr>
          <w:rFonts w:ascii="微软雅黑" w:hAnsi="微软雅黑" w:eastAsia="微软雅黑" w:cs="微软雅黑"/>
          <w:kern w:val="0"/>
          <w:sz w:val="22"/>
          <w:szCs w:val="22"/>
          <w:vertAlign w:val="baseline"/>
        </w:rPr>
        <w:t>面积收费等其他定值收费部分：在签订后30天内乙方向甲方开具全年定值业务发票，同时甲方向乙方支付服务费。</w:t>
      </w:r>
      <w:r>
        <w:rPr>
          <w:rFonts w:hint="eastAsia" w:ascii="微软雅黑" w:hAnsi="微软雅黑" w:eastAsia="微软雅黑" w:cs="微软雅黑"/>
          <w:kern w:val="0"/>
          <w:sz w:val="22"/>
          <w:szCs w:val="22"/>
          <w:vertAlign w:val="baseline"/>
        </w:rPr>
        <w:t>如仓储面积实际增加，每月对账额外进行支付仓储费用。</w:t>
      </w:r>
    </w:p>
    <w:p w14:paraId="5DF913E6">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（2）</w:t>
      </w:r>
      <w:r>
        <w:rPr>
          <w:rFonts w:ascii="微软雅黑" w:hAnsi="微软雅黑" w:eastAsia="微软雅黑" w:cs="微软雅黑"/>
          <w:kern w:val="0"/>
          <w:sz w:val="22"/>
          <w:szCs w:val="22"/>
          <w:vertAlign w:val="baseline"/>
        </w:rPr>
        <w:t>计件、价值等不定值收费部分：月度确认，月度支付。乙方在次月10日前，将上月应收取的物流</w:t>
      </w:r>
      <w:r>
        <w:rPr>
          <w:rFonts w:hint="eastAsia" w:ascii="微软雅黑" w:hAnsi="微软雅黑" w:eastAsia="微软雅黑" w:cs="微软雅黑"/>
          <w:kern w:val="0"/>
          <w:sz w:val="22"/>
          <w:szCs w:val="22"/>
          <w:vertAlign w:val="baseline"/>
        </w:rPr>
        <w:t>服务</w:t>
      </w:r>
      <w:r>
        <w:rPr>
          <w:rFonts w:ascii="微软雅黑" w:hAnsi="微软雅黑" w:eastAsia="微软雅黑" w:cs="微软雅黑"/>
          <w:kern w:val="0"/>
          <w:sz w:val="22"/>
          <w:szCs w:val="22"/>
          <w:vertAlign w:val="baseline"/>
        </w:rPr>
        <w:t>费用明细一式两份提报至甲方确认，甲方确认后须将加盖财务章的物流费用明细表原件寄送至乙方；甲乙双方各执一份，如有问题甲方须在</w:t>
      </w:r>
      <w:r>
        <w:rPr>
          <w:rFonts w:hint="eastAsia" w:ascii="微软雅黑" w:hAnsi="微软雅黑" w:eastAsia="微软雅黑" w:cs="微软雅黑"/>
          <w:kern w:val="0"/>
          <w:sz w:val="22"/>
          <w:szCs w:val="22"/>
          <w:vertAlign w:val="baseline"/>
        </w:rPr>
        <w:t>7日</w:t>
      </w:r>
      <w:r>
        <w:rPr>
          <w:rFonts w:ascii="微软雅黑" w:hAnsi="微软雅黑" w:eastAsia="微软雅黑" w:cs="微软雅黑"/>
          <w:kern w:val="0"/>
          <w:sz w:val="22"/>
          <w:szCs w:val="22"/>
          <w:vertAlign w:val="baseline"/>
        </w:rPr>
        <w:t>内反馈，如未反馈，则按视同同意乙方</w:t>
      </w:r>
      <w:r>
        <w:rPr>
          <w:rFonts w:hint="eastAsia" w:ascii="微软雅黑" w:hAnsi="微软雅黑" w:eastAsia="微软雅黑" w:cs="微软雅黑"/>
          <w:kern w:val="0"/>
          <w:sz w:val="22"/>
          <w:szCs w:val="22"/>
          <w:vertAlign w:val="baseline"/>
        </w:rPr>
        <w:t>提供的账单</w:t>
      </w:r>
      <w:r>
        <w:rPr>
          <w:rFonts w:ascii="微软雅黑" w:hAnsi="微软雅黑" w:eastAsia="微软雅黑" w:cs="微软雅黑"/>
          <w:kern w:val="0"/>
          <w:sz w:val="22"/>
          <w:szCs w:val="22"/>
          <w:vertAlign w:val="baseline"/>
        </w:rPr>
        <w:t>。乙方按自然月度收取物流服务费。每月</w:t>
      </w:r>
      <w:r>
        <w:rPr>
          <w:rFonts w:hint="eastAsia" w:ascii="微软雅黑" w:hAnsi="微软雅黑" w:eastAsia="微软雅黑" w:cs="微软雅黑"/>
          <w:kern w:val="0"/>
          <w:sz w:val="22"/>
          <w:szCs w:val="22"/>
          <w:vertAlign w:val="baseline"/>
        </w:rPr>
        <w:t>末25日前</w:t>
      </w:r>
      <w:r>
        <w:rPr>
          <w:rFonts w:ascii="微软雅黑" w:hAnsi="微软雅黑" w:eastAsia="微软雅黑" w:cs="微软雅黑"/>
          <w:kern w:val="0"/>
          <w:sz w:val="22"/>
          <w:szCs w:val="22"/>
          <w:vertAlign w:val="baseline"/>
        </w:rPr>
        <w:t>，甲方根据双方确认的费用金额，向乙方支付上一月度服务费。</w:t>
      </w:r>
    </w:p>
    <w:p w14:paraId="12EB046F">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w:t>
      </w:r>
      <w:r>
        <w:rPr>
          <w:rFonts w:ascii="微软雅黑" w:hAnsi="微软雅黑" w:eastAsia="微软雅黑" w:cs="微软雅黑"/>
          <w:kern w:val="0"/>
          <w:sz w:val="22"/>
          <w:szCs w:val="22"/>
          <w:vertAlign w:val="baseline"/>
        </w:rPr>
        <w:t>3</w:t>
      </w:r>
      <w:r>
        <w:rPr>
          <w:rFonts w:hint="eastAsia" w:ascii="微软雅黑" w:hAnsi="微软雅黑" w:eastAsia="微软雅黑" w:cs="微软雅黑"/>
          <w:kern w:val="0"/>
          <w:sz w:val="22"/>
          <w:szCs w:val="22"/>
          <w:vertAlign w:val="baseline"/>
        </w:rPr>
        <w:t>）</w:t>
      </w:r>
      <w:r>
        <w:rPr>
          <w:rFonts w:ascii="微软雅黑" w:hAnsi="微软雅黑" w:eastAsia="微软雅黑" w:cs="微软雅黑"/>
          <w:kern w:val="0"/>
          <w:sz w:val="22"/>
          <w:szCs w:val="22"/>
          <w:vertAlign w:val="baseline"/>
        </w:rPr>
        <w:t>若甲方未按照以上期限向乙方支付服务费，甲方应向乙方支付应付金额3‰/天的滞纳金。超过30天仍未支付的，乙方有权停止一切服务及处置甲方物资，由此造成的全部损失由甲方承担。</w:t>
      </w:r>
    </w:p>
    <w:p w14:paraId="5D15E167">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3.甲乙方银行账户信息</w:t>
      </w:r>
    </w:p>
    <w:p w14:paraId="2B750669">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highlight w:val="yellow"/>
          <w:vertAlign w:val="baseline"/>
        </w:rPr>
        <w:t>（1）甲方公司开票信息：</w:t>
      </w:r>
    </w:p>
    <w:p w14:paraId="4383A364">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公司名称：</w:t>
      </w:r>
      <w:r>
        <w:rPr>
          <w:rFonts w:ascii="微软雅黑" w:hAnsi="微软雅黑" w:eastAsia="微软雅黑" w:cs="微软雅黑"/>
          <w:kern w:val="0"/>
          <w:sz w:val="22"/>
          <w:szCs w:val="22"/>
          <w:vertAlign w:val="baseline"/>
        </w:rPr>
        <w:t xml:space="preserve"> </w:t>
      </w:r>
      <w:r>
        <w:rPr>
          <w:rFonts w:hint="eastAsia" w:ascii="微软雅黑" w:hAnsi="微软雅黑" w:eastAsia="微软雅黑" w:cs="微软雅黑"/>
          <w:kern w:val="0"/>
          <w:sz w:val="22"/>
          <w:szCs w:val="22"/>
          <w:vertAlign w:val="baseline"/>
        </w:rPr>
        <w:t xml:space="preserve"> </w:t>
      </w:r>
    </w:p>
    <w:p w14:paraId="2C20047A">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 xml:space="preserve">纳税人识别号： </w:t>
      </w:r>
    </w:p>
    <w:p w14:paraId="63588B4B">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地址：</w:t>
      </w:r>
      <w:r>
        <w:rPr>
          <w:rFonts w:hint="eastAsia" w:ascii="宋体" w:hAnsi="宋体" w:cs="宋体"/>
          <w:sz w:val="24"/>
          <w:szCs w:val="24"/>
          <w:vertAlign w:val="baseline"/>
        </w:rPr>
        <w:t xml:space="preserve"> </w:t>
      </w:r>
    </w:p>
    <w:p w14:paraId="56E4A751">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 xml:space="preserve">电话： </w:t>
      </w:r>
    </w:p>
    <w:p w14:paraId="1CF3BDEC">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 xml:space="preserve">开户行： </w:t>
      </w:r>
    </w:p>
    <w:p w14:paraId="4DC9C500">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 xml:space="preserve">账号： </w:t>
      </w:r>
    </w:p>
    <w:p w14:paraId="509768AA">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（2）乙方公司银行信息：</w:t>
      </w:r>
    </w:p>
    <w:p w14:paraId="5B972F87">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公司名称：中都数科供应链管理有限公司山东商用车分公司</w:t>
      </w:r>
    </w:p>
    <w:p w14:paraId="52072BDA">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开户行名称：中国建设银行股份有限公司诸城支行</w:t>
      </w:r>
    </w:p>
    <w:p w14:paraId="782A33EB">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账号：</w:t>
      </w:r>
      <w:r>
        <w:rPr>
          <w:rFonts w:ascii="微软雅黑" w:hAnsi="微软雅黑" w:eastAsia="微软雅黑" w:cs="微软雅黑"/>
          <w:kern w:val="0"/>
          <w:sz w:val="22"/>
          <w:szCs w:val="22"/>
          <w:vertAlign w:val="baseline"/>
        </w:rPr>
        <w:t>37050167690800004816</w:t>
      </w:r>
    </w:p>
    <w:p w14:paraId="0616A387">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联行号：</w:t>
      </w:r>
      <w:r>
        <w:rPr>
          <w:rFonts w:ascii="微软雅黑" w:hAnsi="微软雅黑" w:eastAsia="微软雅黑" w:cs="微软雅黑"/>
          <w:kern w:val="0"/>
          <w:sz w:val="22"/>
          <w:szCs w:val="22"/>
          <w:vertAlign w:val="baseline"/>
        </w:rPr>
        <w:t>105458900010</w:t>
      </w:r>
    </w:p>
    <w:p w14:paraId="2D8C2DEA">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4.运输价格因税改、油价上涨等原因以及遇到国家政策及法规调整，经甲乙双方协商后再行调整。</w:t>
      </w:r>
    </w:p>
    <w:p w14:paraId="75CA2280">
      <w:pPr>
        <w:pStyle w:val="15"/>
        <w:spacing w:before="0" w:beforeAutospacing="0" w:after="0" w:afterAutospacing="0" w:line="360" w:lineRule="auto"/>
        <w:jc w:val="both"/>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第九条：双方责任</w:t>
      </w:r>
    </w:p>
    <w:p w14:paraId="669A870D">
      <w:pPr>
        <w:numPr>
          <w:ilvl w:val="0"/>
          <w:numId w:val="9"/>
        </w:num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甲方的责任</w:t>
      </w:r>
    </w:p>
    <w:p w14:paraId="5D214FDF">
      <w:pPr>
        <w:numPr>
          <w:ilvl w:val="0"/>
          <w:numId w:val="10"/>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保证零部件产品质量符合主机厂的质量要求，出现质量问题（仓储、保管、配送不当造成的问题除外），由甲方承担全部责任；</w:t>
      </w:r>
    </w:p>
    <w:p w14:paraId="620214FF">
      <w:pPr>
        <w:numPr>
          <w:ilvl w:val="0"/>
          <w:numId w:val="10"/>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承担从甲方发货至乙方仓库前可能产生的货物质量及数量等方面的全部责任；</w:t>
      </w:r>
    </w:p>
    <w:p w14:paraId="04EC6590">
      <w:pPr>
        <w:numPr>
          <w:ilvl w:val="0"/>
          <w:numId w:val="10"/>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甲方应指定专人负责与乙方对账、付款及协调工作，甲方更换人员应及时书面通知乙方；甲方代表进入乙方仓库应持甲方单位授权书，授权书应注明该代表的工作权限，明确是否有自提货品出库的权利；</w:t>
      </w:r>
    </w:p>
    <w:p w14:paraId="7C010081">
      <w:pPr>
        <w:numPr>
          <w:ilvl w:val="0"/>
          <w:numId w:val="10"/>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甲方如有新状态的零部件或非合同规定的货物进入乙方仓库，必须提前以书面形式通知乙方，并确认乙方收到该通知后方可发货，并标有明显的区分标识；</w:t>
      </w:r>
    </w:p>
    <w:p w14:paraId="4D7D41BC">
      <w:pPr>
        <w:numPr>
          <w:ilvl w:val="0"/>
          <w:numId w:val="10"/>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甲方人员到乙方办理业务时，必须着装整齐规范，遵守乙方各项管理规章制度。严禁携带易燃、易爆等化学物品进入乙方公司，严禁在吸烟点以外的任何区域使用明火、吸烟。如有违反，将依据乙方相关的管理条例进行处理，造成经济损失的将依法追究当事人（和企业）相关责任；</w:t>
      </w:r>
    </w:p>
    <w:p w14:paraId="594FA04A">
      <w:pPr>
        <w:numPr>
          <w:ilvl w:val="0"/>
          <w:numId w:val="10"/>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甲方不得在合同期内委托乙方之外的其它物流公司或业务方执行合同相关业务。</w:t>
      </w:r>
    </w:p>
    <w:p w14:paraId="5EC50C4D">
      <w:pPr>
        <w:numPr>
          <w:ilvl w:val="0"/>
          <w:numId w:val="10"/>
        </w:num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因甲方零部件缺货或不合格导致乙方不能及时送货，影响福田汽车集团生产，造成考核或索赔的，由甲方承担全部责任。</w:t>
      </w:r>
    </w:p>
    <w:p w14:paraId="4875C282">
      <w:pPr>
        <w:numPr>
          <w:ilvl w:val="0"/>
          <w:numId w:val="10"/>
        </w:num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甲方未能按照采购计划等要求及时将物资送至乙方仓库，因配送不及时造成的考核或索赔，由甲方承担全部责任。</w:t>
      </w:r>
    </w:p>
    <w:p w14:paraId="68B3DB94">
      <w:pPr>
        <w:numPr>
          <w:ilvl w:val="0"/>
          <w:numId w:val="10"/>
        </w:num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甲方存入乙方库内物资的内外包装必须符合福田汽车集团的包装要求，特别是外包装规定必须标注的零部件图号、名称、数量、存放方向、存放层数等，保证包装内物资与包装标明一致，同时外包装必须完好无损，若有损坏的，乙方有权拒收，由此引起的一切后果（如：延误配送等）全部由甲方承担。如有易燃易爆，有毒危险品，应在包装上注明，否则出现损失或人身伤亡由甲方负责。</w:t>
      </w:r>
    </w:p>
    <w:p w14:paraId="56FB9B40">
      <w:pPr>
        <w:numPr>
          <w:ilvl w:val="0"/>
          <w:numId w:val="9"/>
        </w:num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乙方的责任</w:t>
      </w:r>
    </w:p>
    <w:p w14:paraId="0D7FC1F7">
      <w:pPr>
        <w:numPr>
          <w:ilvl w:val="0"/>
          <w:numId w:val="11"/>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在正常的收货、保管、配送期间，甲方需按照主机厂要求，将外包装标识注明产品的生产批次，乙方若未按合同规定的储存条件和保管要求保管货物或未按照货物先进先出原则发货等原因，造成货物丢失、变质、生锈、损坏的，乙方承担赔偿责任，赔偿额按照甲方销售给主机厂的不含税价格计算；</w:t>
      </w:r>
    </w:p>
    <w:p w14:paraId="7940E0CA">
      <w:pPr>
        <w:numPr>
          <w:ilvl w:val="0"/>
          <w:numId w:val="11"/>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针对非乙方原因造成的货物质量或数量损失，乙方应及时通知甲方确认，并根据情况协助甲方解决；</w:t>
      </w:r>
    </w:p>
    <w:p w14:paraId="48FCB133">
      <w:pPr>
        <w:numPr>
          <w:ilvl w:val="0"/>
          <w:numId w:val="11"/>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对于危险物品和易腐物品等未按国家和主机厂规定的要求操作、储存，造成毁损的，乙方应承担赔偿责任；</w:t>
      </w:r>
    </w:p>
    <w:p w14:paraId="2126C945">
      <w:pPr>
        <w:numPr>
          <w:ilvl w:val="0"/>
          <w:numId w:val="11"/>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乙方保证按照到货批次，遵照货物“先进先出”原则准时保质保量的将货物送达主机厂缓冲库；</w:t>
      </w:r>
    </w:p>
    <w:p w14:paraId="68042A70">
      <w:pPr>
        <w:numPr>
          <w:ilvl w:val="0"/>
          <w:numId w:val="11"/>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乙方有责任配合甲方对其产品进行检查、盘点工作；乙方应及时将供货过程中发生的问题和相关信息反馈给甲方；</w:t>
      </w:r>
    </w:p>
    <w:p w14:paraId="02DD0ABE">
      <w:pPr>
        <w:numPr>
          <w:ilvl w:val="0"/>
          <w:numId w:val="11"/>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因甲方逾期付款的情形，乙方有权留置甲方的货物。</w:t>
      </w:r>
    </w:p>
    <w:p w14:paraId="74F1DEC1">
      <w:pPr>
        <w:pStyle w:val="15"/>
        <w:spacing w:before="0" w:beforeAutospacing="0" w:after="0" w:afterAutospacing="0" w:line="360" w:lineRule="auto"/>
        <w:jc w:val="both"/>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第十条：不可抗力</w:t>
      </w:r>
    </w:p>
    <w:p w14:paraId="7DFB9A1B">
      <w:pPr>
        <w:pStyle w:val="15"/>
        <w:spacing w:before="0" w:beforeAutospacing="0" w:after="0" w:afterAutospacing="0" w:line="36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由于不可抗力，致使直接影响合同的履行或者不能按约定的条件履行时，遇有不可抗力事故的一方，应立即将事故情况通知对方，并应在15天内，提供事故详情及合同不能履行或者部分不能履行或者需要延期履行的理由的有效证明文件，此项证明文件应由事故发生地区的公证机构出具。按照事故对履行合同的影响程度，由双方协商是否解除合同，或者部分免除履行合同的责任，或者延期履行合同。</w:t>
      </w:r>
    </w:p>
    <w:p w14:paraId="385408A7">
      <w:pPr>
        <w:pStyle w:val="15"/>
        <w:spacing w:before="0" w:beforeAutospacing="0" w:after="0" w:afterAutospacing="0" w:line="360" w:lineRule="auto"/>
        <w:jc w:val="both"/>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第十一条 争议的解决方式</w:t>
      </w:r>
    </w:p>
    <w:p w14:paraId="0ADCB87A">
      <w:pPr>
        <w:pStyle w:val="15"/>
        <w:spacing w:before="0" w:beforeAutospacing="0" w:after="0" w:afterAutospacing="0" w:line="36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因本合同的解释或执行所引发的任何争议，双方应友好协商解决；协商不成的，向乙方住所地有管辖权的人民法院起诉。</w:t>
      </w:r>
    </w:p>
    <w:p w14:paraId="509DD093">
      <w:pPr>
        <w:pStyle w:val="15"/>
        <w:spacing w:before="0" w:beforeAutospacing="0" w:after="0" w:afterAutospacing="0" w:line="36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任何因违约方违约的行为，其应承担的赔偿责任范围将包括但不限于对方的损失、赔偿金、违约金等费用；违约方还应承担律师费、诉讼费、仲裁费、公证认证费、保全费、保全担保费、交通差旅费等一切为维权而支出的合理费用。</w:t>
      </w:r>
    </w:p>
    <w:p w14:paraId="6AAB3548">
      <w:pPr>
        <w:spacing w:line="360" w:lineRule="auto"/>
        <w:jc w:val="left"/>
        <w:rPr>
          <w:rFonts w:hint="eastAsia" w:ascii="微软雅黑" w:hAnsi="微软雅黑" w:eastAsia="微软雅黑" w:cs="微软雅黑"/>
          <w:b/>
          <w:bCs/>
          <w:sz w:val="22"/>
          <w:szCs w:val="22"/>
          <w:vertAlign w:val="baseline"/>
        </w:rPr>
      </w:pPr>
      <w:r>
        <w:rPr>
          <w:rFonts w:hint="eastAsia" w:ascii="微软雅黑" w:hAnsi="微软雅黑" w:eastAsia="微软雅黑" w:cs="微软雅黑"/>
          <w:b/>
          <w:bCs/>
          <w:sz w:val="22"/>
          <w:szCs w:val="22"/>
          <w:vertAlign w:val="baseline"/>
        </w:rPr>
        <w:t>第十二条 通知和送达</w:t>
      </w:r>
    </w:p>
    <w:p w14:paraId="4527EEA9">
      <w:pPr>
        <w:numPr>
          <w:ilvl w:val="0"/>
          <w:numId w:val="12"/>
        </w:numPr>
        <w:spacing w:line="360" w:lineRule="auto"/>
        <w:ind w:left="0" w:firstLine="0"/>
        <w:jc w:val="left"/>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甲乙双方均确认下列邮寄地址、收件人、联系电话、电子邮箱等信息（以下统称“送达地址”）为双方、人民法院（或仲裁机构）发送各类纸质或电子数据通知、信函、法律文书（以下统称“文书”）的送达地址：</w:t>
      </w:r>
    </w:p>
    <w:p w14:paraId="27FBABA1">
      <w:pPr>
        <w:spacing w:line="360"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sz w:val="22"/>
          <w:szCs w:val="22"/>
          <w:highlight w:val="yellow"/>
          <w:vertAlign w:val="baseline"/>
        </w:rPr>
        <w:t xml:space="preserve">甲方邮寄地址： </w:t>
      </w:r>
      <w:r>
        <w:rPr>
          <w:rFonts w:ascii="宋体" w:hAnsi="宋体" w:cs="宋体"/>
          <w:sz w:val="24"/>
          <w:szCs w:val="24"/>
        </w:rPr>
        <w:t>:</w:t>
      </w:r>
      <w:r>
        <w:rPr>
          <w:rFonts w:hint="eastAsia" w:ascii="微软雅黑" w:hAnsi="微软雅黑" w:eastAsia="微软雅黑" w:cs="微软雅黑"/>
          <w:kern w:val="0"/>
          <w:sz w:val="22"/>
          <w:szCs w:val="22"/>
          <w:vertAlign w:val="baseline"/>
        </w:rPr>
        <w:t xml:space="preserve">  </w:t>
      </w:r>
    </w:p>
    <w:p w14:paraId="7CF3F7FB">
      <w:pPr>
        <w:spacing w:line="360"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sz w:val="22"/>
          <w:szCs w:val="22"/>
          <w:highlight w:val="yellow"/>
          <w:vertAlign w:val="baseline"/>
        </w:rPr>
        <w:t xml:space="preserve">收件人：  </w:t>
      </w:r>
      <w:r>
        <w:rPr>
          <w:rFonts w:hint="eastAsia" w:ascii="微软雅黑" w:hAnsi="微软雅黑" w:eastAsia="微软雅黑" w:cs="微软雅黑"/>
          <w:kern w:val="0"/>
          <w:sz w:val="22"/>
          <w:szCs w:val="22"/>
          <w:vertAlign w:val="baseline"/>
        </w:rPr>
        <w:t xml:space="preserve">  </w:t>
      </w:r>
    </w:p>
    <w:p w14:paraId="367D56BD">
      <w:pPr>
        <w:spacing w:line="360"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sz w:val="22"/>
          <w:szCs w:val="22"/>
          <w:highlight w:val="yellow"/>
          <w:vertAlign w:val="baseline"/>
        </w:rPr>
        <w:t>联系电话：</w:t>
      </w:r>
      <w:r>
        <w:rPr>
          <w:rFonts w:hint="eastAsia" w:ascii="微软雅黑" w:hAnsi="微软雅黑" w:eastAsia="微软雅黑" w:cs="微软雅黑"/>
          <w:kern w:val="0"/>
          <w:sz w:val="22"/>
          <w:szCs w:val="22"/>
          <w:vertAlign w:val="baseline"/>
        </w:rPr>
        <w:t xml:space="preserve">  </w:t>
      </w:r>
    </w:p>
    <w:p w14:paraId="01756290">
      <w:pPr>
        <w:spacing w:line="360" w:lineRule="auto"/>
        <w:jc w:val="left"/>
        <w:rPr>
          <w:rFonts w:hint="eastAsia" w:ascii="微软雅黑" w:hAnsi="微软雅黑" w:eastAsia="微软雅黑" w:cs="微软雅黑"/>
          <w:sz w:val="22"/>
          <w:szCs w:val="22"/>
          <w:highlight w:val="yellow"/>
          <w:vertAlign w:val="baseline"/>
        </w:rPr>
      </w:pPr>
      <w:r>
        <w:rPr>
          <w:rFonts w:hint="eastAsia" w:ascii="微软雅黑" w:hAnsi="微软雅黑" w:eastAsia="微软雅黑" w:cs="微软雅黑"/>
          <w:sz w:val="22"/>
          <w:szCs w:val="22"/>
          <w:highlight w:val="yellow"/>
          <w:vertAlign w:val="baseline"/>
        </w:rPr>
        <w:t xml:space="preserve">电子邮箱： </w:t>
      </w:r>
      <w:r>
        <w:rPr>
          <w:rFonts w:hint="eastAsia" w:ascii="微软雅黑" w:hAnsi="微软雅黑" w:eastAsia="微软雅黑" w:cs="微软雅黑"/>
          <w:sz w:val="22"/>
          <w:szCs w:val="22"/>
          <w:vertAlign w:val="baseline"/>
        </w:rPr>
        <w:t xml:space="preserve">  </w:t>
      </w:r>
    </w:p>
    <w:p w14:paraId="0F52CFE2">
      <w:pPr>
        <w:spacing w:line="360" w:lineRule="auto"/>
        <w:jc w:val="left"/>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 xml:space="preserve">乙方邮寄地址： </w:t>
      </w:r>
    </w:p>
    <w:p w14:paraId="76FDD2F6">
      <w:pPr>
        <w:spacing w:line="360" w:lineRule="auto"/>
        <w:jc w:val="left"/>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收件人：张洁</w:t>
      </w:r>
    </w:p>
    <w:p w14:paraId="0293261D">
      <w:pPr>
        <w:spacing w:line="360" w:lineRule="auto"/>
        <w:jc w:val="left"/>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联系电话：1</w:t>
      </w:r>
      <w:r>
        <w:rPr>
          <w:rFonts w:ascii="微软雅黑" w:hAnsi="微软雅黑" w:eastAsia="微软雅黑" w:cs="微软雅黑"/>
          <w:sz w:val="22"/>
          <w:szCs w:val="22"/>
          <w:vertAlign w:val="baseline"/>
        </w:rPr>
        <w:t>8371402055</w:t>
      </w:r>
    </w:p>
    <w:p w14:paraId="6229D045">
      <w:pPr>
        <w:spacing w:line="360" w:lineRule="auto"/>
        <w:jc w:val="left"/>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电子邮箱：</w:t>
      </w:r>
      <w:r>
        <w:fldChar w:fldCharType="begin"/>
      </w:r>
      <w:r>
        <w:instrText xml:space="preserve"> HYPERLINK "mailto:zhangjie1@baiccl.com" </w:instrText>
      </w:r>
      <w:r>
        <w:fldChar w:fldCharType="separate"/>
      </w:r>
      <w:r>
        <w:rPr>
          <w:rStyle w:val="20"/>
          <w:rFonts w:hint="eastAsia" w:ascii="微软雅黑" w:hAnsi="微软雅黑" w:eastAsia="微软雅黑" w:cs="微软雅黑"/>
          <w:sz w:val="22"/>
          <w:szCs w:val="22"/>
          <w:vertAlign w:val="baseline"/>
        </w:rPr>
        <w:t>z</w:t>
      </w:r>
      <w:r>
        <w:rPr>
          <w:rStyle w:val="20"/>
          <w:rFonts w:ascii="微软雅黑" w:hAnsi="微软雅黑" w:eastAsia="微软雅黑" w:cs="微软雅黑"/>
          <w:sz w:val="22"/>
          <w:szCs w:val="22"/>
          <w:vertAlign w:val="baseline"/>
        </w:rPr>
        <w:t>hangjie1@baiccl.com</w:t>
      </w:r>
      <w:r>
        <w:rPr>
          <w:rStyle w:val="20"/>
          <w:rFonts w:ascii="微软雅黑" w:hAnsi="微软雅黑" w:eastAsia="微软雅黑" w:cs="微软雅黑"/>
          <w:sz w:val="22"/>
          <w:szCs w:val="22"/>
          <w:vertAlign w:val="baseline"/>
        </w:rPr>
        <w:fldChar w:fldCharType="end"/>
      </w:r>
      <w:r>
        <w:rPr>
          <w:rFonts w:ascii="微软雅黑" w:hAnsi="微软雅黑" w:eastAsia="微软雅黑" w:cs="微软雅黑"/>
          <w:sz w:val="22"/>
          <w:szCs w:val="22"/>
          <w:vertAlign w:val="baseline"/>
        </w:rPr>
        <w:t xml:space="preserve"> </w:t>
      </w:r>
    </w:p>
    <w:p w14:paraId="7927C793">
      <w:pPr>
        <w:numPr>
          <w:ilvl w:val="0"/>
          <w:numId w:val="12"/>
        </w:numPr>
        <w:spacing w:line="360" w:lineRule="auto"/>
        <w:ind w:left="0" w:firstLine="0"/>
        <w:jc w:val="left"/>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上述送达地址持续适用于合同履行期间、履行本合同发生争议进入民事诉讼程序（包括一审、二审、再审、执行程序和特别程序）或仲裁阶段后，人民法院或仲裁机构送达各类法律文书。</w:t>
      </w:r>
    </w:p>
    <w:p w14:paraId="06204173">
      <w:pPr>
        <w:numPr>
          <w:ilvl w:val="0"/>
          <w:numId w:val="12"/>
        </w:numPr>
        <w:spacing w:line="360" w:lineRule="auto"/>
        <w:ind w:left="0" w:firstLine="0"/>
        <w:jc w:val="left"/>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一方如果联系人、联系电话、邮箱、联系地址发生变更的，应当在15日内依本合同约定的方式书面通知对方；否则向本合同载明地址的送达仍为有效送达。</w:t>
      </w:r>
    </w:p>
    <w:p w14:paraId="1E7B93C0">
      <w:pPr>
        <w:numPr>
          <w:ilvl w:val="0"/>
          <w:numId w:val="12"/>
        </w:numPr>
        <w:spacing w:line="360" w:lineRule="auto"/>
        <w:ind w:left="0" w:firstLine="0"/>
        <w:jc w:val="left"/>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当面递交的，签收日为送达日；以电子邮件方式通知送达的，发出邮件的邮件发出之时为送达日；以邮寄方式送达的，邮件回执上记载的收件日或拒收日为送达日。</w:t>
      </w:r>
    </w:p>
    <w:p w14:paraId="60202C86">
      <w:pPr>
        <w:numPr>
          <w:ilvl w:val="0"/>
          <w:numId w:val="12"/>
        </w:numPr>
        <w:spacing w:line="360" w:lineRule="auto"/>
        <w:ind w:left="0" w:firstLine="0"/>
        <w:jc w:val="left"/>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双方均确认本合同载明联络方式为其有效通讯地址等，一方以及法院、仲裁机构以快递方式向相对方该地址发出书面函件及诉讼、仲裁文书的，自发出日（邮戳）次日起满5个自然日视为收到，拒绝签收的不影响送达效力。双方均对邮寄地址之有效性及真实性负责，如法院或仲裁机构按照该送达地址进行送达的，即使送达不成，亦具有推定送达的法律后果。送达不成情形，包括但不限于收件人</w:t>
      </w:r>
    </w:p>
    <w:p w14:paraId="0D9543DF">
      <w:pPr>
        <w:numPr>
          <w:ilvl w:val="0"/>
          <w:numId w:val="12"/>
        </w:numPr>
        <w:spacing w:line="360" w:lineRule="auto"/>
        <w:ind w:left="0" w:firstLine="0"/>
        <w:jc w:val="left"/>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身份不明、无人签收、地址不详、地址搬迁、长期未自取、电子数据被退回、拒收等。</w:t>
      </w:r>
    </w:p>
    <w:p w14:paraId="32598320">
      <w:pPr>
        <w:numPr>
          <w:ilvl w:val="0"/>
          <w:numId w:val="12"/>
        </w:numPr>
        <w:spacing w:line="360" w:lineRule="auto"/>
        <w:ind w:left="0" w:firstLine="0"/>
        <w:jc w:val="left"/>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任何与本合同有关的变更和补充，以及合同履行过程中的通知均须以书面形式进行，书面形式包括电子邮件、传真、纸面文件，电子邮件须以特定的双方各自企业邮箱地址发送和接收，传真须以特定的传真号码发送和接收，纸面文件须加盖企业印章或特定经授权人的签字。</w:t>
      </w:r>
    </w:p>
    <w:p w14:paraId="2F08368C">
      <w:pPr>
        <w:pStyle w:val="15"/>
        <w:spacing w:before="0" w:beforeAutospacing="0" w:after="0" w:afterAutospacing="0" w:line="360" w:lineRule="auto"/>
        <w:jc w:val="both"/>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第十三条 合作期限及其他</w:t>
      </w:r>
    </w:p>
    <w:p w14:paraId="69215D1E">
      <w:pPr>
        <w:numPr>
          <w:ilvl w:val="0"/>
          <w:numId w:val="13"/>
        </w:num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本合同自双方加盖公章或合同专用章之日起生效，壹式肆份，甲乙双方各执贰份，具有同等法律效力。</w:t>
      </w:r>
    </w:p>
    <w:p w14:paraId="3FFE33F2">
      <w:pPr>
        <w:numPr>
          <w:ilvl w:val="0"/>
          <w:numId w:val="13"/>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highlight w:val="yellow"/>
          <w:vertAlign w:val="baseline"/>
        </w:rPr>
        <w:t>合同期限自</w:t>
      </w:r>
      <w:r>
        <w:rPr>
          <w:rFonts w:hint="eastAsia" w:ascii="微软雅黑" w:hAnsi="微软雅黑" w:eastAsia="微软雅黑" w:cs="微软雅黑"/>
          <w:sz w:val="22"/>
          <w:szCs w:val="22"/>
          <w:highlight w:val="yellow"/>
          <w:u w:val="single"/>
          <w:vertAlign w:val="baseline"/>
        </w:rPr>
        <w:t xml:space="preserve">  年  月  日起 至   年 月  日止</w:t>
      </w:r>
      <w:r>
        <w:rPr>
          <w:rFonts w:hint="eastAsia" w:ascii="微软雅黑" w:hAnsi="微软雅黑" w:eastAsia="微软雅黑" w:cs="微软雅黑"/>
          <w:sz w:val="22"/>
          <w:szCs w:val="22"/>
          <w:highlight w:val="yellow"/>
          <w:vertAlign w:val="baseline"/>
        </w:rPr>
        <w:t>。</w:t>
      </w:r>
      <w:r>
        <w:rPr>
          <w:rFonts w:hint="eastAsia" w:ascii="微软雅黑" w:hAnsi="微软雅黑" w:eastAsia="微软雅黑" w:cs="微软雅黑"/>
          <w:sz w:val="22"/>
          <w:szCs w:val="22"/>
          <w:vertAlign w:val="baseline"/>
        </w:rPr>
        <w:t>鉴于甲方和乙方合作的长期性和稳定性，在合同期满30日前，合同任何一方没有提出终止本合同的要求,则合同自动顺延1年。</w:t>
      </w:r>
    </w:p>
    <w:p w14:paraId="161BA1E9">
      <w:pPr>
        <w:numPr>
          <w:ilvl w:val="0"/>
          <w:numId w:val="13"/>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本合同未尽事宜，经双方协商一致，可以以附件形式补充，与主合同具有同等法律效力。附件与本合同正文不一致的，以正文为准。</w:t>
      </w:r>
    </w:p>
    <w:p w14:paraId="3D1F16B3">
      <w:pPr>
        <w:pStyle w:val="17"/>
        <w:ind w:firstLine="220"/>
        <w:rPr>
          <w:rFonts w:hint="eastAsia" w:ascii="微软雅黑" w:hAnsi="微软雅黑" w:eastAsia="微软雅黑" w:cs="微软雅黑"/>
          <w:sz w:val="22"/>
          <w:szCs w:val="22"/>
        </w:rPr>
      </w:pPr>
    </w:p>
    <w:p w14:paraId="6CB6AD90">
      <w:pPr>
        <w:spacing w:line="360" w:lineRule="auto"/>
        <w:jc w:val="left"/>
        <w:rPr>
          <w:rFonts w:hint="eastAsia" w:ascii="微软雅黑" w:hAnsi="微软雅黑" w:eastAsia="微软雅黑" w:cs="微软雅黑"/>
          <w:b/>
          <w:bCs/>
          <w:sz w:val="22"/>
          <w:szCs w:val="22"/>
          <w:vertAlign w:val="baseline"/>
        </w:rPr>
      </w:pPr>
      <w:r>
        <w:rPr>
          <w:rFonts w:hint="eastAsia" w:ascii="微软雅黑" w:hAnsi="微软雅黑" w:eastAsia="微软雅黑" w:cs="微软雅黑"/>
          <w:b/>
          <w:bCs/>
          <w:sz w:val="22"/>
          <w:szCs w:val="22"/>
          <w:vertAlign w:val="baseline"/>
        </w:rPr>
        <w:t>（以下无正文）</w:t>
      </w:r>
    </w:p>
    <w:p w14:paraId="372D53AA">
      <w:pPr>
        <w:spacing w:line="360" w:lineRule="auto"/>
        <w:jc w:val="left"/>
        <w:rPr>
          <w:rFonts w:hint="eastAsia" w:ascii="微软雅黑" w:hAnsi="微软雅黑" w:eastAsia="微软雅黑" w:cs="微软雅黑"/>
          <w:b/>
          <w:bCs/>
          <w:sz w:val="22"/>
          <w:szCs w:val="22"/>
          <w:vertAlign w:val="baseline"/>
        </w:rPr>
      </w:pPr>
    </w:p>
    <w:p w14:paraId="60EF7F64">
      <w:pPr>
        <w:spacing w:line="360" w:lineRule="auto"/>
        <w:jc w:val="left"/>
        <w:rPr>
          <w:rFonts w:hint="eastAsia" w:ascii="微软雅黑" w:hAnsi="微软雅黑" w:eastAsia="微软雅黑" w:cs="微软雅黑"/>
          <w:b/>
          <w:bCs/>
          <w:sz w:val="22"/>
          <w:szCs w:val="22"/>
          <w:highlight w:val="yellow"/>
          <w:vertAlign w:val="baseline"/>
        </w:rPr>
      </w:pPr>
      <w:r>
        <w:rPr>
          <w:rFonts w:hint="eastAsia" w:ascii="微软雅黑" w:hAnsi="微软雅黑" w:eastAsia="微软雅黑" w:cs="微软雅黑"/>
          <w:b/>
          <w:bCs/>
          <w:sz w:val="22"/>
          <w:szCs w:val="22"/>
          <w:highlight w:val="yellow"/>
          <w:vertAlign w:val="baseline"/>
        </w:rPr>
        <w:t>甲方：</w:t>
      </w:r>
      <w:r>
        <w:rPr>
          <w:rFonts w:hint="eastAsia" w:ascii="微软雅黑" w:hAnsi="微软雅黑" w:eastAsia="微软雅黑" w:cs="微软雅黑"/>
          <w:b/>
          <w:bCs/>
          <w:sz w:val="22"/>
          <w:szCs w:val="22"/>
          <w:vertAlign w:val="baseline"/>
        </w:rPr>
        <w:t xml:space="preserve"> </w:t>
      </w:r>
      <w:r>
        <w:rPr>
          <w:rFonts w:hint="eastAsia" w:ascii="微软雅黑" w:hAnsi="微软雅黑" w:eastAsia="微软雅黑" w:cs="微软雅黑"/>
          <w:b/>
          <w:bCs/>
          <w:sz w:val="22"/>
          <w:szCs w:val="22"/>
          <w:highlight w:val="yellow"/>
          <w:vertAlign w:val="baseline"/>
        </w:rPr>
        <w:t xml:space="preserve">（盖章）     </w:t>
      </w:r>
    </w:p>
    <w:p w14:paraId="5EF708FA">
      <w:pPr>
        <w:spacing w:line="360" w:lineRule="auto"/>
        <w:jc w:val="left"/>
        <w:rPr>
          <w:rFonts w:hint="eastAsia" w:ascii="微软雅黑" w:hAnsi="微软雅黑" w:eastAsia="微软雅黑" w:cs="微软雅黑"/>
          <w:b/>
          <w:bCs/>
          <w:sz w:val="22"/>
          <w:szCs w:val="22"/>
          <w:highlight w:val="yellow"/>
          <w:vertAlign w:val="baseline"/>
        </w:rPr>
      </w:pPr>
      <w:r>
        <w:rPr>
          <w:rFonts w:hint="eastAsia" w:ascii="微软雅黑" w:hAnsi="微软雅黑" w:eastAsia="微软雅黑" w:cs="微软雅黑"/>
          <w:b/>
          <w:bCs/>
          <w:sz w:val="22"/>
          <w:szCs w:val="22"/>
          <w:highlight w:val="yellow"/>
          <w:vertAlign w:val="baseline"/>
        </w:rPr>
        <w:t xml:space="preserve">                         </w:t>
      </w:r>
    </w:p>
    <w:p w14:paraId="46203D01">
      <w:pPr>
        <w:spacing w:line="360" w:lineRule="auto"/>
        <w:jc w:val="left"/>
        <w:rPr>
          <w:rFonts w:hint="eastAsia" w:ascii="微软雅黑" w:hAnsi="微软雅黑" w:eastAsia="微软雅黑" w:cs="微软雅黑"/>
          <w:b/>
          <w:bCs/>
          <w:sz w:val="22"/>
          <w:szCs w:val="22"/>
          <w:highlight w:val="yellow"/>
          <w:vertAlign w:val="baseline"/>
        </w:rPr>
      </w:pPr>
      <w:r>
        <w:rPr>
          <w:rFonts w:hint="eastAsia" w:ascii="微软雅黑" w:hAnsi="微软雅黑" w:eastAsia="微软雅黑" w:cs="微软雅黑"/>
          <w:b/>
          <w:bCs/>
          <w:sz w:val="22"/>
          <w:szCs w:val="22"/>
          <w:highlight w:val="yellow"/>
          <w:vertAlign w:val="baseline"/>
        </w:rPr>
        <w:t>法定代表人/委托代理人（签名）:</w:t>
      </w:r>
    </w:p>
    <w:p w14:paraId="5DD13590">
      <w:pPr>
        <w:spacing w:line="360" w:lineRule="auto"/>
        <w:jc w:val="left"/>
        <w:rPr>
          <w:rFonts w:hint="eastAsia" w:ascii="微软雅黑" w:hAnsi="微软雅黑" w:eastAsia="微软雅黑" w:cs="微软雅黑"/>
          <w:b/>
          <w:bCs/>
          <w:sz w:val="22"/>
          <w:szCs w:val="22"/>
          <w:highlight w:val="yellow"/>
          <w:vertAlign w:val="baseline"/>
        </w:rPr>
      </w:pPr>
    </w:p>
    <w:p w14:paraId="3E00CC39">
      <w:pPr>
        <w:spacing w:line="360" w:lineRule="auto"/>
        <w:jc w:val="left"/>
        <w:rPr>
          <w:rFonts w:hint="eastAsia" w:ascii="微软雅黑" w:hAnsi="微软雅黑" w:eastAsia="微软雅黑" w:cs="微软雅黑"/>
          <w:b/>
          <w:bCs/>
          <w:sz w:val="22"/>
          <w:szCs w:val="22"/>
          <w:vertAlign w:val="baseline"/>
        </w:rPr>
      </w:pPr>
      <w:r>
        <w:rPr>
          <w:rFonts w:hint="eastAsia" w:ascii="微软雅黑" w:hAnsi="微软雅黑" w:eastAsia="微软雅黑" w:cs="微软雅黑"/>
          <w:b/>
          <w:bCs/>
          <w:sz w:val="22"/>
          <w:szCs w:val="22"/>
          <w:highlight w:val="yellow"/>
          <w:vertAlign w:val="baseline"/>
        </w:rPr>
        <w:t>日期：</w:t>
      </w:r>
    </w:p>
    <w:p w14:paraId="3FA78AA9">
      <w:pPr>
        <w:spacing w:line="360" w:lineRule="auto"/>
        <w:jc w:val="left"/>
        <w:rPr>
          <w:rFonts w:hint="eastAsia" w:ascii="微软雅黑" w:hAnsi="微软雅黑" w:eastAsia="微软雅黑" w:cs="微软雅黑"/>
          <w:b/>
          <w:bCs/>
          <w:sz w:val="22"/>
          <w:szCs w:val="22"/>
          <w:vertAlign w:val="baseline"/>
        </w:rPr>
      </w:pPr>
    </w:p>
    <w:p w14:paraId="197F5B13">
      <w:pPr>
        <w:spacing w:line="360" w:lineRule="auto"/>
        <w:jc w:val="left"/>
        <w:rPr>
          <w:rFonts w:hint="eastAsia" w:ascii="微软雅黑" w:hAnsi="微软雅黑" w:eastAsia="微软雅黑" w:cs="微软雅黑"/>
          <w:b/>
          <w:bCs/>
          <w:sz w:val="22"/>
          <w:szCs w:val="22"/>
          <w:vertAlign w:val="baseline"/>
        </w:rPr>
      </w:pPr>
      <w:r>
        <w:rPr>
          <w:rFonts w:hint="eastAsia" w:ascii="微软雅黑" w:hAnsi="微软雅黑" w:eastAsia="微软雅黑" w:cs="微软雅黑"/>
          <w:b/>
          <w:bCs/>
          <w:sz w:val="22"/>
          <w:szCs w:val="22"/>
          <w:vertAlign w:val="baseline"/>
        </w:rPr>
        <w:t>乙方：中都数科供应链管理有限公司山东商用车分公司 （盖章）</w:t>
      </w:r>
    </w:p>
    <w:p w14:paraId="45D5AE09">
      <w:pPr>
        <w:spacing w:line="360" w:lineRule="auto"/>
        <w:jc w:val="left"/>
        <w:rPr>
          <w:rFonts w:hint="eastAsia" w:ascii="微软雅黑" w:hAnsi="微软雅黑" w:eastAsia="微软雅黑" w:cs="微软雅黑"/>
          <w:b/>
          <w:bCs/>
          <w:sz w:val="22"/>
          <w:szCs w:val="22"/>
          <w:vertAlign w:val="baseline"/>
        </w:rPr>
      </w:pPr>
    </w:p>
    <w:p w14:paraId="11A1FD01">
      <w:pPr>
        <w:spacing w:line="360" w:lineRule="auto"/>
        <w:jc w:val="left"/>
        <w:rPr>
          <w:rFonts w:hint="eastAsia" w:ascii="微软雅黑" w:hAnsi="微软雅黑" w:eastAsia="微软雅黑" w:cs="微软雅黑"/>
          <w:b/>
          <w:bCs/>
          <w:sz w:val="22"/>
          <w:szCs w:val="22"/>
          <w:vertAlign w:val="baseline"/>
        </w:rPr>
      </w:pPr>
      <w:r>
        <w:rPr>
          <w:rFonts w:hint="eastAsia" w:ascii="微软雅黑" w:hAnsi="微软雅黑" w:eastAsia="微软雅黑" w:cs="微软雅黑"/>
          <w:b/>
          <w:bCs/>
          <w:sz w:val="22"/>
          <w:szCs w:val="22"/>
          <w:vertAlign w:val="baseline"/>
        </w:rPr>
        <w:t>法定代表人/委托代理人（签名）:</w:t>
      </w:r>
    </w:p>
    <w:p w14:paraId="0E73C145">
      <w:pPr>
        <w:spacing w:line="360" w:lineRule="auto"/>
        <w:jc w:val="left"/>
        <w:rPr>
          <w:rFonts w:hint="eastAsia" w:ascii="微软雅黑" w:hAnsi="微软雅黑" w:eastAsia="微软雅黑" w:cs="微软雅黑"/>
          <w:b/>
          <w:bCs/>
          <w:sz w:val="22"/>
          <w:szCs w:val="22"/>
          <w:vertAlign w:val="baseline"/>
        </w:rPr>
      </w:pPr>
    </w:p>
    <w:p w14:paraId="09CA267F">
      <w:pPr>
        <w:spacing w:line="360" w:lineRule="auto"/>
        <w:ind w:left="4950" w:hanging="4952" w:hangingChars="2250"/>
        <w:jc w:val="left"/>
        <w:rPr>
          <w:rFonts w:hint="eastAsia" w:ascii="微软雅黑" w:hAnsi="微软雅黑" w:eastAsia="微软雅黑" w:cs="微软雅黑"/>
          <w:b/>
          <w:bCs/>
          <w:kern w:val="0"/>
          <w:sz w:val="22"/>
          <w:szCs w:val="22"/>
          <w:vertAlign w:val="baseline"/>
        </w:rPr>
      </w:pPr>
      <w:r>
        <w:rPr>
          <w:rFonts w:hint="eastAsia" w:ascii="微软雅黑" w:hAnsi="微软雅黑" w:eastAsia="微软雅黑" w:cs="微软雅黑"/>
          <w:b/>
          <w:bCs/>
          <w:sz w:val="22"/>
          <w:szCs w:val="22"/>
          <w:vertAlign w:val="baseline"/>
        </w:rPr>
        <w:t xml:space="preserve">日期： </w:t>
      </w:r>
    </w:p>
    <w:p w14:paraId="4567212C">
      <w:pPr>
        <w:spacing w:line="360" w:lineRule="auto"/>
        <w:rPr>
          <w:rFonts w:hint="eastAsia" w:ascii="微软雅黑" w:hAnsi="微软雅黑" w:eastAsia="微软雅黑" w:cs="微软雅黑"/>
          <w:sz w:val="22"/>
          <w:szCs w:val="22"/>
          <w:vertAlign w:val="baseline"/>
        </w:rPr>
      </w:pPr>
    </w:p>
    <w:p w14:paraId="11926645">
      <w:pPr>
        <w:spacing w:line="360" w:lineRule="auto"/>
        <w:rPr>
          <w:rFonts w:hint="eastAsia" w:ascii="微软雅黑" w:hAnsi="微软雅黑" w:eastAsia="微软雅黑" w:cs="微软雅黑"/>
          <w:sz w:val="22"/>
          <w:szCs w:val="22"/>
          <w:vertAlign w:val="baseline"/>
        </w:rPr>
      </w:pPr>
    </w:p>
    <w:p w14:paraId="3CEF516E">
      <w:pPr>
        <w:spacing w:line="360" w:lineRule="auto"/>
        <w:rPr>
          <w:rFonts w:hint="eastAsia" w:ascii="微软雅黑" w:hAnsi="微软雅黑" w:eastAsia="微软雅黑" w:cs="微软雅黑"/>
          <w:sz w:val="22"/>
          <w:szCs w:val="22"/>
          <w:vertAlign w:val="baseline"/>
        </w:rPr>
        <w:sectPr>
          <w:headerReference r:id="rId3" w:type="default"/>
          <w:footerReference r:id="rId4" w:type="default"/>
          <w:pgSz w:w="11906" w:h="16838"/>
          <w:pgMar w:top="1440" w:right="1080" w:bottom="1440" w:left="1080" w:header="851" w:footer="992" w:gutter="0"/>
          <w:pgNumType w:start="1"/>
          <w:cols w:space="425" w:num="1"/>
          <w:docGrid w:type="lines" w:linePitch="312" w:charSpace="0"/>
        </w:sectPr>
      </w:pPr>
    </w:p>
    <w:p w14:paraId="151AC76F">
      <w:pPr>
        <w:spacing w:line="360" w:lineRule="auto"/>
        <w:jc w:val="left"/>
        <w:rPr>
          <w:rFonts w:hint="eastAsia" w:ascii="微软雅黑" w:hAnsi="微软雅黑" w:eastAsia="微软雅黑" w:cs="微软雅黑"/>
          <w:b/>
          <w:bCs/>
          <w:kern w:val="0"/>
          <w:sz w:val="22"/>
          <w:szCs w:val="22"/>
          <w:vertAlign w:val="baseline"/>
        </w:rPr>
      </w:pPr>
      <w:r>
        <w:rPr>
          <w:rFonts w:hint="eastAsia" w:ascii="微软雅黑" w:hAnsi="微软雅黑" w:eastAsia="微软雅黑" w:cs="微软雅黑"/>
          <w:b/>
          <w:bCs/>
          <w:kern w:val="0"/>
          <w:sz w:val="22"/>
          <w:szCs w:val="22"/>
          <w:vertAlign w:val="baseline"/>
        </w:rPr>
        <w:t>附件一：</w:t>
      </w:r>
    </w:p>
    <w:p w14:paraId="3F61B3AF">
      <w:pPr>
        <w:spacing w:line="360" w:lineRule="auto"/>
        <w:jc w:val="center"/>
        <w:rPr>
          <w:rFonts w:hint="eastAsia" w:ascii="微软雅黑" w:hAnsi="微软雅黑" w:eastAsia="微软雅黑" w:cs="微软雅黑"/>
          <w:b/>
          <w:bCs/>
          <w:kern w:val="0"/>
          <w:sz w:val="22"/>
          <w:szCs w:val="22"/>
          <w:vertAlign w:val="baseline"/>
        </w:rPr>
      </w:pPr>
      <w:r>
        <w:rPr>
          <w:rFonts w:hint="eastAsia" w:ascii="微软雅黑" w:hAnsi="微软雅黑" w:eastAsia="微软雅黑" w:cs="微软雅黑"/>
          <w:b/>
          <w:bCs/>
          <w:kern w:val="0"/>
          <w:sz w:val="22"/>
          <w:szCs w:val="22"/>
          <w:vertAlign w:val="baseline"/>
        </w:rPr>
        <w:t>零部件清单</w:t>
      </w:r>
    </w:p>
    <w:tbl>
      <w:tblPr>
        <w:tblStyle w:val="18"/>
        <w:tblW w:w="9215" w:type="dxa"/>
        <w:jc w:val="center"/>
        <w:tblLayout w:type="fixed"/>
        <w:tblCellMar>
          <w:top w:w="0" w:type="dxa"/>
          <w:left w:w="0" w:type="dxa"/>
          <w:bottom w:w="0" w:type="dxa"/>
          <w:right w:w="0" w:type="dxa"/>
        </w:tblCellMar>
      </w:tblPr>
      <w:tblGrid>
        <w:gridCol w:w="1277"/>
        <w:gridCol w:w="2977"/>
        <w:gridCol w:w="3685"/>
        <w:gridCol w:w="1276"/>
      </w:tblGrid>
      <w:tr w14:paraId="59D43B36">
        <w:tblPrEx>
          <w:tblCellMar>
            <w:top w:w="0" w:type="dxa"/>
            <w:left w:w="0" w:type="dxa"/>
            <w:bottom w:w="0" w:type="dxa"/>
            <w:right w:w="0" w:type="dxa"/>
          </w:tblCellMar>
        </w:tblPrEx>
        <w:trPr>
          <w:trHeight w:val="559" w:hRule="atLeast"/>
          <w:jc w:val="center"/>
        </w:trPr>
        <w:tc>
          <w:tcPr>
            <w:tcW w:w="1277" w:type="dxa"/>
            <w:tcBorders>
              <w:top w:val="single" w:color="auto" w:sz="4" w:space="0"/>
              <w:left w:val="single" w:color="auto" w:sz="4" w:space="0"/>
              <w:bottom w:val="single" w:color="auto" w:sz="4" w:space="0"/>
              <w:right w:val="single" w:color="auto" w:sz="4" w:space="0"/>
            </w:tcBorders>
            <w:vAlign w:val="center"/>
          </w:tcPr>
          <w:p w14:paraId="2237098E">
            <w:pPr>
              <w:widowControl/>
              <w:spacing w:line="360" w:lineRule="auto"/>
              <w:jc w:val="center"/>
              <w:rPr>
                <w:rFonts w:hint="eastAsia" w:ascii="微软雅黑" w:hAnsi="微软雅黑" w:eastAsia="微软雅黑" w:cs="微软雅黑"/>
                <w:b/>
                <w:kern w:val="0"/>
                <w:sz w:val="22"/>
                <w:szCs w:val="22"/>
                <w:vertAlign w:val="baseline"/>
              </w:rPr>
            </w:pPr>
            <w:r>
              <w:rPr>
                <w:rFonts w:ascii="微软雅黑" w:hAnsi="微软雅黑" w:eastAsia="微软雅黑" w:cs="微软雅黑"/>
                <w:b/>
                <w:kern w:val="0"/>
                <w:sz w:val="22"/>
                <w:szCs w:val="22"/>
                <w:vertAlign w:val="baseline"/>
              </w:rPr>
              <w:t>序号</w:t>
            </w:r>
          </w:p>
        </w:tc>
        <w:tc>
          <w:tcPr>
            <w:tcW w:w="2977" w:type="dxa"/>
            <w:tcBorders>
              <w:top w:val="single" w:color="auto" w:sz="4" w:space="0"/>
              <w:left w:val="single" w:color="auto" w:sz="4" w:space="0"/>
              <w:bottom w:val="single" w:color="auto" w:sz="4" w:space="0"/>
              <w:right w:val="single" w:color="auto" w:sz="4" w:space="0"/>
            </w:tcBorders>
            <w:vAlign w:val="center"/>
          </w:tcPr>
          <w:p w14:paraId="34766347">
            <w:pPr>
              <w:widowControl/>
              <w:spacing w:line="360" w:lineRule="auto"/>
              <w:jc w:val="center"/>
              <w:rPr>
                <w:rFonts w:hint="eastAsia" w:ascii="微软雅黑" w:hAnsi="微软雅黑" w:eastAsia="微软雅黑" w:cs="微软雅黑"/>
                <w:b/>
                <w:kern w:val="0"/>
                <w:sz w:val="22"/>
                <w:szCs w:val="22"/>
                <w:vertAlign w:val="baseline"/>
              </w:rPr>
            </w:pPr>
            <w:r>
              <w:rPr>
                <w:rFonts w:ascii="微软雅黑" w:hAnsi="微软雅黑" w:eastAsia="微软雅黑" w:cs="微软雅黑"/>
                <w:b/>
                <w:kern w:val="0"/>
                <w:sz w:val="22"/>
                <w:szCs w:val="22"/>
                <w:vertAlign w:val="baseline"/>
              </w:rPr>
              <w:t>零件号</w:t>
            </w:r>
          </w:p>
        </w:tc>
        <w:tc>
          <w:tcPr>
            <w:tcW w:w="3685" w:type="dxa"/>
            <w:tcBorders>
              <w:top w:val="single" w:color="auto" w:sz="4" w:space="0"/>
              <w:left w:val="nil"/>
              <w:bottom w:val="single" w:color="auto" w:sz="4" w:space="0"/>
              <w:right w:val="single" w:color="auto" w:sz="4" w:space="0"/>
            </w:tcBorders>
            <w:vAlign w:val="center"/>
          </w:tcPr>
          <w:p w14:paraId="3CCB7AB4">
            <w:pPr>
              <w:widowControl/>
              <w:spacing w:line="360" w:lineRule="auto"/>
              <w:jc w:val="center"/>
              <w:rPr>
                <w:rFonts w:hint="eastAsia" w:ascii="微软雅黑" w:hAnsi="微软雅黑" w:eastAsia="微软雅黑" w:cs="微软雅黑"/>
                <w:b/>
                <w:kern w:val="0"/>
                <w:sz w:val="22"/>
                <w:szCs w:val="22"/>
                <w:vertAlign w:val="baseline"/>
              </w:rPr>
            </w:pPr>
            <w:r>
              <w:rPr>
                <w:rFonts w:ascii="微软雅黑" w:hAnsi="微软雅黑" w:eastAsia="微软雅黑" w:cs="微软雅黑"/>
                <w:b/>
                <w:kern w:val="0"/>
                <w:sz w:val="22"/>
                <w:szCs w:val="22"/>
                <w:vertAlign w:val="baseline"/>
              </w:rPr>
              <w:t>零件名称</w:t>
            </w:r>
          </w:p>
        </w:tc>
        <w:tc>
          <w:tcPr>
            <w:tcW w:w="1276" w:type="dxa"/>
            <w:tcBorders>
              <w:top w:val="single" w:color="auto" w:sz="4" w:space="0"/>
              <w:left w:val="nil"/>
              <w:bottom w:val="single" w:color="auto" w:sz="4" w:space="0"/>
              <w:right w:val="single" w:color="auto" w:sz="4" w:space="0"/>
            </w:tcBorders>
          </w:tcPr>
          <w:p w14:paraId="652F120C">
            <w:pPr>
              <w:widowControl/>
              <w:spacing w:line="360" w:lineRule="auto"/>
              <w:jc w:val="center"/>
              <w:rPr>
                <w:rFonts w:hint="eastAsia" w:ascii="微软雅黑" w:hAnsi="微软雅黑" w:eastAsia="微软雅黑" w:cs="微软雅黑"/>
                <w:b/>
                <w:kern w:val="0"/>
                <w:sz w:val="22"/>
                <w:szCs w:val="22"/>
                <w:vertAlign w:val="baseline"/>
              </w:rPr>
            </w:pPr>
            <w:r>
              <w:rPr>
                <w:rFonts w:ascii="微软雅黑" w:hAnsi="微软雅黑" w:eastAsia="微软雅黑" w:cs="微软雅黑"/>
                <w:b/>
                <w:kern w:val="0"/>
                <w:sz w:val="22"/>
                <w:szCs w:val="22"/>
                <w:vertAlign w:val="baseline"/>
              </w:rPr>
              <w:t>备注</w:t>
            </w:r>
          </w:p>
        </w:tc>
      </w:tr>
      <w:tr w14:paraId="22947378">
        <w:tblPrEx>
          <w:tblCellMar>
            <w:top w:w="0" w:type="dxa"/>
            <w:left w:w="0" w:type="dxa"/>
            <w:bottom w:w="0" w:type="dxa"/>
            <w:right w:w="0" w:type="dxa"/>
          </w:tblCellMar>
        </w:tblPrEx>
        <w:trPr>
          <w:trHeight w:val="559" w:hRule="atLeast"/>
          <w:jc w:val="center"/>
        </w:trPr>
        <w:tc>
          <w:tcPr>
            <w:tcW w:w="1277" w:type="dxa"/>
            <w:tcBorders>
              <w:top w:val="single" w:color="auto" w:sz="4" w:space="0"/>
              <w:left w:val="single" w:color="auto" w:sz="4" w:space="0"/>
              <w:bottom w:val="single" w:color="auto" w:sz="4" w:space="0"/>
              <w:right w:val="single" w:color="000000" w:sz="4" w:space="0"/>
            </w:tcBorders>
          </w:tcPr>
          <w:p w14:paraId="3DF07330">
            <w:pPr>
              <w:spacing w:line="360" w:lineRule="auto"/>
              <w:jc w:val="center"/>
              <w:rPr>
                <w:rFonts w:hint="eastAsia" w:ascii="微软雅黑" w:hAnsi="微软雅黑" w:eastAsia="微软雅黑" w:cs="微软雅黑"/>
                <w:sz w:val="22"/>
                <w:szCs w:val="22"/>
                <w:vertAlign w:val="baseline"/>
              </w:rPr>
            </w:pPr>
          </w:p>
        </w:tc>
        <w:tc>
          <w:tcPr>
            <w:tcW w:w="2977" w:type="dxa"/>
            <w:tcBorders>
              <w:top w:val="single" w:color="auto" w:sz="4" w:space="0"/>
              <w:left w:val="single" w:color="auto" w:sz="4" w:space="0"/>
              <w:bottom w:val="single" w:color="auto" w:sz="4" w:space="0"/>
              <w:right w:val="single" w:color="000000" w:sz="4" w:space="0"/>
            </w:tcBorders>
          </w:tcPr>
          <w:p w14:paraId="4C7FD9D8">
            <w:pPr>
              <w:jc w:val="center"/>
              <w:rPr>
                <w:rFonts w:hint="eastAsia" w:ascii="微软雅黑" w:hAnsi="微软雅黑" w:eastAsia="微软雅黑" w:cs="微软雅黑"/>
                <w:sz w:val="22"/>
                <w:szCs w:val="22"/>
                <w:vertAlign w:val="baseline"/>
              </w:rPr>
            </w:pPr>
          </w:p>
        </w:tc>
        <w:tc>
          <w:tcPr>
            <w:tcW w:w="3685" w:type="dxa"/>
            <w:tcBorders>
              <w:top w:val="single" w:color="auto" w:sz="4" w:space="0"/>
              <w:left w:val="nil"/>
              <w:bottom w:val="single" w:color="auto" w:sz="4" w:space="0"/>
              <w:right w:val="single" w:color="000000" w:sz="4" w:space="0"/>
            </w:tcBorders>
          </w:tcPr>
          <w:p w14:paraId="5FD51267">
            <w:pPr>
              <w:rPr>
                <w:rFonts w:hint="eastAsia" w:ascii="微软雅黑" w:hAnsi="微软雅黑" w:eastAsia="微软雅黑" w:cs="微软雅黑"/>
                <w:sz w:val="22"/>
                <w:szCs w:val="22"/>
                <w:vertAlign w:val="baseline"/>
              </w:rPr>
            </w:pPr>
          </w:p>
        </w:tc>
        <w:tc>
          <w:tcPr>
            <w:tcW w:w="1276" w:type="dxa"/>
            <w:tcBorders>
              <w:top w:val="single" w:color="auto" w:sz="4" w:space="0"/>
              <w:left w:val="nil"/>
              <w:bottom w:val="single" w:color="auto" w:sz="4" w:space="0"/>
              <w:right w:val="single" w:color="000000" w:sz="4" w:space="0"/>
            </w:tcBorders>
          </w:tcPr>
          <w:p w14:paraId="0C2FD895">
            <w:pPr>
              <w:spacing w:line="360" w:lineRule="auto"/>
              <w:jc w:val="center"/>
              <w:rPr>
                <w:rFonts w:hint="eastAsia" w:ascii="微软雅黑" w:hAnsi="微软雅黑" w:eastAsia="微软雅黑" w:cs="微软雅黑"/>
                <w:sz w:val="22"/>
                <w:szCs w:val="22"/>
                <w:vertAlign w:val="baseline"/>
              </w:rPr>
            </w:pPr>
          </w:p>
        </w:tc>
      </w:tr>
      <w:tr w14:paraId="342F94A9">
        <w:tblPrEx>
          <w:tblCellMar>
            <w:top w:w="0" w:type="dxa"/>
            <w:left w:w="0" w:type="dxa"/>
            <w:bottom w:w="0" w:type="dxa"/>
            <w:right w:w="0" w:type="dxa"/>
          </w:tblCellMar>
        </w:tblPrEx>
        <w:trPr>
          <w:trHeight w:val="559" w:hRule="atLeast"/>
          <w:jc w:val="center"/>
        </w:trPr>
        <w:tc>
          <w:tcPr>
            <w:tcW w:w="1277" w:type="dxa"/>
            <w:tcBorders>
              <w:top w:val="single" w:color="auto" w:sz="4" w:space="0"/>
              <w:left w:val="single" w:color="auto" w:sz="4" w:space="0"/>
              <w:bottom w:val="single" w:color="auto" w:sz="4" w:space="0"/>
              <w:right w:val="single" w:color="000000" w:sz="4" w:space="0"/>
            </w:tcBorders>
          </w:tcPr>
          <w:p w14:paraId="341E83EF">
            <w:pPr>
              <w:spacing w:line="360" w:lineRule="auto"/>
              <w:jc w:val="center"/>
              <w:rPr>
                <w:rFonts w:hint="eastAsia" w:ascii="微软雅黑" w:hAnsi="微软雅黑" w:eastAsia="微软雅黑" w:cs="微软雅黑"/>
                <w:sz w:val="22"/>
                <w:szCs w:val="22"/>
                <w:vertAlign w:val="baseline"/>
              </w:rPr>
            </w:pPr>
          </w:p>
        </w:tc>
        <w:tc>
          <w:tcPr>
            <w:tcW w:w="2977" w:type="dxa"/>
            <w:tcBorders>
              <w:top w:val="single" w:color="auto" w:sz="4" w:space="0"/>
              <w:left w:val="single" w:color="auto" w:sz="4" w:space="0"/>
              <w:bottom w:val="single" w:color="auto" w:sz="4" w:space="0"/>
              <w:right w:val="single" w:color="000000" w:sz="4" w:space="0"/>
            </w:tcBorders>
          </w:tcPr>
          <w:p w14:paraId="11B82A4A">
            <w:pPr>
              <w:jc w:val="center"/>
              <w:rPr>
                <w:rFonts w:hint="eastAsia" w:ascii="微软雅黑" w:hAnsi="微软雅黑" w:eastAsia="微软雅黑" w:cs="微软雅黑"/>
                <w:sz w:val="22"/>
                <w:szCs w:val="22"/>
                <w:vertAlign w:val="baseline"/>
              </w:rPr>
            </w:pPr>
          </w:p>
        </w:tc>
        <w:tc>
          <w:tcPr>
            <w:tcW w:w="3685" w:type="dxa"/>
            <w:tcBorders>
              <w:top w:val="single" w:color="auto" w:sz="4" w:space="0"/>
              <w:left w:val="nil"/>
              <w:bottom w:val="single" w:color="auto" w:sz="4" w:space="0"/>
              <w:right w:val="single" w:color="000000" w:sz="4" w:space="0"/>
            </w:tcBorders>
          </w:tcPr>
          <w:p w14:paraId="613B10C7">
            <w:pPr>
              <w:rPr>
                <w:rFonts w:hint="eastAsia" w:ascii="微软雅黑" w:hAnsi="微软雅黑" w:eastAsia="微软雅黑" w:cs="微软雅黑"/>
                <w:sz w:val="22"/>
                <w:szCs w:val="22"/>
                <w:vertAlign w:val="baseline"/>
              </w:rPr>
            </w:pPr>
          </w:p>
        </w:tc>
        <w:tc>
          <w:tcPr>
            <w:tcW w:w="1276" w:type="dxa"/>
            <w:tcBorders>
              <w:top w:val="single" w:color="auto" w:sz="4" w:space="0"/>
              <w:left w:val="nil"/>
              <w:bottom w:val="single" w:color="auto" w:sz="4" w:space="0"/>
              <w:right w:val="single" w:color="000000" w:sz="4" w:space="0"/>
            </w:tcBorders>
          </w:tcPr>
          <w:p w14:paraId="31FF8F77">
            <w:pPr>
              <w:spacing w:line="360" w:lineRule="auto"/>
              <w:jc w:val="center"/>
              <w:rPr>
                <w:rFonts w:hint="eastAsia" w:ascii="微软雅黑" w:hAnsi="微软雅黑" w:eastAsia="微软雅黑" w:cs="微软雅黑"/>
                <w:sz w:val="22"/>
                <w:szCs w:val="22"/>
                <w:vertAlign w:val="baseline"/>
              </w:rPr>
            </w:pPr>
          </w:p>
        </w:tc>
      </w:tr>
      <w:tr w14:paraId="43356F6A">
        <w:tblPrEx>
          <w:tblCellMar>
            <w:top w:w="0" w:type="dxa"/>
            <w:left w:w="0" w:type="dxa"/>
            <w:bottom w:w="0" w:type="dxa"/>
            <w:right w:w="0" w:type="dxa"/>
          </w:tblCellMar>
        </w:tblPrEx>
        <w:trPr>
          <w:trHeight w:val="559" w:hRule="atLeast"/>
          <w:jc w:val="center"/>
        </w:trPr>
        <w:tc>
          <w:tcPr>
            <w:tcW w:w="1277" w:type="dxa"/>
            <w:tcBorders>
              <w:top w:val="single" w:color="auto" w:sz="4" w:space="0"/>
              <w:left w:val="single" w:color="auto" w:sz="4" w:space="0"/>
              <w:bottom w:val="single" w:color="auto" w:sz="4" w:space="0"/>
              <w:right w:val="single" w:color="000000" w:sz="4" w:space="0"/>
            </w:tcBorders>
          </w:tcPr>
          <w:p w14:paraId="2066D55D">
            <w:pPr>
              <w:spacing w:line="360" w:lineRule="auto"/>
              <w:jc w:val="center"/>
              <w:rPr>
                <w:rFonts w:hint="eastAsia" w:ascii="微软雅黑" w:hAnsi="微软雅黑" w:eastAsia="微软雅黑" w:cs="微软雅黑"/>
                <w:sz w:val="22"/>
                <w:szCs w:val="22"/>
                <w:vertAlign w:val="baseline"/>
              </w:rPr>
            </w:pPr>
          </w:p>
        </w:tc>
        <w:tc>
          <w:tcPr>
            <w:tcW w:w="2977" w:type="dxa"/>
            <w:tcBorders>
              <w:top w:val="single" w:color="auto" w:sz="4" w:space="0"/>
              <w:left w:val="single" w:color="auto" w:sz="4" w:space="0"/>
              <w:bottom w:val="single" w:color="auto" w:sz="4" w:space="0"/>
              <w:right w:val="single" w:color="000000" w:sz="4" w:space="0"/>
            </w:tcBorders>
          </w:tcPr>
          <w:p w14:paraId="24140C94">
            <w:pPr>
              <w:jc w:val="center"/>
              <w:rPr>
                <w:rFonts w:hint="eastAsia" w:ascii="微软雅黑" w:hAnsi="微软雅黑" w:eastAsia="微软雅黑" w:cs="微软雅黑"/>
                <w:sz w:val="22"/>
                <w:szCs w:val="22"/>
                <w:vertAlign w:val="baseline"/>
              </w:rPr>
            </w:pPr>
          </w:p>
        </w:tc>
        <w:tc>
          <w:tcPr>
            <w:tcW w:w="3685" w:type="dxa"/>
            <w:tcBorders>
              <w:top w:val="single" w:color="auto" w:sz="4" w:space="0"/>
              <w:left w:val="nil"/>
              <w:bottom w:val="single" w:color="auto" w:sz="4" w:space="0"/>
              <w:right w:val="single" w:color="000000" w:sz="4" w:space="0"/>
            </w:tcBorders>
          </w:tcPr>
          <w:p w14:paraId="303361A8">
            <w:pPr>
              <w:rPr>
                <w:rFonts w:hint="eastAsia" w:ascii="微软雅黑" w:hAnsi="微软雅黑" w:eastAsia="微软雅黑" w:cs="微软雅黑"/>
                <w:sz w:val="22"/>
                <w:szCs w:val="22"/>
                <w:vertAlign w:val="baseline"/>
              </w:rPr>
            </w:pPr>
          </w:p>
        </w:tc>
        <w:tc>
          <w:tcPr>
            <w:tcW w:w="1276" w:type="dxa"/>
            <w:tcBorders>
              <w:top w:val="single" w:color="auto" w:sz="4" w:space="0"/>
              <w:left w:val="nil"/>
              <w:bottom w:val="single" w:color="auto" w:sz="4" w:space="0"/>
              <w:right w:val="single" w:color="000000" w:sz="4" w:space="0"/>
            </w:tcBorders>
          </w:tcPr>
          <w:p w14:paraId="3E364658">
            <w:pPr>
              <w:spacing w:line="360" w:lineRule="auto"/>
              <w:jc w:val="center"/>
              <w:rPr>
                <w:rFonts w:hint="eastAsia" w:ascii="微软雅黑" w:hAnsi="微软雅黑" w:eastAsia="微软雅黑" w:cs="微软雅黑"/>
                <w:sz w:val="22"/>
                <w:szCs w:val="22"/>
                <w:vertAlign w:val="baseline"/>
              </w:rPr>
            </w:pPr>
          </w:p>
        </w:tc>
      </w:tr>
      <w:tr w14:paraId="19130803">
        <w:tblPrEx>
          <w:tblCellMar>
            <w:top w:w="0" w:type="dxa"/>
            <w:left w:w="0" w:type="dxa"/>
            <w:bottom w:w="0" w:type="dxa"/>
            <w:right w:w="0" w:type="dxa"/>
          </w:tblCellMar>
        </w:tblPrEx>
        <w:trPr>
          <w:trHeight w:val="559" w:hRule="atLeast"/>
          <w:jc w:val="center"/>
        </w:trPr>
        <w:tc>
          <w:tcPr>
            <w:tcW w:w="1277" w:type="dxa"/>
            <w:tcBorders>
              <w:top w:val="single" w:color="auto" w:sz="4" w:space="0"/>
              <w:left w:val="single" w:color="auto" w:sz="4" w:space="0"/>
              <w:bottom w:val="single" w:color="auto" w:sz="4" w:space="0"/>
              <w:right w:val="single" w:color="000000" w:sz="4" w:space="0"/>
            </w:tcBorders>
          </w:tcPr>
          <w:p w14:paraId="7400205A">
            <w:pPr>
              <w:spacing w:line="360" w:lineRule="auto"/>
              <w:jc w:val="center"/>
              <w:rPr>
                <w:rFonts w:hint="eastAsia" w:ascii="微软雅黑" w:hAnsi="微软雅黑" w:eastAsia="微软雅黑" w:cs="微软雅黑"/>
                <w:sz w:val="22"/>
                <w:szCs w:val="22"/>
                <w:vertAlign w:val="baseline"/>
              </w:rPr>
            </w:pPr>
          </w:p>
        </w:tc>
        <w:tc>
          <w:tcPr>
            <w:tcW w:w="2977" w:type="dxa"/>
            <w:tcBorders>
              <w:top w:val="single" w:color="auto" w:sz="4" w:space="0"/>
              <w:left w:val="single" w:color="auto" w:sz="4" w:space="0"/>
              <w:bottom w:val="single" w:color="auto" w:sz="4" w:space="0"/>
              <w:right w:val="single" w:color="000000" w:sz="4" w:space="0"/>
            </w:tcBorders>
          </w:tcPr>
          <w:p w14:paraId="43E61DA6">
            <w:pPr>
              <w:jc w:val="center"/>
              <w:rPr>
                <w:rFonts w:hint="eastAsia" w:ascii="微软雅黑" w:hAnsi="微软雅黑" w:eastAsia="微软雅黑" w:cs="微软雅黑"/>
                <w:sz w:val="22"/>
                <w:szCs w:val="22"/>
                <w:vertAlign w:val="baseline"/>
              </w:rPr>
            </w:pPr>
          </w:p>
        </w:tc>
        <w:tc>
          <w:tcPr>
            <w:tcW w:w="3685" w:type="dxa"/>
            <w:tcBorders>
              <w:top w:val="single" w:color="auto" w:sz="4" w:space="0"/>
              <w:left w:val="nil"/>
              <w:bottom w:val="single" w:color="auto" w:sz="4" w:space="0"/>
              <w:right w:val="single" w:color="000000" w:sz="4" w:space="0"/>
            </w:tcBorders>
          </w:tcPr>
          <w:p w14:paraId="6E0C3401">
            <w:pPr>
              <w:rPr>
                <w:rFonts w:hint="eastAsia" w:ascii="微软雅黑" w:hAnsi="微软雅黑" w:eastAsia="微软雅黑" w:cs="微软雅黑"/>
                <w:sz w:val="22"/>
                <w:szCs w:val="22"/>
                <w:vertAlign w:val="baseline"/>
              </w:rPr>
            </w:pPr>
          </w:p>
        </w:tc>
        <w:tc>
          <w:tcPr>
            <w:tcW w:w="1276" w:type="dxa"/>
            <w:tcBorders>
              <w:top w:val="single" w:color="auto" w:sz="4" w:space="0"/>
              <w:left w:val="nil"/>
              <w:bottom w:val="single" w:color="auto" w:sz="4" w:space="0"/>
              <w:right w:val="single" w:color="000000" w:sz="4" w:space="0"/>
            </w:tcBorders>
          </w:tcPr>
          <w:p w14:paraId="65340E3C">
            <w:pPr>
              <w:spacing w:line="360" w:lineRule="auto"/>
              <w:jc w:val="center"/>
              <w:rPr>
                <w:rFonts w:hint="eastAsia" w:ascii="微软雅黑" w:hAnsi="微软雅黑" w:eastAsia="微软雅黑" w:cs="微软雅黑"/>
                <w:sz w:val="22"/>
                <w:szCs w:val="22"/>
                <w:vertAlign w:val="baseline"/>
              </w:rPr>
            </w:pPr>
          </w:p>
        </w:tc>
      </w:tr>
      <w:tr w14:paraId="6ECBA7F9">
        <w:tblPrEx>
          <w:tblCellMar>
            <w:top w:w="0" w:type="dxa"/>
            <w:left w:w="0" w:type="dxa"/>
            <w:bottom w:w="0" w:type="dxa"/>
            <w:right w:w="0" w:type="dxa"/>
          </w:tblCellMar>
        </w:tblPrEx>
        <w:trPr>
          <w:trHeight w:val="559" w:hRule="atLeast"/>
          <w:jc w:val="center"/>
        </w:trPr>
        <w:tc>
          <w:tcPr>
            <w:tcW w:w="1277" w:type="dxa"/>
            <w:tcBorders>
              <w:top w:val="single" w:color="auto" w:sz="4" w:space="0"/>
              <w:left w:val="single" w:color="auto" w:sz="4" w:space="0"/>
              <w:bottom w:val="single" w:color="auto" w:sz="4" w:space="0"/>
              <w:right w:val="single" w:color="000000" w:sz="4" w:space="0"/>
            </w:tcBorders>
          </w:tcPr>
          <w:p w14:paraId="0A272A5E">
            <w:pPr>
              <w:spacing w:line="360" w:lineRule="auto"/>
              <w:jc w:val="center"/>
              <w:rPr>
                <w:rFonts w:hint="eastAsia" w:ascii="微软雅黑" w:hAnsi="微软雅黑" w:eastAsia="微软雅黑" w:cs="微软雅黑"/>
                <w:sz w:val="22"/>
                <w:szCs w:val="22"/>
                <w:vertAlign w:val="baseline"/>
              </w:rPr>
            </w:pPr>
          </w:p>
        </w:tc>
        <w:tc>
          <w:tcPr>
            <w:tcW w:w="2977" w:type="dxa"/>
            <w:tcBorders>
              <w:top w:val="single" w:color="auto" w:sz="4" w:space="0"/>
              <w:left w:val="single" w:color="auto" w:sz="4" w:space="0"/>
              <w:bottom w:val="single" w:color="auto" w:sz="4" w:space="0"/>
              <w:right w:val="single" w:color="000000" w:sz="4" w:space="0"/>
            </w:tcBorders>
          </w:tcPr>
          <w:p w14:paraId="1B91125F">
            <w:pPr>
              <w:jc w:val="center"/>
              <w:rPr>
                <w:rFonts w:hint="eastAsia" w:ascii="微软雅黑" w:hAnsi="微软雅黑" w:eastAsia="微软雅黑" w:cs="微软雅黑"/>
                <w:sz w:val="22"/>
                <w:szCs w:val="22"/>
                <w:vertAlign w:val="baseline"/>
              </w:rPr>
            </w:pPr>
          </w:p>
        </w:tc>
        <w:tc>
          <w:tcPr>
            <w:tcW w:w="3685" w:type="dxa"/>
            <w:tcBorders>
              <w:top w:val="single" w:color="auto" w:sz="4" w:space="0"/>
              <w:left w:val="nil"/>
              <w:bottom w:val="single" w:color="auto" w:sz="4" w:space="0"/>
              <w:right w:val="single" w:color="000000" w:sz="4" w:space="0"/>
            </w:tcBorders>
          </w:tcPr>
          <w:p w14:paraId="277A7F29">
            <w:pPr>
              <w:rPr>
                <w:rFonts w:hint="eastAsia" w:ascii="微软雅黑" w:hAnsi="微软雅黑" w:eastAsia="微软雅黑" w:cs="微软雅黑"/>
                <w:sz w:val="22"/>
                <w:szCs w:val="22"/>
                <w:vertAlign w:val="baseline"/>
              </w:rPr>
            </w:pPr>
          </w:p>
        </w:tc>
        <w:tc>
          <w:tcPr>
            <w:tcW w:w="1276" w:type="dxa"/>
            <w:tcBorders>
              <w:top w:val="single" w:color="auto" w:sz="4" w:space="0"/>
              <w:left w:val="nil"/>
              <w:bottom w:val="single" w:color="auto" w:sz="4" w:space="0"/>
              <w:right w:val="single" w:color="000000" w:sz="4" w:space="0"/>
            </w:tcBorders>
          </w:tcPr>
          <w:p w14:paraId="216D07A9">
            <w:pPr>
              <w:spacing w:line="360" w:lineRule="auto"/>
              <w:jc w:val="center"/>
              <w:rPr>
                <w:rFonts w:hint="eastAsia" w:ascii="微软雅黑" w:hAnsi="微软雅黑" w:eastAsia="微软雅黑" w:cs="微软雅黑"/>
                <w:sz w:val="22"/>
                <w:szCs w:val="22"/>
                <w:vertAlign w:val="baseline"/>
              </w:rPr>
            </w:pPr>
          </w:p>
        </w:tc>
      </w:tr>
      <w:tr w14:paraId="24A72E0F">
        <w:tblPrEx>
          <w:tblCellMar>
            <w:top w:w="0" w:type="dxa"/>
            <w:left w:w="0" w:type="dxa"/>
            <w:bottom w:w="0" w:type="dxa"/>
            <w:right w:w="0" w:type="dxa"/>
          </w:tblCellMar>
        </w:tblPrEx>
        <w:trPr>
          <w:trHeight w:val="559" w:hRule="atLeast"/>
          <w:jc w:val="center"/>
        </w:trPr>
        <w:tc>
          <w:tcPr>
            <w:tcW w:w="1277" w:type="dxa"/>
            <w:tcBorders>
              <w:top w:val="single" w:color="auto" w:sz="4" w:space="0"/>
              <w:left w:val="single" w:color="auto" w:sz="4" w:space="0"/>
              <w:bottom w:val="single" w:color="auto" w:sz="4" w:space="0"/>
              <w:right w:val="single" w:color="000000" w:sz="4" w:space="0"/>
            </w:tcBorders>
          </w:tcPr>
          <w:p w14:paraId="15F7E389">
            <w:pPr>
              <w:spacing w:line="360" w:lineRule="auto"/>
              <w:jc w:val="center"/>
              <w:rPr>
                <w:rFonts w:hint="eastAsia" w:ascii="微软雅黑" w:hAnsi="微软雅黑" w:eastAsia="微软雅黑" w:cs="微软雅黑"/>
                <w:sz w:val="22"/>
                <w:szCs w:val="22"/>
                <w:vertAlign w:val="baseline"/>
              </w:rPr>
            </w:pPr>
          </w:p>
        </w:tc>
        <w:tc>
          <w:tcPr>
            <w:tcW w:w="2977" w:type="dxa"/>
            <w:tcBorders>
              <w:top w:val="single" w:color="auto" w:sz="4" w:space="0"/>
              <w:left w:val="single" w:color="auto" w:sz="4" w:space="0"/>
              <w:bottom w:val="single" w:color="auto" w:sz="4" w:space="0"/>
              <w:right w:val="single" w:color="000000" w:sz="4" w:space="0"/>
            </w:tcBorders>
          </w:tcPr>
          <w:p w14:paraId="61E0BDC8">
            <w:pPr>
              <w:jc w:val="center"/>
              <w:rPr>
                <w:rFonts w:hint="eastAsia" w:ascii="微软雅黑" w:hAnsi="微软雅黑" w:eastAsia="微软雅黑" w:cs="微软雅黑"/>
                <w:sz w:val="22"/>
                <w:szCs w:val="22"/>
                <w:vertAlign w:val="baseline"/>
              </w:rPr>
            </w:pPr>
          </w:p>
        </w:tc>
        <w:tc>
          <w:tcPr>
            <w:tcW w:w="3685" w:type="dxa"/>
            <w:tcBorders>
              <w:top w:val="single" w:color="auto" w:sz="4" w:space="0"/>
              <w:left w:val="nil"/>
              <w:bottom w:val="single" w:color="auto" w:sz="4" w:space="0"/>
              <w:right w:val="single" w:color="000000" w:sz="4" w:space="0"/>
            </w:tcBorders>
          </w:tcPr>
          <w:p w14:paraId="05DD98A5">
            <w:pPr>
              <w:rPr>
                <w:rFonts w:hint="eastAsia" w:ascii="微软雅黑" w:hAnsi="微软雅黑" w:eastAsia="微软雅黑" w:cs="微软雅黑"/>
                <w:sz w:val="22"/>
                <w:szCs w:val="22"/>
                <w:vertAlign w:val="baseline"/>
              </w:rPr>
            </w:pPr>
          </w:p>
        </w:tc>
        <w:tc>
          <w:tcPr>
            <w:tcW w:w="1276" w:type="dxa"/>
            <w:tcBorders>
              <w:top w:val="single" w:color="auto" w:sz="4" w:space="0"/>
              <w:left w:val="nil"/>
              <w:bottom w:val="single" w:color="auto" w:sz="4" w:space="0"/>
              <w:right w:val="single" w:color="000000" w:sz="4" w:space="0"/>
            </w:tcBorders>
          </w:tcPr>
          <w:p w14:paraId="2135B681">
            <w:pPr>
              <w:spacing w:line="360" w:lineRule="auto"/>
              <w:jc w:val="center"/>
              <w:rPr>
                <w:rFonts w:hint="eastAsia" w:ascii="微软雅黑" w:hAnsi="微软雅黑" w:eastAsia="微软雅黑" w:cs="微软雅黑"/>
                <w:sz w:val="22"/>
                <w:szCs w:val="22"/>
                <w:vertAlign w:val="baseline"/>
              </w:rPr>
            </w:pPr>
          </w:p>
        </w:tc>
      </w:tr>
      <w:tr w14:paraId="538942E9">
        <w:tblPrEx>
          <w:tblCellMar>
            <w:top w:w="0" w:type="dxa"/>
            <w:left w:w="0" w:type="dxa"/>
            <w:bottom w:w="0" w:type="dxa"/>
            <w:right w:w="0" w:type="dxa"/>
          </w:tblCellMar>
        </w:tblPrEx>
        <w:trPr>
          <w:trHeight w:val="559" w:hRule="atLeast"/>
          <w:jc w:val="center"/>
        </w:trPr>
        <w:tc>
          <w:tcPr>
            <w:tcW w:w="1277" w:type="dxa"/>
            <w:tcBorders>
              <w:top w:val="single" w:color="auto" w:sz="4" w:space="0"/>
              <w:left w:val="single" w:color="auto" w:sz="4" w:space="0"/>
              <w:bottom w:val="single" w:color="auto" w:sz="4" w:space="0"/>
              <w:right w:val="single" w:color="000000" w:sz="4" w:space="0"/>
            </w:tcBorders>
          </w:tcPr>
          <w:p w14:paraId="3C9EBBF5">
            <w:pPr>
              <w:spacing w:line="360" w:lineRule="auto"/>
              <w:jc w:val="center"/>
              <w:rPr>
                <w:rFonts w:hint="eastAsia" w:ascii="微软雅黑" w:hAnsi="微软雅黑" w:eastAsia="微软雅黑" w:cs="微软雅黑"/>
                <w:sz w:val="22"/>
                <w:szCs w:val="22"/>
                <w:vertAlign w:val="baseline"/>
              </w:rPr>
            </w:pPr>
          </w:p>
        </w:tc>
        <w:tc>
          <w:tcPr>
            <w:tcW w:w="2977" w:type="dxa"/>
            <w:tcBorders>
              <w:top w:val="single" w:color="auto" w:sz="4" w:space="0"/>
              <w:left w:val="single" w:color="auto" w:sz="4" w:space="0"/>
              <w:bottom w:val="single" w:color="auto" w:sz="4" w:space="0"/>
              <w:right w:val="single" w:color="000000" w:sz="4" w:space="0"/>
            </w:tcBorders>
          </w:tcPr>
          <w:p w14:paraId="309D7CEC">
            <w:pPr>
              <w:jc w:val="center"/>
              <w:rPr>
                <w:rFonts w:hint="eastAsia" w:ascii="微软雅黑" w:hAnsi="微软雅黑" w:eastAsia="微软雅黑" w:cs="微软雅黑"/>
                <w:sz w:val="22"/>
                <w:szCs w:val="22"/>
                <w:vertAlign w:val="baseline"/>
              </w:rPr>
            </w:pPr>
          </w:p>
        </w:tc>
        <w:tc>
          <w:tcPr>
            <w:tcW w:w="3685" w:type="dxa"/>
            <w:tcBorders>
              <w:top w:val="single" w:color="auto" w:sz="4" w:space="0"/>
              <w:left w:val="nil"/>
              <w:bottom w:val="single" w:color="auto" w:sz="4" w:space="0"/>
              <w:right w:val="single" w:color="000000" w:sz="4" w:space="0"/>
            </w:tcBorders>
          </w:tcPr>
          <w:p w14:paraId="24CE3830">
            <w:pPr>
              <w:rPr>
                <w:rFonts w:hint="eastAsia" w:ascii="微软雅黑" w:hAnsi="微软雅黑" w:eastAsia="微软雅黑" w:cs="微软雅黑"/>
                <w:sz w:val="22"/>
                <w:szCs w:val="22"/>
                <w:vertAlign w:val="baseline"/>
              </w:rPr>
            </w:pPr>
          </w:p>
        </w:tc>
        <w:tc>
          <w:tcPr>
            <w:tcW w:w="1276" w:type="dxa"/>
            <w:tcBorders>
              <w:top w:val="single" w:color="auto" w:sz="4" w:space="0"/>
              <w:left w:val="nil"/>
              <w:bottom w:val="single" w:color="auto" w:sz="4" w:space="0"/>
              <w:right w:val="single" w:color="000000" w:sz="4" w:space="0"/>
            </w:tcBorders>
          </w:tcPr>
          <w:p w14:paraId="164E43BC">
            <w:pPr>
              <w:spacing w:line="360" w:lineRule="auto"/>
              <w:jc w:val="center"/>
              <w:rPr>
                <w:rFonts w:hint="eastAsia" w:ascii="微软雅黑" w:hAnsi="微软雅黑" w:eastAsia="微软雅黑" w:cs="微软雅黑"/>
                <w:sz w:val="22"/>
                <w:szCs w:val="22"/>
                <w:vertAlign w:val="baseline"/>
              </w:rPr>
            </w:pPr>
          </w:p>
        </w:tc>
      </w:tr>
      <w:tr w14:paraId="48E76927">
        <w:tblPrEx>
          <w:tblCellMar>
            <w:top w:w="0" w:type="dxa"/>
            <w:left w:w="0" w:type="dxa"/>
            <w:bottom w:w="0" w:type="dxa"/>
            <w:right w:w="0" w:type="dxa"/>
          </w:tblCellMar>
        </w:tblPrEx>
        <w:trPr>
          <w:trHeight w:val="559" w:hRule="atLeast"/>
          <w:jc w:val="center"/>
        </w:trPr>
        <w:tc>
          <w:tcPr>
            <w:tcW w:w="1277" w:type="dxa"/>
            <w:tcBorders>
              <w:top w:val="single" w:color="auto" w:sz="4" w:space="0"/>
              <w:left w:val="single" w:color="auto" w:sz="4" w:space="0"/>
              <w:bottom w:val="single" w:color="auto" w:sz="4" w:space="0"/>
              <w:right w:val="single" w:color="000000" w:sz="4" w:space="0"/>
            </w:tcBorders>
          </w:tcPr>
          <w:p w14:paraId="53D8C6A6">
            <w:pPr>
              <w:spacing w:line="360" w:lineRule="auto"/>
              <w:jc w:val="center"/>
              <w:rPr>
                <w:rFonts w:hint="eastAsia" w:ascii="微软雅黑" w:hAnsi="微软雅黑" w:eastAsia="微软雅黑" w:cs="微软雅黑"/>
                <w:sz w:val="22"/>
                <w:szCs w:val="22"/>
                <w:vertAlign w:val="baseline"/>
              </w:rPr>
            </w:pPr>
          </w:p>
        </w:tc>
        <w:tc>
          <w:tcPr>
            <w:tcW w:w="2977" w:type="dxa"/>
            <w:tcBorders>
              <w:top w:val="single" w:color="auto" w:sz="4" w:space="0"/>
              <w:left w:val="single" w:color="auto" w:sz="4" w:space="0"/>
              <w:bottom w:val="single" w:color="auto" w:sz="4" w:space="0"/>
              <w:right w:val="single" w:color="000000" w:sz="4" w:space="0"/>
            </w:tcBorders>
          </w:tcPr>
          <w:p w14:paraId="3E49BE9F">
            <w:pPr>
              <w:jc w:val="center"/>
              <w:rPr>
                <w:rFonts w:hint="eastAsia" w:ascii="微软雅黑" w:hAnsi="微软雅黑" w:eastAsia="微软雅黑" w:cs="微软雅黑"/>
                <w:sz w:val="22"/>
                <w:szCs w:val="22"/>
                <w:vertAlign w:val="baseline"/>
              </w:rPr>
            </w:pPr>
          </w:p>
        </w:tc>
        <w:tc>
          <w:tcPr>
            <w:tcW w:w="3685" w:type="dxa"/>
            <w:tcBorders>
              <w:top w:val="single" w:color="auto" w:sz="4" w:space="0"/>
              <w:left w:val="nil"/>
              <w:bottom w:val="single" w:color="auto" w:sz="4" w:space="0"/>
              <w:right w:val="single" w:color="000000" w:sz="4" w:space="0"/>
            </w:tcBorders>
          </w:tcPr>
          <w:p w14:paraId="2E22BE51">
            <w:pPr>
              <w:rPr>
                <w:rFonts w:hint="eastAsia" w:ascii="微软雅黑" w:hAnsi="微软雅黑" w:eastAsia="微软雅黑" w:cs="微软雅黑"/>
                <w:sz w:val="22"/>
                <w:szCs w:val="22"/>
                <w:vertAlign w:val="baseline"/>
              </w:rPr>
            </w:pPr>
          </w:p>
        </w:tc>
        <w:tc>
          <w:tcPr>
            <w:tcW w:w="1276" w:type="dxa"/>
            <w:tcBorders>
              <w:top w:val="single" w:color="auto" w:sz="4" w:space="0"/>
              <w:left w:val="nil"/>
              <w:bottom w:val="single" w:color="auto" w:sz="4" w:space="0"/>
              <w:right w:val="single" w:color="000000" w:sz="4" w:space="0"/>
            </w:tcBorders>
          </w:tcPr>
          <w:p w14:paraId="05EBFA21">
            <w:pPr>
              <w:spacing w:line="360" w:lineRule="auto"/>
              <w:jc w:val="center"/>
              <w:rPr>
                <w:rFonts w:hint="eastAsia" w:ascii="微软雅黑" w:hAnsi="微软雅黑" w:eastAsia="微软雅黑" w:cs="微软雅黑"/>
                <w:sz w:val="22"/>
                <w:szCs w:val="22"/>
                <w:vertAlign w:val="baseline"/>
              </w:rPr>
            </w:pPr>
          </w:p>
        </w:tc>
      </w:tr>
      <w:tr w14:paraId="1983DAD4">
        <w:tblPrEx>
          <w:tblCellMar>
            <w:top w:w="0" w:type="dxa"/>
            <w:left w:w="0" w:type="dxa"/>
            <w:bottom w:w="0" w:type="dxa"/>
            <w:right w:w="0" w:type="dxa"/>
          </w:tblCellMar>
        </w:tblPrEx>
        <w:trPr>
          <w:trHeight w:val="559" w:hRule="atLeast"/>
          <w:jc w:val="center"/>
        </w:trPr>
        <w:tc>
          <w:tcPr>
            <w:tcW w:w="1277" w:type="dxa"/>
            <w:tcBorders>
              <w:top w:val="single" w:color="auto" w:sz="4" w:space="0"/>
              <w:left w:val="single" w:color="auto" w:sz="4" w:space="0"/>
              <w:bottom w:val="single" w:color="auto" w:sz="4" w:space="0"/>
              <w:right w:val="single" w:color="000000" w:sz="4" w:space="0"/>
            </w:tcBorders>
          </w:tcPr>
          <w:p w14:paraId="70B9DA9A">
            <w:pPr>
              <w:spacing w:line="360" w:lineRule="auto"/>
              <w:jc w:val="center"/>
              <w:rPr>
                <w:rFonts w:hint="eastAsia" w:ascii="微软雅黑" w:hAnsi="微软雅黑" w:eastAsia="微软雅黑" w:cs="微软雅黑"/>
                <w:sz w:val="22"/>
                <w:szCs w:val="22"/>
                <w:vertAlign w:val="baseline"/>
              </w:rPr>
            </w:pPr>
          </w:p>
        </w:tc>
        <w:tc>
          <w:tcPr>
            <w:tcW w:w="2977" w:type="dxa"/>
            <w:tcBorders>
              <w:top w:val="single" w:color="auto" w:sz="4" w:space="0"/>
              <w:left w:val="single" w:color="auto" w:sz="4" w:space="0"/>
              <w:bottom w:val="single" w:color="auto" w:sz="4" w:space="0"/>
              <w:right w:val="single" w:color="000000" w:sz="4" w:space="0"/>
            </w:tcBorders>
          </w:tcPr>
          <w:p w14:paraId="25043331">
            <w:pPr>
              <w:jc w:val="center"/>
              <w:rPr>
                <w:rFonts w:hint="eastAsia" w:ascii="微软雅黑" w:hAnsi="微软雅黑" w:eastAsia="微软雅黑" w:cs="微软雅黑"/>
                <w:sz w:val="22"/>
                <w:szCs w:val="22"/>
                <w:vertAlign w:val="baseline"/>
              </w:rPr>
            </w:pPr>
          </w:p>
        </w:tc>
        <w:tc>
          <w:tcPr>
            <w:tcW w:w="3685" w:type="dxa"/>
            <w:tcBorders>
              <w:top w:val="single" w:color="auto" w:sz="4" w:space="0"/>
              <w:left w:val="nil"/>
              <w:bottom w:val="single" w:color="auto" w:sz="4" w:space="0"/>
              <w:right w:val="single" w:color="000000" w:sz="4" w:space="0"/>
            </w:tcBorders>
          </w:tcPr>
          <w:p w14:paraId="2D2CB259">
            <w:pPr>
              <w:rPr>
                <w:rFonts w:hint="eastAsia" w:ascii="微软雅黑" w:hAnsi="微软雅黑" w:eastAsia="微软雅黑" w:cs="微软雅黑"/>
                <w:sz w:val="22"/>
                <w:szCs w:val="22"/>
                <w:vertAlign w:val="baseline"/>
              </w:rPr>
            </w:pPr>
          </w:p>
        </w:tc>
        <w:tc>
          <w:tcPr>
            <w:tcW w:w="1276" w:type="dxa"/>
            <w:tcBorders>
              <w:top w:val="single" w:color="auto" w:sz="4" w:space="0"/>
              <w:left w:val="nil"/>
              <w:bottom w:val="single" w:color="auto" w:sz="4" w:space="0"/>
              <w:right w:val="single" w:color="000000" w:sz="4" w:space="0"/>
            </w:tcBorders>
          </w:tcPr>
          <w:p w14:paraId="26C2C81D">
            <w:pPr>
              <w:spacing w:line="360" w:lineRule="auto"/>
              <w:jc w:val="center"/>
              <w:rPr>
                <w:rFonts w:hint="eastAsia" w:ascii="微软雅黑" w:hAnsi="微软雅黑" w:eastAsia="微软雅黑" w:cs="微软雅黑"/>
                <w:sz w:val="22"/>
                <w:szCs w:val="22"/>
                <w:vertAlign w:val="baseline"/>
              </w:rPr>
            </w:pPr>
          </w:p>
        </w:tc>
      </w:tr>
      <w:tr w14:paraId="3EB79B36">
        <w:tblPrEx>
          <w:tblCellMar>
            <w:top w:w="0" w:type="dxa"/>
            <w:left w:w="0" w:type="dxa"/>
            <w:bottom w:w="0" w:type="dxa"/>
            <w:right w:w="0" w:type="dxa"/>
          </w:tblCellMar>
        </w:tblPrEx>
        <w:trPr>
          <w:trHeight w:val="559" w:hRule="atLeast"/>
          <w:jc w:val="center"/>
        </w:trPr>
        <w:tc>
          <w:tcPr>
            <w:tcW w:w="1277" w:type="dxa"/>
            <w:tcBorders>
              <w:top w:val="single" w:color="auto" w:sz="4" w:space="0"/>
              <w:left w:val="single" w:color="auto" w:sz="4" w:space="0"/>
              <w:bottom w:val="single" w:color="auto" w:sz="4" w:space="0"/>
              <w:right w:val="single" w:color="000000" w:sz="4" w:space="0"/>
            </w:tcBorders>
          </w:tcPr>
          <w:p w14:paraId="726EA5C5">
            <w:pPr>
              <w:spacing w:line="360" w:lineRule="auto"/>
              <w:jc w:val="center"/>
              <w:rPr>
                <w:rFonts w:hint="eastAsia" w:ascii="微软雅黑" w:hAnsi="微软雅黑" w:eastAsia="微软雅黑" w:cs="微软雅黑"/>
                <w:sz w:val="22"/>
                <w:szCs w:val="22"/>
                <w:vertAlign w:val="baseline"/>
              </w:rPr>
            </w:pPr>
          </w:p>
        </w:tc>
        <w:tc>
          <w:tcPr>
            <w:tcW w:w="2977" w:type="dxa"/>
            <w:tcBorders>
              <w:top w:val="single" w:color="auto" w:sz="4" w:space="0"/>
              <w:left w:val="single" w:color="auto" w:sz="4" w:space="0"/>
              <w:bottom w:val="single" w:color="auto" w:sz="4" w:space="0"/>
              <w:right w:val="single" w:color="000000" w:sz="4" w:space="0"/>
            </w:tcBorders>
          </w:tcPr>
          <w:p w14:paraId="19DA5D98">
            <w:pPr>
              <w:jc w:val="center"/>
              <w:rPr>
                <w:rFonts w:hint="eastAsia" w:ascii="微软雅黑" w:hAnsi="微软雅黑" w:eastAsia="微软雅黑" w:cs="微软雅黑"/>
                <w:sz w:val="22"/>
                <w:szCs w:val="22"/>
                <w:vertAlign w:val="baseline"/>
              </w:rPr>
            </w:pPr>
          </w:p>
        </w:tc>
        <w:tc>
          <w:tcPr>
            <w:tcW w:w="3685" w:type="dxa"/>
            <w:tcBorders>
              <w:top w:val="single" w:color="auto" w:sz="4" w:space="0"/>
              <w:left w:val="nil"/>
              <w:bottom w:val="single" w:color="auto" w:sz="4" w:space="0"/>
              <w:right w:val="single" w:color="000000" w:sz="4" w:space="0"/>
            </w:tcBorders>
          </w:tcPr>
          <w:p w14:paraId="694560C4">
            <w:pPr>
              <w:rPr>
                <w:rFonts w:hint="eastAsia" w:ascii="微软雅黑" w:hAnsi="微软雅黑" w:eastAsia="微软雅黑" w:cs="微软雅黑"/>
                <w:sz w:val="22"/>
                <w:szCs w:val="22"/>
                <w:vertAlign w:val="baseline"/>
              </w:rPr>
            </w:pPr>
          </w:p>
        </w:tc>
        <w:tc>
          <w:tcPr>
            <w:tcW w:w="1276" w:type="dxa"/>
            <w:tcBorders>
              <w:top w:val="single" w:color="auto" w:sz="4" w:space="0"/>
              <w:left w:val="nil"/>
              <w:bottom w:val="single" w:color="auto" w:sz="4" w:space="0"/>
              <w:right w:val="single" w:color="000000" w:sz="4" w:space="0"/>
            </w:tcBorders>
          </w:tcPr>
          <w:p w14:paraId="259E2329">
            <w:pPr>
              <w:spacing w:line="360" w:lineRule="auto"/>
              <w:jc w:val="center"/>
              <w:rPr>
                <w:rFonts w:hint="eastAsia" w:ascii="微软雅黑" w:hAnsi="微软雅黑" w:eastAsia="微软雅黑" w:cs="微软雅黑"/>
                <w:sz w:val="22"/>
                <w:szCs w:val="22"/>
                <w:vertAlign w:val="baseline"/>
              </w:rPr>
            </w:pPr>
          </w:p>
        </w:tc>
      </w:tr>
      <w:tr w14:paraId="7B4A7EE9">
        <w:tblPrEx>
          <w:tblCellMar>
            <w:top w:w="0" w:type="dxa"/>
            <w:left w:w="0" w:type="dxa"/>
            <w:bottom w:w="0" w:type="dxa"/>
            <w:right w:w="0" w:type="dxa"/>
          </w:tblCellMar>
        </w:tblPrEx>
        <w:trPr>
          <w:trHeight w:val="559" w:hRule="atLeast"/>
          <w:jc w:val="center"/>
        </w:trPr>
        <w:tc>
          <w:tcPr>
            <w:tcW w:w="1277" w:type="dxa"/>
            <w:tcBorders>
              <w:top w:val="single" w:color="auto" w:sz="4" w:space="0"/>
              <w:left w:val="single" w:color="auto" w:sz="4" w:space="0"/>
              <w:bottom w:val="single" w:color="auto" w:sz="4" w:space="0"/>
              <w:right w:val="single" w:color="000000" w:sz="4" w:space="0"/>
            </w:tcBorders>
          </w:tcPr>
          <w:p w14:paraId="24CA2CC1">
            <w:pPr>
              <w:spacing w:line="360" w:lineRule="auto"/>
              <w:jc w:val="center"/>
              <w:rPr>
                <w:rFonts w:hint="eastAsia" w:ascii="微软雅黑" w:hAnsi="微软雅黑" w:eastAsia="微软雅黑" w:cs="微软雅黑"/>
                <w:sz w:val="22"/>
                <w:szCs w:val="22"/>
                <w:vertAlign w:val="baseline"/>
              </w:rPr>
            </w:pPr>
          </w:p>
        </w:tc>
        <w:tc>
          <w:tcPr>
            <w:tcW w:w="2977" w:type="dxa"/>
            <w:tcBorders>
              <w:top w:val="single" w:color="auto" w:sz="4" w:space="0"/>
              <w:left w:val="single" w:color="auto" w:sz="4" w:space="0"/>
              <w:bottom w:val="single" w:color="auto" w:sz="4" w:space="0"/>
              <w:right w:val="single" w:color="000000" w:sz="4" w:space="0"/>
            </w:tcBorders>
          </w:tcPr>
          <w:p w14:paraId="7B239C2F">
            <w:pPr>
              <w:jc w:val="center"/>
              <w:rPr>
                <w:rFonts w:hint="eastAsia" w:ascii="微软雅黑" w:hAnsi="微软雅黑" w:eastAsia="微软雅黑" w:cs="微软雅黑"/>
                <w:sz w:val="22"/>
                <w:szCs w:val="22"/>
                <w:vertAlign w:val="baseline"/>
              </w:rPr>
            </w:pPr>
          </w:p>
        </w:tc>
        <w:tc>
          <w:tcPr>
            <w:tcW w:w="3685" w:type="dxa"/>
            <w:tcBorders>
              <w:top w:val="single" w:color="auto" w:sz="4" w:space="0"/>
              <w:left w:val="nil"/>
              <w:bottom w:val="single" w:color="auto" w:sz="4" w:space="0"/>
              <w:right w:val="single" w:color="000000" w:sz="4" w:space="0"/>
            </w:tcBorders>
          </w:tcPr>
          <w:p w14:paraId="202BC07F">
            <w:pPr>
              <w:rPr>
                <w:rFonts w:hint="eastAsia" w:ascii="微软雅黑" w:hAnsi="微软雅黑" w:eastAsia="微软雅黑" w:cs="微软雅黑"/>
                <w:sz w:val="22"/>
                <w:szCs w:val="22"/>
                <w:vertAlign w:val="baseline"/>
              </w:rPr>
            </w:pPr>
          </w:p>
        </w:tc>
        <w:tc>
          <w:tcPr>
            <w:tcW w:w="1276" w:type="dxa"/>
            <w:tcBorders>
              <w:top w:val="single" w:color="auto" w:sz="4" w:space="0"/>
              <w:left w:val="nil"/>
              <w:bottom w:val="single" w:color="auto" w:sz="4" w:space="0"/>
              <w:right w:val="single" w:color="000000" w:sz="4" w:space="0"/>
            </w:tcBorders>
          </w:tcPr>
          <w:p w14:paraId="498480B5">
            <w:pPr>
              <w:spacing w:line="360" w:lineRule="auto"/>
              <w:jc w:val="center"/>
              <w:rPr>
                <w:rFonts w:hint="eastAsia" w:ascii="微软雅黑" w:hAnsi="微软雅黑" w:eastAsia="微软雅黑" w:cs="微软雅黑"/>
                <w:sz w:val="22"/>
                <w:szCs w:val="22"/>
                <w:vertAlign w:val="baseline"/>
              </w:rPr>
            </w:pPr>
          </w:p>
        </w:tc>
      </w:tr>
      <w:tr w14:paraId="75D96F2C">
        <w:tblPrEx>
          <w:tblCellMar>
            <w:top w:w="0" w:type="dxa"/>
            <w:left w:w="0" w:type="dxa"/>
            <w:bottom w:w="0" w:type="dxa"/>
            <w:right w:w="0" w:type="dxa"/>
          </w:tblCellMar>
        </w:tblPrEx>
        <w:trPr>
          <w:trHeight w:val="559" w:hRule="atLeast"/>
          <w:jc w:val="center"/>
        </w:trPr>
        <w:tc>
          <w:tcPr>
            <w:tcW w:w="1277" w:type="dxa"/>
            <w:tcBorders>
              <w:top w:val="single" w:color="auto" w:sz="4" w:space="0"/>
              <w:left w:val="single" w:color="auto" w:sz="4" w:space="0"/>
              <w:bottom w:val="single" w:color="auto" w:sz="4" w:space="0"/>
              <w:right w:val="single" w:color="000000" w:sz="4" w:space="0"/>
            </w:tcBorders>
          </w:tcPr>
          <w:p w14:paraId="73F3A4B5">
            <w:pPr>
              <w:spacing w:line="360" w:lineRule="auto"/>
              <w:jc w:val="center"/>
              <w:rPr>
                <w:rFonts w:hint="eastAsia" w:ascii="微软雅黑" w:hAnsi="微软雅黑" w:eastAsia="微软雅黑" w:cs="微软雅黑"/>
                <w:sz w:val="22"/>
                <w:szCs w:val="22"/>
                <w:vertAlign w:val="baseline"/>
              </w:rPr>
            </w:pPr>
          </w:p>
        </w:tc>
        <w:tc>
          <w:tcPr>
            <w:tcW w:w="2977" w:type="dxa"/>
            <w:tcBorders>
              <w:top w:val="single" w:color="auto" w:sz="4" w:space="0"/>
              <w:left w:val="single" w:color="auto" w:sz="4" w:space="0"/>
              <w:bottom w:val="single" w:color="auto" w:sz="4" w:space="0"/>
              <w:right w:val="single" w:color="000000" w:sz="4" w:space="0"/>
            </w:tcBorders>
          </w:tcPr>
          <w:p w14:paraId="65029B87">
            <w:pPr>
              <w:jc w:val="center"/>
              <w:rPr>
                <w:rFonts w:hint="eastAsia" w:ascii="微软雅黑" w:hAnsi="微软雅黑" w:eastAsia="微软雅黑" w:cs="微软雅黑"/>
                <w:sz w:val="22"/>
                <w:szCs w:val="22"/>
                <w:vertAlign w:val="baseline"/>
              </w:rPr>
            </w:pPr>
          </w:p>
        </w:tc>
        <w:tc>
          <w:tcPr>
            <w:tcW w:w="3685" w:type="dxa"/>
            <w:tcBorders>
              <w:top w:val="single" w:color="auto" w:sz="4" w:space="0"/>
              <w:left w:val="nil"/>
              <w:bottom w:val="single" w:color="auto" w:sz="4" w:space="0"/>
              <w:right w:val="single" w:color="000000" w:sz="4" w:space="0"/>
            </w:tcBorders>
          </w:tcPr>
          <w:p w14:paraId="301579EA">
            <w:pPr>
              <w:rPr>
                <w:rFonts w:hint="eastAsia" w:ascii="微软雅黑" w:hAnsi="微软雅黑" w:eastAsia="微软雅黑" w:cs="微软雅黑"/>
                <w:sz w:val="22"/>
                <w:szCs w:val="22"/>
                <w:vertAlign w:val="baseline"/>
              </w:rPr>
            </w:pPr>
          </w:p>
        </w:tc>
        <w:tc>
          <w:tcPr>
            <w:tcW w:w="1276" w:type="dxa"/>
            <w:tcBorders>
              <w:top w:val="single" w:color="auto" w:sz="4" w:space="0"/>
              <w:left w:val="nil"/>
              <w:bottom w:val="single" w:color="auto" w:sz="4" w:space="0"/>
              <w:right w:val="single" w:color="000000" w:sz="4" w:space="0"/>
            </w:tcBorders>
          </w:tcPr>
          <w:p w14:paraId="42F2C0C0">
            <w:pPr>
              <w:spacing w:line="360" w:lineRule="auto"/>
              <w:jc w:val="center"/>
              <w:rPr>
                <w:rFonts w:hint="eastAsia" w:ascii="微软雅黑" w:hAnsi="微软雅黑" w:eastAsia="微软雅黑" w:cs="微软雅黑"/>
                <w:sz w:val="22"/>
                <w:szCs w:val="22"/>
                <w:vertAlign w:val="baseline"/>
              </w:rPr>
            </w:pPr>
          </w:p>
        </w:tc>
      </w:tr>
    </w:tbl>
    <w:p w14:paraId="318ADAA1">
      <w:pPr>
        <w:spacing w:line="360" w:lineRule="auto"/>
        <w:jc w:val="left"/>
        <w:rPr>
          <w:rFonts w:hint="eastAsia" w:ascii="微软雅黑" w:hAnsi="微软雅黑" w:eastAsia="微软雅黑" w:cs="微软雅黑"/>
          <w:b/>
          <w:bCs/>
          <w:kern w:val="0"/>
          <w:sz w:val="22"/>
          <w:szCs w:val="22"/>
          <w:vertAlign w:val="baseline"/>
        </w:rPr>
      </w:pPr>
    </w:p>
    <w:p w14:paraId="66884196">
      <w:pPr>
        <w:widowControl/>
        <w:jc w:val="left"/>
        <w:rPr>
          <w:rFonts w:hint="eastAsia" w:ascii="微软雅黑" w:hAnsi="微软雅黑" w:eastAsia="微软雅黑" w:cs="微软雅黑"/>
          <w:b/>
          <w:bCs/>
          <w:kern w:val="0"/>
          <w:sz w:val="22"/>
          <w:szCs w:val="22"/>
          <w:vertAlign w:val="baseline"/>
        </w:rPr>
        <w:sectPr>
          <w:headerReference r:id="rId5" w:type="default"/>
          <w:footerReference r:id="rId6" w:type="default"/>
          <w:pgSz w:w="11906" w:h="16838"/>
          <w:pgMar w:top="1440" w:right="1080" w:bottom="1440" w:left="1080" w:header="851" w:footer="992" w:gutter="0"/>
          <w:pgNumType w:start="1"/>
          <w:cols w:space="425" w:num="1"/>
          <w:docGrid w:type="lines" w:linePitch="312" w:charSpace="0"/>
        </w:sectPr>
      </w:pPr>
    </w:p>
    <w:p w14:paraId="47F4893B">
      <w:pPr>
        <w:spacing w:line="360" w:lineRule="auto"/>
        <w:jc w:val="left"/>
        <w:rPr>
          <w:rFonts w:hint="eastAsia" w:ascii="微软雅黑" w:hAnsi="微软雅黑" w:eastAsia="微软雅黑" w:cs="微软雅黑"/>
          <w:b/>
          <w:bCs/>
          <w:kern w:val="0"/>
          <w:sz w:val="22"/>
          <w:szCs w:val="22"/>
          <w:vertAlign w:val="baseline"/>
        </w:rPr>
      </w:pPr>
      <w:r>
        <w:rPr>
          <w:rFonts w:hint="eastAsia" w:ascii="微软雅黑" w:hAnsi="微软雅黑" w:eastAsia="微软雅黑" w:cs="微软雅黑"/>
          <w:b/>
          <w:bCs/>
          <w:kern w:val="0"/>
          <w:sz w:val="22"/>
          <w:szCs w:val="22"/>
          <w:vertAlign w:val="baseline"/>
        </w:rPr>
        <w:t>附件2 收费标准</w:t>
      </w:r>
    </w:p>
    <w:p w14:paraId="0B417215">
      <w:pPr>
        <w:spacing w:line="360" w:lineRule="auto"/>
        <w:jc w:val="left"/>
        <w:rPr>
          <w:rFonts w:ascii="Calibri" w:hAnsi="Calibri"/>
          <w:kern w:val="0"/>
          <w:sz w:val="20"/>
          <w:vertAlign w:val="baseline"/>
        </w:rPr>
      </w:pPr>
    </w:p>
    <w:tbl>
      <w:tblPr>
        <w:tblStyle w:val="18"/>
        <w:tblW w:w="14308" w:type="dxa"/>
        <w:tblInd w:w="0" w:type="dxa"/>
        <w:tblLayout w:type="autofit"/>
        <w:tblCellMar>
          <w:top w:w="0" w:type="dxa"/>
          <w:left w:w="108" w:type="dxa"/>
          <w:bottom w:w="0" w:type="dxa"/>
          <w:right w:w="108" w:type="dxa"/>
        </w:tblCellMar>
      </w:tblPr>
      <w:tblGrid>
        <w:gridCol w:w="1190"/>
        <w:gridCol w:w="1191"/>
        <w:gridCol w:w="1191"/>
        <w:gridCol w:w="1191"/>
        <w:gridCol w:w="1192"/>
        <w:gridCol w:w="1191"/>
        <w:gridCol w:w="1191"/>
        <w:gridCol w:w="1191"/>
        <w:gridCol w:w="1191"/>
        <w:gridCol w:w="1191"/>
        <w:gridCol w:w="1191"/>
        <w:gridCol w:w="1196"/>
        <w:gridCol w:w="11"/>
      </w:tblGrid>
      <w:tr w14:paraId="2FECEB2F">
        <w:tblPrEx>
          <w:tblCellMar>
            <w:top w:w="0" w:type="dxa"/>
            <w:left w:w="108" w:type="dxa"/>
            <w:bottom w:w="0" w:type="dxa"/>
            <w:right w:w="108" w:type="dxa"/>
          </w:tblCellMar>
        </w:tblPrEx>
        <w:trPr>
          <w:trHeight w:val="489" w:hRule="atLeast"/>
        </w:trPr>
        <w:tc>
          <w:tcPr>
            <w:tcW w:w="1190" w:type="dxa"/>
            <w:vMerge w:val="restart"/>
            <w:tcBorders>
              <w:top w:val="single" w:color="auto" w:sz="8" w:space="0"/>
              <w:left w:val="single" w:color="auto" w:sz="8" w:space="0"/>
              <w:bottom w:val="single" w:color="000000" w:sz="8" w:space="0"/>
              <w:right w:val="single" w:color="auto" w:sz="8" w:space="0"/>
            </w:tcBorders>
            <w:vAlign w:val="center"/>
          </w:tcPr>
          <w:p w14:paraId="68C23457">
            <w:pPr>
              <w:widowControl/>
              <w:jc w:val="center"/>
              <w:rPr>
                <w:rFonts w:hint="eastAsia" w:ascii="微软雅黑" w:hAnsi="微软雅黑" w:eastAsia="微软雅黑" w:cs="宋体"/>
                <w:color w:val="000000"/>
                <w:kern w:val="0"/>
                <w:sz w:val="18"/>
                <w:szCs w:val="18"/>
                <w:vertAlign w:val="baseline"/>
              </w:rPr>
            </w:pPr>
            <w:bookmarkStart w:id="0" w:name="_GoBack" w:colFirst="0" w:colLast="11"/>
            <w:r>
              <w:rPr>
                <w:rFonts w:hint="eastAsia" w:ascii="微软雅黑" w:hAnsi="微软雅黑" w:eastAsia="微软雅黑" w:cs="宋体"/>
                <w:color w:val="000000"/>
                <w:kern w:val="0"/>
                <w:sz w:val="18"/>
                <w:szCs w:val="18"/>
              </w:rPr>
              <w:t>序号</w:t>
            </w:r>
          </w:p>
        </w:tc>
        <w:tc>
          <w:tcPr>
            <w:tcW w:w="1191" w:type="dxa"/>
            <w:vMerge w:val="restart"/>
            <w:tcBorders>
              <w:top w:val="single" w:color="auto" w:sz="8" w:space="0"/>
              <w:left w:val="single" w:color="auto" w:sz="8" w:space="0"/>
              <w:bottom w:val="single" w:color="000000" w:sz="8" w:space="0"/>
              <w:right w:val="single" w:color="auto" w:sz="8" w:space="0"/>
            </w:tcBorders>
            <w:vAlign w:val="center"/>
          </w:tcPr>
          <w:p w14:paraId="7D5EEDF4">
            <w:pPr>
              <w:widowControl/>
              <w:jc w:val="center"/>
              <w:rPr>
                <w:rFonts w:hint="eastAsia" w:ascii="微软雅黑" w:hAnsi="微软雅黑" w:eastAsia="微软雅黑" w:cs="宋体"/>
                <w:color w:val="000000"/>
                <w:kern w:val="0"/>
                <w:sz w:val="18"/>
                <w:szCs w:val="18"/>
                <w:vertAlign w:val="baseline"/>
              </w:rPr>
            </w:pPr>
            <w:r>
              <w:rPr>
                <w:rFonts w:hint="eastAsia" w:ascii="微软雅黑" w:hAnsi="微软雅黑" w:eastAsia="微软雅黑" w:cs="宋体"/>
                <w:color w:val="000000"/>
                <w:kern w:val="0"/>
                <w:sz w:val="18"/>
                <w:szCs w:val="18"/>
              </w:rPr>
              <w:t>公司名称</w:t>
            </w:r>
          </w:p>
        </w:tc>
        <w:tc>
          <w:tcPr>
            <w:tcW w:w="11927" w:type="dxa"/>
            <w:gridSpan w:val="11"/>
            <w:tcBorders>
              <w:top w:val="single" w:color="auto" w:sz="8" w:space="0"/>
              <w:left w:val="nil"/>
              <w:bottom w:val="single" w:color="auto" w:sz="8" w:space="0"/>
              <w:right w:val="single" w:color="000000" w:sz="8" w:space="0"/>
            </w:tcBorders>
            <w:vAlign w:val="center"/>
          </w:tcPr>
          <w:p w14:paraId="3DDBAF9D">
            <w:pPr>
              <w:widowControl/>
              <w:jc w:val="center"/>
              <w:rPr>
                <w:rFonts w:hint="eastAsia" w:ascii="微软雅黑" w:hAnsi="微软雅黑" w:eastAsia="微软雅黑" w:cs="宋体"/>
                <w:color w:val="000000"/>
                <w:kern w:val="0"/>
                <w:sz w:val="18"/>
                <w:szCs w:val="18"/>
                <w:vertAlign w:val="baseline"/>
              </w:rPr>
            </w:pPr>
            <w:r>
              <w:rPr>
                <w:rFonts w:hint="eastAsia" w:ascii="微软雅黑" w:hAnsi="微软雅黑" w:eastAsia="微软雅黑" w:cs="宋体"/>
                <w:color w:val="000000"/>
                <w:kern w:val="0"/>
                <w:sz w:val="18"/>
                <w:szCs w:val="18"/>
              </w:rPr>
              <w:t>收费标准</w:t>
            </w:r>
          </w:p>
        </w:tc>
      </w:tr>
      <w:tr w14:paraId="0F2A4F73">
        <w:tblPrEx>
          <w:tblCellMar>
            <w:top w:w="0" w:type="dxa"/>
            <w:left w:w="108" w:type="dxa"/>
            <w:bottom w:w="0" w:type="dxa"/>
            <w:right w:w="108" w:type="dxa"/>
          </w:tblCellMar>
        </w:tblPrEx>
        <w:trPr>
          <w:gridAfter w:val="1"/>
          <w:wAfter w:w="11" w:type="dxa"/>
          <w:trHeight w:val="945" w:hRule="atLeast"/>
        </w:trPr>
        <w:tc>
          <w:tcPr>
            <w:tcW w:w="1190" w:type="dxa"/>
            <w:vMerge w:val="continue"/>
            <w:tcBorders>
              <w:top w:val="single" w:color="auto" w:sz="8" w:space="0"/>
              <w:left w:val="single" w:color="auto" w:sz="8" w:space="0"/>
              <w:bottom w:val="single" w:color="000000" w:sz="8" w:space="0"/>
              <w:right w:val="single" w:color="auto" w:sz="8" w:space="0"/>
            </w:tcBorders>
            <w:vAlign w:val="center"/>
          </w:tcPr>
          <w:p w14:paraId="2F07390D">
            <w:pPr>
              <w:widowControl/>
              <w:jc w:val="left"/>
              <w:rPr>
                <w:rFonts w:hint="eastAsia" w:ascii="微软雅黑" w:hAnsi="微软雅黑" w:eastAsia="微软雅黑" w:cs="宋体"/>
                <w:color w:val="000000"/>
                <w:kern w:val="0"/>
                <w:sz w:val="18"/>
                <w:szCs w:val="18"/>
                <w:vertAlign w:val="baseline"/>
              </w:rPr>
            </w:pPr>
          </w:p>
        </w:tc>
        <w:tc>
          <w:tcPr>
            <w:tcW w:w="1191" w:type="dxa"/>
            <w:vMerge w:val="continue"/>
            <w:tcBorders>
              <w:top w:val="single" w:color="auto" w:sz="8" w:space="0"/>
              <w:left w:val="single" w:color="auto" w:sz="8" w:space="0"/>
              <w:bottom w:val="single" w:color="000000" w:sz="8" w:space="0"/>
              <w:right w:val="single" w:color="auto" w:sz="8" w:space="0"/>
            </w:tcBorders>
            <w:vAlign w:val="center"/>
          </w:tcPr>
          <w:p w14:paraId="43246C6F">
            <w:pPr>
              <w:widowControl/>
              <w:jc w:val="left"/>
              <w:rPr>
                <w:rFonts w:hint="eastAsia" w:ascii="微软雅黑" w:hAnsi="微软雅黑" w:eastAsia="微软雅黑" w:cs="宋体"/>
                <w:color w:val="000000"/>
                <w:kern w:val="0"/>
                <w:sz w:val="18"/>
                <w:szCs w:val="18"/>
                <w:vertAlign w:val="baseline"/>
              </w:rPr>
            </w:pPr>
          </w:p>
        </w:tc>
        <w:tc>
          <w:tcPr>
            <w:tcW w:w="1191" w:type="dxa"/>
            <w:vMerge w:val="restart"/>
            <w:tcBorders>
              <w:top w:val="nil"/>
              <w:left w:val="single" w:color="auto" w:sz="8" w:space="0"/>
              <w:bottom w:val="single" w:color="000000" w:sz="8" w:space="0"/>
              <w:right w:val="single" w:color="auto" w:sz="8" w:space="0"/>
            </w:tcBorders>
            <w:vAlign w:val="center"/>
          </w:tcPr>
          <w:p w14:paraId="6760A774">
            <w:pPr>
              <w:widowControl/>
              <w:jc w:val="center"/>
              <w:rPr>
                <w:rFonts w:hint="eastAsia" w:ascii="微软雅黑" w:hAnsi="微软雅黑" w:eastAsia="微软雅黑" w:cs="宋体"/>
                <w:color w:val="000000"/>
                <w:kern w:val="0"/>
                <w:sz w:val="18"/>
                <w:szCs w:val="18"/>
                <w:vertAlign w:val="baseline"/>
              </w:rPr>
            </w:pPr>
            <w:r>
              <w:rPr>
                <w:rFonts w:hint="eastAsia" w:ascii="微软雅黑" w:hAnsi="微软雅黑" w:eastAsia="微软雅黑" w:cs="宋体"/>
                <w:color w:val="000000"/>
                <w:kern w:val="0"/>
                <w:sz w:val="18"/>
                <w:szCs w:val="18"/>
              </w:rPr>
              <w:t>包干费用【元】</w:t>
            </w:r>
          </w:p>
        </w:tc>
        <w:tc>
          <w:tcPr>
            <w:tcW w:w="2383" w:type="dxa"/>
            <w:gridSpan w:val="2"/>
            <w:vMerge w:val="restart"/>
            <w:tcBorders>
              <w:top w:val="single" w:color="auto" w:sz="8" w:space="0"/>
              <w:left w:val="single" w:color="auto" w:sz="8" w:space="0"/>
              <w:bottom w:val="single" w:color="000000" w:sz="8" w:space="0"/>
              <w:right w:val="single" w:color="000000" w:sz="8" w:space="0"/>
            </w:tcBorders>
            <w:vAlign w:val="center"/>
          </w:tcPr>
          <w:p w14:paraId="0204F1C6">
            <w:pPr>
              <w:widowControl/>
              <w:jc w:val="center"/>
              <w:rPr>
                <w:rFonts w:hint="eastAsia" w:ascii="微软雅黑" w:hAnsi="微软雅黑" w:eastAsia="微软雅黑" w:cs="宋体"/>
                <w:color w:val="000000"/>
                <w:kern w:val="0"/>
                <w:sz w:val="18"/>
                <w:szCs w:val="18"/>
                <w:vertAlign w:val="baseline"/>
              </w:rPr>
            </w:pPr>
            <w:r>
              <w:rPr>
                <w:rFonts w:hint="eastAsia" w:ascii="微软雅黑" w:hAnsi="微软雅黑" w:eastAsia="微软雅黑" w:cs="宋体"/>
                <w:color w:val="000000"/>
                <w:kern w:val="0"/>
                <w:sz w:val="18"/>
                <w:szCs w:val="18"/>
              </w:rPr>
              <w:t>仓储服务费用</w:t>
            </w:r>
          </w:p>
        </w:tc>
        <w:tc>
          <w:tcPr>
            <w:tcW w:w="1191" w:type="dxa"/>
            <w:vMerge w:val="restart"/>
            <w:tcBorders>
              <w:top w:val="nil"/>
              <w:left w:val="single" w:color="auto" w:sz="8" w:space="0"/>
              <w:bottom w:val="single" w:color="000000" w:sz="8" w:space="0"/>
              <w:right w:val="single" w:color="auto" w:sz="8" w:space="0"/>
            </w:tcBorders>
            <w:vAlign w:val="center"/>
          </w:tcPr>
          <w:p w14:paraId="12BBEA3C">
            <w:pPr>
              <w:widowControl/>
              <w:jc w:val="center"/>
              <w:rPr>
                <w:rFonts w:hint="eastAsia" w:ascii="微软雅黑" w:hAnsi="微软雅黑" w:eastAsia="微软雅黑" w:cs="宋体"/>
                <w:color w:val="000000"/>
                <w:kern w:val="0"/>
                <w:sz w:val="18"/>
                <w:szCs w:val="18"/>
                <w:vertAlign w:val="baseline"/>
              </w:rPr>
            </w:pPr>
            <w:r>
              <w:rPr>
                <w:rFonts w:hint="eastAsia" w:ascii="微软雅黑" w:hAnsi="微软雅黑" w:eastAsia="微软雅黑" w:cs="宋体"/>
                <w:color w:val="000000"/>
                <w:kern w:val="0"/>
                <w:sz w:val="18"/>
                <w:szCs w:val="18"/>
              </w:rPr>
              <w:t>销售额提取比例</w:t>
            </w:r>
          </w:p>
        </w:tc>
        <w:tc>
          <w:tcPr>
            <w:tcW w:w="1191" w:type="dxa"/>
            <w:vMerge w:val="restart"/>
            <w:tcBorders>
              <w:top w:val="nil"/>
              <w:left w:val="single" w:color="auto" w:sz="8" w:space="0"/>
              <w:bottom w:val="single" w:color="000000" w:sz="8" w:space="0"/>
              <w:right w:val="single" w:color="auto" w:sz="8" w:space="0"/>
            </w:tcBorders>
            <w:vAlign w:val="center"/>
          </w:tcPr>
          <w:p w14:paraId="4E15C735">
            <w:pPr>
              <w:widowControl/>
              <w:jc w:val="center"/>
              <w:rPr>
                <w:rFonts w:hint="eastAsia" w:ascii="微软雅黑" w:hAnsi="微软雅黑" w:eastAsia="微软雅黑" w:cs="宋体"/>
                <w:color w:val="000000"/>
                <w:kern w:val="0"/>
                <w:sz w:val="18"/>
                <w:szCs w:val="18"/>
                <w:vertAlign w:val="baseline"/>
              </w:rPr>
            </w:pPr>
            <w:r>
              <w:rPr>
                <w:rFonts w:hint="eastAsia" w:ascii="微软雅黑" w:hAnsi="微软雅黑" w:eastAsia="微软雅黑" w:cs="宋体"/>
                <w:color w:val="000000"/>
                <w:kern w:val="0"/>
                <w:sz w:val="18"/>
                <w:szCs w:val="18"/>
              </w:rPr>
              <w:t>按件(台)收费【件/元】</w:t>
            </w:r>
          </w:p>
        </w:tc>
        <w:tc>
          <w:tcPr>
            <w:tcW w:w="1191" w:type="dxa"/>
            <w:tcBorders>
              <w:top w:val="nil"/>
              <w:left w:val="nil"/>
              <w:bottom w:val="nil"/>
              <w:right w:val="single" w:color="auto" w:sz="8" w:space="0"/>
            </w:tcBorders>
            <w:vAlign w:val="center"/>
          </w:tcPr>
          <w:p w14:paraId="34880AB4">
            <w:pPr>
              <w:widowControl/>
              <w:jc w:val="center"/>
              <w:rPr>
                <w:rFonts w:hint="eastAsia" w:ascii="微软雅黑" w:hAnsi="微软雅黑" w:eastAsia="微软雅黑" w:cs="宋体"/>
                <w:color w:val="000000"/>
                <w:kern w:val="0"/>
                <w:sz w:val="18"/>
                <w:szCs w:val="18"/>
                <w:vertAlign w:val="baseline"/>
              </w:rPr>
            </w:pPr>
            <w:r>
              <w:rPr>
                <w:rFonts w:hint="eastAsia" w:ascii="微软雅黑" w:hAnsi="微软雅黑" w:eastAsia="微软雅黑" w:cs="宋体"/>
                <w:color w:val="000000"/>
                <w:kern w:val="0"/>
                <w:sz w:val="18"/>
                <w:szCs w:val="18"/>
              </w:rPr>
              <w:t>物流辅助服务费用（不含器具返空）</w:t>
            </w:r>
          </w:p>
        </w:tc>
        <w:tc>
          <w:tcPr>
            <w:tcW w:w="1191" w:type="dxa"/>
            <w:tcBorders>
              <w:top w:val="nil"/>
              <w:left w:val="nil"/>
              <w:bottom w:val="nil"/>
              <w:right w:val="single" w:color="auto" w:sz="8" w:space="0"/>
            </w:tcBorders>
            <w:vAlign w:val="center"/>
          </w:tcPr>
          <w:p w14:paraId="620F7C0C">
            <w:pPr>
              <w:widowControl/>
              <w:jc w:val="center"/>
              <w:rPr>
                <w:rFonts w:hint="eastAsia" w:ascii="微软雅黑" w:hAnsi="微软雅黑" w:eastAsia="微软雅黑" w:cs="宋体"/>
                <w:color w:val="000000"/>
                <w:kern w:val="0"/>
                <w:sz w:val="18"/>
                <w:szCs w:val="18"/>
                <w:vertAlign w:val="baseline"/>
              </w:rPr>
            </w:pPr>
            <w:r>
              <w:rPr>
                <w:rFonts w:hint="eastAsia" w:ascii="微软雅黑" w:hAnsi="微软雅黑" w:eastAsia="微软雅黑" w:cs="宋体"/>
                <w:color w:val="000000"/>
                <w:kern w:val="0"/>
                <w:sz w:val="18"/>
                <w:szCs w:val="18"/>
              </w:rPr>
              <w:t>器具返空费用</w:t>
            </w:r>
          </w:p>
        </w:tc>
        <w:tc>
          <w:tcPr>
            <w:tcW w:w="1191" w:type="dxa"/>
            <w:tcBorders>
              <w:top w:val="nil"/>
              <w:left w:val="nil"/>
              <w:bottom w:val="nil"/>
              <w:right w:val="single" w:color="auto" w:sz="8" w:space="0"/>
            </w:tcBorders>
            <w:vAlign w:val="center"/>
          </w:tcPr>
          <w:p w14:paraId="0716BE57">
            <w:pPr>
              <w:widowControl/>
              <w:jc w:val="center"/>
              <w:rPr>
                <w:rFonts w:hint="eastAsia" w:ascii="微软雅黑" w:hAnsi="微软雅黑" w:eastAsia="微软雅黑" w:cs="宋体"/>
                <w:color w:val="000000"/>
                <w:kern w:val="0"/>
                <w:sz w:val="18"/>
                <w:szCs w:val="18"/>
                <w:vertAlign w:val="baseline"/>
              </w:rPr>
            </w:pPr>
            <w:r>
              <w:rPr>
                <w:rFonts w:hint="eastAsia" w:ascii="微软雅黑" w:hAnsi="微软雅黑" w:eastAsia="微软雅黑" w:cs="宋体"/>
                <w:color w:val="000000"/>
                <w:kern w:val="0"/>
                <w:sz w:val="18"/>
                <w:szCs w:val="18"/>
              </w:rPr>
              <w:t>代检费</w:t>
            </w:r>
          </w:p>
        </w:tc>
        <w:tc>
          <w:tcPr>
            <w:tcW w:w="1191" w:type="dxa"/>
            <w:tcBorders>
              <w:top w:val="nil"/>
              <w:left w:val="nil"/>
              <w:bottom w:val="nil"/>
              <w:right w:val="single" w:color="auto" w:sz="8" w:space="0"/>
            </w:tcBorders>
            <w:vAlign w:val="center"/>
          </w:tcPr>
          <w:p w14:paraId="0E90CB40">
            <w:pPr>
              <w:widowControl/>
              <w:jc w:val="center"/>
              <w:rPr>
                <w:rFonts w:hint="eastAsia" w:ascii="微软雅黑" w:hAnsi="微软雅黑" w:eastAsia="微软雅黑" w:cs="宋体"/>
                <w:color w:val="000000"/>
                <w:kern w:val="0"/>
                <w:sz w:val="18"/>
                <w:szCs w:val="18"/>
                <w:vertAlign w:val="baseline"/>
              </w:rPr>
            </w:pPr>
            <w:r>
              <w:rPr>
                <w:rFonts w:hint="eastAsia" w:ascii="微软雅黑" w:hAnsi="微软雅黑" w:eastAsia="微软雅黑" w:cs="宋体"/>
                <w:color w:val="000000"/>
                <w:kern w:val="0"/>
                <w:sz w:val="18"/>
                <w:szCs w:val="18"/>
              </w:rPr>
              <w:t>翻包费（需甲方提供包装）</w:t>
            </w:r>
          </w:p>
        </w:tc>
        <w:tc>
          <w:tcPr>
            <w:tcW w:w="1196" w:type="dxa"/>
            <w:tcBorders>
              <w:top w:val="nil"/>
              <w:left w:val="nil"/>
              <w:bottom w:val="nil"/>
              <w:right w:val="single" w:color="auto" w:sz="8" w:space="0"/>
            </w:tcBorders>
            <w:vAlign w:val="center"/>
          </w:tcPr>
          <w:p w14:paraId="63D22034">
            <w:pPr>
              <w:widowControl/>
              <w:jc w:val="center"/>
              <w:rPr>
                <w:rFonts w:hint="eastAsia" w:ascii="微软雅黑" w:hAnsi="微软雅黑" w:eastAsia="微软雅黑" w:cs="宋体"/>
                <w:color w:val="000000"/>
                <w:kern w:val="0"/>
                <w:sz w:val="18"/>
                <w:szCs w:val="18"/>
                <w:vertAlign w:val="baseline"/>
              </w:rPr>
            </w:pPr>
            <w:r>
              <w:rPr>
                <w:rFonts w:hint="eastAsia" w:ascii="微软雅黑" w:hAnsi="微软雅黑" w:eastAsia="微软雅黑" w:cs="宋体"/>
                <w:color w:val="000000"/>
                <w:kern w:val="0"/>
                <w:sz w:val="18"/>
                <w:szCs w:val="18"/>
              </w:rPr>
              <w:t>看板打印、贴标费用</w:t>
            </w:r>
          </w:p>
        </w:tc>
      </w:tr>
      <w:tr w14:paraId="523EAED6">
        <w:tblPrEx>
          <w:tblCellMar>
            <w:top w:w="0" w:type="dxa"/>
            <w:left w:w="108" w:type="dxa"/>
            <w:bottom w:w="0" w:type="dxa"/>
            <w:right w:w="108" w:type="dxa"/>
          </w:tblCellMar>
        </w:tblPrEx>
        <w:trPr>
          <w:gridAfter w:val="1"/>
          <w:wAfter w:w="11" w:type="dxa"/>
          <w:trHeight w:val="489" w:hRule="atLeast"/>
        </w:trPr>
        <w:tc>
          <w:tcPr>
            <w:tcW w:w="1190" w:type="dxa"/>
            <w:vMerge w:val="continue"/>
            <w:tcBorders>
              <w:top w:val="single" w:color="auto" w:sz="8" w:space="0"/>
              <w:left w:val="single" w:color="auto" w:sz="8" w:space="0"/>
              <w:bottom w:val="single" w:color="000000" w:sz="8" w:space="0"/>
              <w:right w:val="single" w:color="auto" w:sz="8" w:space="0"/>
            </w:tcBorders>
            <w:vAlign w:val="center"/>
          </w:tcPr>
          <w:p w14:paraId="6536991C">
            <w:pPr>
              <w:widowControl/>
              <w:jc w:val="left"/>
              <w:rPr>
                <w:rFonts w:hint="eastAsia" w:ascii="微软雅黑" w:hAnsi="微软雅黑" w:eastAsia="微软雅黑" w:cs="宋体"/>
                <w:color w:val="000000"/>
                <w:kern w:val="0"/>
                <w:sz w:val="18"/>
                <w:szCs w:val="18"/>
                <w:vertAlign w:val="baseline"/>
              </w:rPr>
            </w:pPr>
          </w:p>
        </w:tc>
        <w:tc>
          <w:tcPr>
            <w:tcW w:w="1191" w:type="dxa"/>
            <w:vMerge w:val="continue"/>
            <w:tcBorders>
              <w:top w:val="single" w:color="auto" w:sz="8" w:space="0"/>
              <w:left w:val="single" w:color="auto" w:sz="8" w:space="0"/>
              <w:bottom w:val="single" w:color="000000" w:sz="8" w:space="0"/>
              <w:right w:val="single" w:color="auto" w:sz="8" w:space="0"/>
            </w:tcBorders>
            <w:vAlign w:val="center"/>
          </w:tcPr>
          <w:p w14:paraId="7A9CB90F">
            <w:pPr>
              <w:widowControl/>
              <w:jc w:val="left"/>
              <w:rPr>
                <w:rFonts w:hint="eastAsia" w:ascii="微软雅黑" w:hAnsi="微软雅黑" w:eastAsia="微软雅黑" w:cs="宋体"/>
                <w:color w:val="000000"/>
                <w:kern w:val="0"/>
                <w:sz w:val="18"/>
                <w:szCs w:val="18"/>
                <w:vertAlign w:val="baseline"/>
              </w:rPr>
            </w:pPr>
          </w:p>
        </w:tc>
        <w:tc>
          <w:tcPr>
            <w:tcW w:w="1191" w:type="dxa"/>
            <w:vMerge w:val="continue"/>
            <w:tcBorders>
              <w:top w:val="nil"/>
              <w:left w:val="single" w:color="auto" w:sz="8" w:space="0"/>
              <w:bottom w:val="single" w:color="000000" w:sz="8" w:space="0"/>
              <w:right w:val="single" w:color="auto" w:sz="8" w:space="0"/>
            </w:tcBorders>
            <w:vAlign w:val="center"/>
          </w:tcPr>
          <w:p w14:paraId="6974783F">
            <w:pPr>
              <w:widowControl/>
              <w:jc w:val="left"/>
              <w:rPr>
                <w:rFonts w:hint="eastAsia" w:ascii="微软雅黑" w:hAnsi="微软雅黑" w:eastAsia="微软雅黑" w:cs="宋体"/>
                <w:color w:val="000000"/>
                <w:kern w:val="0"/>
                <w:sz w:val="18"/>
                <w:szCs w:val="18"/>
                <w:vertAlign w:val="baseline"/>
              </w:rPr>
            </w:pPr>
          </w:p>
        </w:tc>
        <w:tc>
          <w:tcPr>
            <w:tcW w:w="2383" w:type="dxa"/>
            <w:gridSpan w:val="2"/>
            <w:vMerge w:val="continue"/>
            <w:tcBorders>
              <w:top w:val="single" w:color="auto" w:sz="8" w:space="0"/>
              <w:left w:val="single" w:color="auto" w:sz="8" w:space="0"/>
              <w:bottom w:val="single" w:color="000000" w:sz="8" w:space="0"/>
              <w:right w:val="single" w:color="000000" w:sz="8" w:space="0"/>
            </w:tcBorders>
            <w:vAlign w:val="center"/>
          </w:tcPr>
          <w:p w14:paraId="3435F635">
            <w:pPr>
              <w:widowControl/>
              <w:jc w:val="left"/>
              <w:rPr>
                <w:rFonts w:hint="eastAsia" w:ascii="微软雅黑" w:hAnsi="微软雅黑" w:eastAsia="微软雅黑" w:cs="宋体"/>
                <w:color w:val="000000"/>
                <w:kern w:val="0"/>
                <w:sz w:val="18"/>
                <w:szCs w:val="18"/>
                <w:vertAlign w:val="baseline"/>
              </w:rPr>
            </w:pPr>
          </w:p>
        </w:tc>
        <w:tc>
          <w:tcPr>
            <w:tcW w:w="1191" w:type="dxa"/>
            <w:vMerge w:val="continue"/>
            <w:tcBorders>
              <w:top w:val="nil"/>
              <w:left w:val="single" w:color="auto" w:sz="8" w:space="0"/>
              <w:bottom w:val="single" w:color="000000" w:sz="8" w:space="0"/>
              <w:right w:val="single" w:color="auto" w:sz="8" w:space="0"/>
            </w:tcBorders>
            <w:vAlign w:val="center"/>
          </w:tcPr>
          <w:p w14:paraId="1533299F">
            <w:pPr>
              <w:widowControl/>
              <w:jc w:val="left"/>
              <w:rPr>
                <w:rFonts w:hint="eastAsia" w:ascii="微软雅黑" w:hAnsi="微软雅黑" w:eastAsia="微软雅黑" w:cs="宋体"/>
                <w:color w:val="000000"/>
                <w:kern w:val="0"/>
                <w:sz w:val="18"/>
                <w:szCs w:val="18"/>
                <w:vertAlign w:val="baseline"/>
              </w:rPr>
            </w:pPr>
          </w:p>
        </w:tc>
        <w:tc>
          <w:tcPr>
            <w:tcW w:w="1191" w:type="dxa"/>
            <w:vMerge w:val="continue"/>
            <w:tcBorders>
              <w:top w:val="nil"/>
              <w:left w:val="single" w:color="auto" w:sz="8" w:space="0"/>
              <w:bottom w:val="single" w:color="000000" w:sz="8" w:space="0"/>
              <w:right w:val="single" w:color="auto" w:sz="8" w:space="0"/>
            </w:tcBorders>
            <w:vAlign w:val="center"/>
          </w:tcPr>
          <w:p w14:paraId="66D06E7C">
            <w:pPr>
              <w:widowControl/>
              <w:jc w:val="left"/>
              <w:rPr>
                <w:rFonts w:hint="eastAsia" w:ascii="微软雅黑" w:hAnsi="微软雅黑" w:eastAsia="微软雅黑" w:cs="宋体"/>
                <w:color w:val="000000"/>
                <w:kern w:val="0"/>
                <w:sz w:val="18"/>
                <w:szCs w:val="18"/>
                <w:vertAlign w:val="baseline"/>
              </w:rPr>
            </w:pPr>
          </w:p>
        </w:tc>
        <w:tc>
          <w:tcPr>
            <w:tcW w:w="1191" w:type="dxa"/>
            <w:tcBorders>
              <w:top w:val="nil"/>
              <w:left w:val="nil"/>
              <w:bottom w:val="nil"/>
              <w:right w:val="single" w:color="auto" w:sz="8" w:space="0"/>
            </w:tcBorders>
            <w:vAlign w:val="center"/>
          </w:tcPr>
          <w:p w14:paraId="652B6DF3">
            <w:pPr>
              <w:widowControl/>
              <w:rPr>
                <w:rFonts w:hint="eastAsia" w:ascii="微软雅黑" w:hAnsi="微软雅黑" w:eastAsia="微软雅黑" w:cs="宋体"/>
                <w:color w:val="000000"/>
                <w:kern w:val="0"/>
                <w:sz w:val="18"/>
                <w:szCs w:val="18"/>
                <w:vertAlign w:val="baseline"/>
              </w:rPr>
            </w:pPr>
            <w:r>
              <w:rPr>
                <w:rFonts w:hint="eastAsia" w:ascii="微软雅黑" w:hAnsi="微软雅黑" w:eastAsia="微软雅黑" w:cs="宋体"/>
                <w:color w:val="000000"/>
                <w:kern w:val="0"/>
                <w:sz w:val="18"/>
                <w:szCs w:val="18"/>
              </w:rPr>
              <w:t>【元/m³】</w:t>
            </w:r>
          </w:p>
        </w:tc>
        <w:tc>
          <w:tcPr>
            <w:tcW w:w="1191" w:type="dxa"/>
            <w:tcBorders>
              <w:top w:val="nil"/>
              <w:left w:val="nil"/>
              <w:bottom w:val="nil"/>
              <w:right w:val="single" w:color="auto" w:sz="8" w:space="0"/>
            </w:tcBorders>
            <w:vAlign w:val="center"/>
          </w:tcPr>
          <w:p w14:paraId="4E25FA7D">
            <w:pPr>
              <w:widowControl/>
              <w:rPr>
                <w:rFonts w:hint="eastAsia" w:ascii="微软雅黑" w:hAnsi="微软雅黑" w:eastAsia="微软雅黑" w:cs="宋体"/>
                <w:color w:val="000000"/>
                <w:kern w:val="0"/>
                <w:sz w:val="18"/>
                <w:szCs w:val="18"/>
                <w:vertAlign w:val="baseline"/>
              </w:rPr>
            </w:pPr>
            <w:r>
              <w:rPr>
                <w:rFonts w:hint="eastAsia" w:ascii="微软雅黑" w:hAnsi="微软雅黑" w:eastAsia="微软雅黑" w:cs="宋体"/>
                <w:color w:val="000000"/>
                <w:kern w:val="0"/>
                <w:sz w:val="18"/>
                <w:szCs w:val="18"/>
              </w:rPr>
              <w:t>【元/m³】</w:t>
            </w:r>
          </w:p>
        </w:tc>
        <w:tc>
          <w:tcPr>
            <w:tcW w:w="1191" w:type="dxa"/>
            <w:tcBorders>
              <w:top w:val="nil"/>
              <w:left w:val="nil"/>
              <w:bottom w:val="nil"/>
              <w:right w:val="single" w:color="auto" w:sz="8" w:space="0"/>
            </w:tcBorders>
            <w:vAlign w:val="center"/>
          </w:tcPr>
          <w:p w14:paraId="220766E0">
            <w:pPr>
              <w:widowControl/>
              <w:rPr>
                <w:rFonts w:hint="eastAsia" w:ascii="微软雅黑" w:hAnsi="微软雅黑" w:eastAsia="微软雅黑" w:cs="宋体"/>
                <w:color w:val="000000"/>
                <w:kern w:val="0"/>
                <w:sz w:val="18"/>
                <w:szCs w:val="18"/>
                <w:vertAlign w:val="baseline"/>
              </w:rPr>
            </w:pPr>
            <w:r>
              <w:rPr>
                <w:rFonts w:hint="eastAsia" w:ascii="微软雅黑" w:hAnsi="微软雅黑" w:eastAsia="微软雅黑" w:cs="宋体"/>
                <w:color w:val="000000"/>
                <w:kern w:val="0"/>
                <w:sz w:val="18"/>
                <w:szCs w:val="18"/>
              </w:rPr>
              <w:t>【元/月】</w:t>
            </w:r>
          </w:p>
        </w:tc>
        <w:tc>
          <w:tcPr>
            <w:tcW w:w="1191" w:type="dxa"/>
            <w:tcBorders>
              <w:top w:val="nil"/>
              <w:left w:val="nil"/>
              <w:bottom w:val="nil"/>
              <w:right w:val="single" w:color="auto" w:sz="8" w:space="0"/>
            </w:tcBorders>
            <w:vAlign w:val="center"/>
          </w:tcPr>
          <w:p w14:paraId="11027492">
            <w:pPr>
              <w:widowControl/>
              <w:rPr>
                <w:rFonts w:hint="eastAsia" w:ascii="微软雅黑" w:hAnsi="微软雅黑" w:eastAsia="微软雅黑" w:cs="宋体"/>
                <w:color w:val="000000"/>
                <w:kern w:val="0"/>
                <w:sz w:val="18"/>
                <w:szCs w:val="18"/>
                <w:vertAlign w:val="baseline"/>
              </w:rPr>
            </w:pPr>
            <w:r>
              <w:rPr>
                <w:rFonts w:hint="eastAsia" w:ascii="微软雅黑" w:hAnsi="微软雅黑" w:eastAsia="微软雅黑" w:cs="宋体"/>
                <w:color w:val="000000"/>
                <w:kern w:val="0"/>
                <w:sz w:val="18"/>
                <w:szCs w:val="18"/>
              </w:rPr>
              <w:t>【元/个】</w:t>
            </w:r>
          </w:p>
        </w:tc>
        <w:tc>
          <w:tcPr>
            <w:tcW w:w="1196" w:type="dxa"/>
            <w:tcBorders>
              <w:top w:val="nil"/>
              <w:left w:val="nil"/>
              <w:bottom w:val="nil"/>
              <w:right w:val="single" w:color="auto" w:sz="8" w:space="0"/>
            </w:tcBorders>
            <w:vAlign w:val="center"/>
          </w:tcPr>
          <w:p w14:paraId="263ECCAC">
            <w:pPr>
              <w:widowControl/>
              <w:rPr>
                <w:rFonts w:hint="eastAsia" w:ascii="微软雅黑" w:hAnsi="微软雅黑" w:eastAsia="微软雅黑" w:cs="宋体"/>
                <w:color w:val="000000"/>
                <w:kern w:val="0"/>
                <w:sz w:val="18"/>
                <w:szCs w:val="18"/>
                <w:vertAlign w:val="baseline"/>
              </w:rPr>
            </w:pPr>
            <w:r>
              <w:rPr>
                <w:rFonts w:hint="eastAsia" w:ascii="微软雅黑" w:hAnsi="微软雅黑" w:eastAsia="微软雅黑" w:cs="宋体"/>
                <w:color w:val="000000"/>
                <w:kern w:val="0"/>
                <w:sz w:val="18"/>
                <w:szCs w:val="18"/>
              </w:rPr>
              <w:t>【元/份】</w:t>
            </w:r>
          </w:p>
        </w:tc>
      </w:tr>
      <w:tr w14:paraId="4E0B83F9">
        <w:tblPrEx>
          <w:tblCellMar>
            <w:top w:w="0" w:type="dxa"/>
            <w:left w:w="108" w:type="dxa"/>
            <w:bottom w:w="0" w:type="dxa"/>
            <w:right w:w="108" w:type="dxa"/>
          </w:tblCellMar>
        </w:tblPrEx>
        <w:trPr>
          <w:gridAfter w:val="1"/>
          <w:wAfter w:w="11" w:type="dxa"/>
          <w:trHeight w:val="930" w:hRule="atLeast"/>
        </w:trPr>
        <w:tc>
          <w:tcPr>
            <w:tcW w:w="1190" w:type="dxa"/>
            <w:vMerge w:val="continue"/>
            <w:tcBorders>
              <w:top w:val="single" w:color="auto" w:sz="8" w:space="0"/>
              <w:left w:val="single" w:color="auto" w:sz="8" w:space="0"/>
              <w:bottom w:val="single" w:color="000000" w:sz="8" w:space="0"/>
              <w:right w:val="single" w:color="auto" w:sz="8" w:space="0"/>
            </w:tcBorders>
            <w:vAlign w:val="center"/>
          </w:tcPr>
          <w:p w14:paraId="49C6251A">
            <w:pPr>
              <w:widowControl/>
              <w:jc w:val="left"/>
              <w:rPr>
                <w:rFonts w:hint="eastAsia" w:ascii="微软雅黑" w:hAnsi="微软雅黑" w:eastAsia="微软雅黑" w:cs="宋体"/>
                <w:color w:val="000000"/>
                <w:kern w:val="0"/>
                <w:sz w:val="18"/>
                <w:szCs w:val="18"/>
                <w:vertAlign w:val="baseline"/>
              </w:rPr>
            </w:pPr>
          </w:p>
        </w:tc>
        <w:tc>
          <w:tcPr>
            <w:tcW w:w="1191" w:type="dxa"/>
            <w:vMerge w:val="continue"/>
            <w:tcBorders>
              <w:top w:val="single" w:color="auto" w:sz="8" w:space="0"/>
              <w:left w:val="single" w:color="auto" w:sz="8" w:space="0"/>
              <w:bottom w:val="single" w:color="000000" w:sz="8" w:space="0"/>
              <w:right w:val="single" w:color="auto" w:sz="8" w:space="0"/>
            </w:tcBorders>
            <w:vAlign w:val="center"/>
          </w:tcPr>
          <w:p w14:paraId="518A3CB9">
            <w:pPr>
              <w:widowControl/>
              <w:jc w:val="left"/>
              <w:rPr>
                <w:rFonts w:hint="eastAsia" w:ascii="微软雅黑" w:hAnsi="微软雅黑" w:eastAsia="微软雅黑" w:cs="宋体"/>
                <w:color w:val="000000"/>
                <w:kern w:val="0"/>
                <w:sz w:val="18"/>
                <w:szCs w:val="18"/>
                <w:vertAlign w:val="baseline"/>
              </w:rPr>
            </w:pPr>
          </w:p>
        </w:tc>
        <w:tc>
          <w:tcPr>
            <w:tcW w:w="1191" w:type="dxa"/>
            <w:vMerge w:val="continue"/>
            <w:tcBorders>
              <w:top w:val="nil"/>
              <w:left w:val="single" w:color="auto" w:sz="8" w:space="0"/>
              <w:bottom w:val="single" w:color="000000" w:sz="8" w:space="0"/>
              <w:right w:val="single" w:color="auto" w:sz="8" w:space="0"/>
            </w:tcBorders>
            <w:vAlign w:val="center"/>
          </w:tcPr>
          <w:p w14:paraId="3F485CB9">
            <w:pPr>
              <w:widowControl/>
              <w:jc w:val="left"/>
              <w:rPr>
                <w:rFonts w:hint="eastAsia" w:ascii="微软雅黑" w:hAnsi="微软雅黑" w:eastAsia="微软雅黑" w:cs="宋体"/>
                <w:color w:val="000000"/>
                <w:kern w:val="0"/>
                <w:sz w:val="18"/>
                <w:szCs w:val="18"/>
                <w:vertAlign w:val="baseline"/>
              </w:rPr>
            </w:pPr>
          </w:p>
        </w:tc>
        <w:tc>
          <w:tcPr>
            <w:tcW w:w="1191" w:type="dxa"/>
            <w:vMerge w:val="restart"/>
            <w:tcBorders>
              <w:top w:val="nil"/>
              <w:left w:val="single" w:color="auto" w:sz="8" w:space="0"/>
              <w:bottom w:val="single" w:color="000000" w:sz="8" w:space="0"/>
              <w:right w:val="single" w:color="auto" w:sz="8" w:space="0"/>
            </w:tcBorders>
            <w:vAlign w:val="center"/>
          </w:tcPr>
          <w:p w14:paraId="561A050A">
            <w:pPr>
              <w:widowControl/>
              <w:jc w:val="center"/>
              <w:rPr>
                <w:rFonts w:hint="eastAsia" w:ascii="微软雅黑" w:hAnsi="微软雅黑" w:eastAsia="微软雅黑" w:cs="宋体"/>
                <w:color w:val="000000"/>
                <w:kern w:val="0"/>
                <w:sz w:val="18"/>
                <w:szCs w:val="18"/>
                <w:vertAlign w:val="baseline"/>
              </w:rPr>
            </w:pPr>
            <w:r>
              <w:rPr>
                <w:rFonts w:hint="eastAsia" w:ascii="微软雅黑" w:hAnsi="微软雅黑" w:eastAsia="微软雅黑" w:cs="宋体"/>
                <w:color w:val="000000"/>
                <w:kern w:val="0"/>
                <w:sz w:val="18"/>
                <w:szCs w:val="18"/>
              </w:rPr>
              <w:t>占用面积【㎡】（包含公摊面积，占比20%）</w:t>
            </w:r>
          </w:p>
        </w:tc>
        <w:tc>
          <w:tcPr>
            <w:tcW w:w="1192" w:type="dxa"/>
            <w:tcBorders>
              <w:top w:val="nil"/>
              <w:left w:val="nil"/>
              <w:bottom w:val="nil"/>
              <w:right w:val="single" w:color="auto" w:sz="8" w:space="0"/>
            </w:tcBorders>
            <w:vAlign w:val="center"/>
          </w:tcPr>
          <w:p w14:paraId="3F4036AF">
            <w:pPr>
              <w:widowControl/>
              <w:jc w:val="center"/>
              <w:rPr>
                <w:rFonts w:hint="eastAsia" w:ascii="微软雅黑" w:hAnsi="微软雅黑" w:eastAsia="微软雅黑" w:cs="宋体"/>
                <w:color w:val="000000"/>
                <w:kern w:val="0"/>
                <w:sz w:val="18"/>
                <w:szCs w:val="18"/>
                <w:vertAlign w:val="baseline"/>
              </w:rPr>
            </w:pPr>
            <w:r>
              <w:rPr>
                <w:rFonts w:hint="eastAsia" w:ascii="微软雅黑" w:hAnsi="微软雅黑" w:eastAsia="微软雅黑" w:cs="宋体"/>
                <w:color w:val="000000"/>
                <w:kern w:val="0"/>
                <w:sz w:val="18"/>
                <w:szCs w:val="18"/>
              </w:rPr>
              <w:t>标准</w:t>
            </w:r>
          </w:p>
        </w:tc>
        <w:tc>
          <w:tcPr>
            <w:tcW w:w="1191" w:type="dxa"/>
            <w:vMerge w:val="continue"/>
            <w:tcBorders>
              <w:top w:val="nil"/>
              <w:left w:val="single" w:color="auto" w:sz="8" w:space="0"/>
              <w:bottom w:val="single" w:color="000000" w:sz="8" w:space="0"/>
              <w:right w:val="single" w:color="auto" w:sz="8" w:space="0"/>
            </w:tcBorders>
            <w:vAlign w:val="center"/>
          </w:tcPr>
          <w:p w14:paraId="1D7EC08D">
            <w:pPr>
              <w:widowControl/>
              <w:jc w:val="left"/>
              <w:rPr>
                <w:rFonts w:hint="eastAsia" w:ascii="微软雅黑" w:hAnsi="微软雅黑" w:eastAsia="微软雅黑" w:cs="宋体"/>
                <w:color w:val="000000"/>
                <w:kern w:val="0"/>
                <w:sz w:val="18"/>
                <w:szCs w:val="18"/>
                <w:vertAlign w:val="baseline"/>
              </w:rPr>
            </w:pPr>
          </w:p>
        </w:tc>
        <w:tc>
          <w:tcPr>
            <w:tcW w:w="1191" w:type="dxa"/>
            <w:vMerge w:val="continue"/>
            <w:tcBorders>
              <w:top w:val="nil"/>
              <w:left w:val="single" w:color="auto" w:sz="8" w:space="0"/>
              <w:bottom w:val="single" w:color="000000" w:sz="8" w:space="0"/>
              <w:right w:val="single" w:color="auto" w:sz="8" w:space="0"/>
            </w:tcBorders>
            <w:vAlign w:val="center"/>
          </w:tcPr>
          <w:p w14:paraId="22ADA70F">
            <w:pPr>
              <w:widowControl/>
              <w:jc w:val="left"/>
              <w:rPr>
                <w:rFonts w:hint="eastAsia" w:ascii="微软雅黑" w:hAnsi="微软雅黑" w:eastAsia="微软雅黑" w:cs="宋体"/>
                <w:color w:val="000000"/>
                <w:kern w:val="0"/>
                <w:sz w:val="18"/>
                <w:szCs w:val="18"/>
                <w:vertAlign w:val="baseline"/>
              </w:rPr>
            </w:pPr>
          </w:p>
        </w:tc>
        <w:tc>
          <w:tcPr>
            <w:tcW w:w="1191" w:type="dxa"/>
            <w:tcBorders>
              <w:top w:val="nil"/>
              <w:left w:val="nil"/>
              <w:bottom w:val="nil"/>
              <w:right w:val="single" w:color="auto" w:sz="8" w:space="0"/>
            </w:tcBorders>
            <w:vAlign w:val="center"/>
          </w:tcPr>
          <w:p w14:paraId="7AEEA903">
            <w:pPr>
              <w:widowControl/>
              <w:jc w:val="left"/>
              <w:rPr>
                <w:rFonts w:hint="eastAsia" w:ascii="等线" w:hAnsi="等线" w:eastAsia="等线" w:cs="宋体"/>
                <w:color w:val="000000"/>
                <w:kern w:val="0"/>
                <w:sz w:val="18"/>
                <w:szCs w:val="22"/>
                <w:vertAlign w:val="baseline"/>
              </w:rPr>
            </w:pPr>
            <w:r>
              <w:rPr>
                <w:rFonts w:hint="eastAsia" w:ascii="等线" w:hAnsi="等线" w:eastAsia="等线" w:cs="宋体"/>
                <w:color w:val="000000"/>
                <w:kern w:val="0"/>
                <w:sz w:val="18"/>
                <w:szCs w:val="22"/>
                <w:vertAlign w:val="baseline"/>
              </w:rPr>
              <w:t>　</w:t>
            </w:r>
          </w:p>
        </w:tc>
        <w:tc>
          <w:tcPr>
            <w:tcW w:w="1191" w:type="dxa"/>
            <w:tcBorders>
              <w:top w:val="nil"/>
              <w:left w:val="nil"/>
              <w:bottom w:val="nil"/>
              <w:right w:val="single" w:color="auto" w:sz="8" w:space="0"/>
            </w:tcBorders>
            <w:vAlign w:val="center"/>
          </w:tcPr>
          <w:p w14:paraId="30D6CBA1">
            <w:pPr>
              <w:widowControl/>
              <w:jc w:val="left"/>
              <w:rPr>
                <w:rFonts w:hint="eastAsia" w:ascii="等线" w:hAnsi="等线" w:eastAsia="等线" w:cs="宋体"/>
                <w:color w:val="000000"/>
                <w:kern w:val="0"/>
                <w:sz w:val="18"/>
                <w:szCs w:val="22"/>
                <w:vertAlign w:val="baseline"/>
              </w:rPr>
            </w:pPr>
            <w:r>
              <w:rPr>
                <w:rFonts w:hint="eastAsia" w:ascii="等线" w:hAnsi="等线" w:eastAsia="等线" w:cs="宋体"/>
                <w:color w:val="000000"/>
                <w:kern w:val="0"/>
                <w:sz w:val="18"/>
                <w:szCs w:val="22"/>
                <w:vertAlign w:val="baseline"/>
              </w:rPr>
              <w:t>　</w:t>
            </w:r>
          </w:p>
        </w:tc>
        <w:tc>
          <w:tcPr>
            <w:tcW w:w="1191" w:type="dxa"/>
            <w:tcBorders>
              <w:top w:val="nil"/>
              <w:left w:val="nil"/>
              <w:bottom w:val="nil"/>
              <w:right w:val="single" w:color="auto" w:sz="8" w:space="0"/>
            </w:tcBorders>
            <w:vAlign w:val="center"/>
          </w:tcPr>
          <w:p w14:paraId="3B4EBCED">
            <w:pPr>
              <w:widowControl/>
              <w:jc w:val="left"/>
              <w:rPr>
                <w:rFonts w:hint="eastAsia" w:ascii="等线" w:hAnsi="等线" w:eastAsia="等线" w:cs="宋体"/>
                <w:color w:val="000000"/>
                <w:kern w:val="0"/>
                <w:sz w:val="18"/>
                <w:szCs w:val="22"/>
                <w:vertAlign w:val="baseline"/>
              </w:rPr>
            </w:pPr>
            <w:r>
              <w:rPr>
                <w:rFonts w:hint="eastAsia" w:ascii="等线" w:hAnsi="等线" w:eastAsia="等线" w:cs="宋体"/>
                <w:color w:val="000000"/>
                <w:kern w:val="0"/>
                <w:sz w:val="18"/>
                <w:szCs w:val="22"/>
                <w:vertAlign w:val="baseline"/>
              </w:rPr>
              <w:t>　</w:t>
            </w:r>
          </w:p>
        </w:tc>
        <w:tc>
          <w:tcPr>
            <w:tcW w:w="1191" w:type="dxa"/>
            <w:tcBorders>
              <w:top w:val="nil"/>
              <w:left w:val="nil"/>
              <w:bottom w:val="nil"/>
              <w:right w:val="single" w:color="auto" w:sz="8" w:space="0"/>
            </w:tcBorders>
            <w:vAlign w:val="center"/>
          </w:tcPr>
          <w:p w14:paraId="56B296FB">
            <w:pPr>
              <w:widowControl/>
              <w:jc w:val="left"/>
              <w:rPr>
                <w:rFonts w:hint="eastAsia" w:ascii="等线" w:hAnsi="等线" w:eastAsia="等线" w:cs="宋体"/>
                <w:color w:val="000000"/>
                <w:kern w:val="0"/>
                <w:sz w:val="18"/>
                <w:szCs w:val="22"/>
                <w:vertAlign w:val="baseline"/>
              </w:rPr>
            </w:pPr>
            <w:r>
              <w:rPr>
                <w:rFonts w:hint="eastAsia" w:ascii="等线" w:hAnsi="等线" w:eastAsia="等线" w:cs="宋体"/>
                <w:color w:val="000000"/>
                <w:kern w:val="0"/>
                <w:sz w:val="18"/>
                <w:szCs w:val="22"/>
                <w:vertAlign w:val="baseline"/>
              </w:rPr>
              <w:t>　</w:t>
            </w:r>
          </w:p>
        </w:tc>
        <w:tc>
          <w:tcPr>
            <w:tcW w:w="1196" w:type="dxa"/>
            <w:tcBorders>
              <w:top w:val="nil"/>
              <w:left w:val="nil"/>
              <w:bottom w:val="nil"/>
              <w:right w:val="single" w:color="auto" w:sz="8" w:space="0"/>
            </w:tcBorders>
            <w:vAlign w:val="center"/>
          </w:tcPr>
          <w:p w14:paraId="1C56EE95">
            <w:pPr>
              <w:widowControl/>
              <w:jc w:val="left"/>
              <w:rPr>
                <w:rFonts w:hint="eastAsia" w:ascii="等线" w:hAnsi="等线" w:eastAsia="等线" w:cs="宋体"/>
                <w:color w:val="000000"/>
                <w:kern w:val="0"/>
                <w:sz w:val="18"/>
                <w:szCs w:val="22"/>
                <w:vertAlign w:val="baseline"/>
              </w:rPr>
            </w:pPr>
            <w:r>
              <w:rPr>
                <w:rFonts w:hint="eastAsia" w:ascii="等线" w:hAnsi="等线" w:eastAsia="等线" w:cs="宋体"/>
                <w:color w:val="000000"/>
                <w:kern w:val="0"/>
                <w:sz w:val="18"/>
                <w:szCs w:val="22"/>
                <w:vertAlign w:val="baseline"/>
              </w:rPr>
              <w:t>　</w:t>
            </w:r>
          </w:p>
        </w:tc>
      </w:tr>
      <w:tr w14:paraId="4686736A">
        <w:tblPrEx>
          <w:tblCellMar>
            <w:top w:w="0" w:type="dxa"/>
            <w:left w:w="108" w:type="dxa"/>
            <w:bottom w:w="0" w:type="dxa"/>
            <w:right w:w="108" w:type="dxa"/>
          </w:tblCellMar>
        </w:tblPrEx>
        <w:trPr>
          <w:gridAfter w:val="1"/>
          <w:wAfter w:w="11" w:type="dxa"/>
          <w:trHeight w:val="489" w:hRule="atLeast"/>
        </w:trPr>
        <w:tc>
          <w:tcPr>
            <w:tcW w:w="1190" w:type="dxa"/>
            <w:vMerge w:val="continue"/>
            <w:tcBorders>
              <w:top w:val="single" w:color="auto" w:sz="8" w:space="0"/>
              <w:left w:val="single" w:color="auto" w:sz="8" w:space="0"/>
              <w:bottom w:val="single" w:color="000000" w:sz="8" w:space="0"/>
              <w:right w:val="single" w:color="auto" w:sz="8" w:space="0"/>
            </w:tcBorders>
            <w:vAlign w:val="center"/>
          </w:tcPr>
          <w:p w14:paraId="2AD2C9FD">
            <w:pPr>
              <w:widowControl/>
              <w:jc w:val="left"/>
              <w:rPr>
                <w:rFonts w:hint="eastAsia" w:ascii="微软雅黑" w:hAnsi="微软雅黑" w:eastAsia="微软雅黑" w:cs="宋体"/>
                <w:color w:val="000000"/>
                <w:kern w:val="0"/>
                <w:sz w:val="18"/>
                <w:szCs w:val="18"/>
                <w:vertAlign w:val="baseline"/>
              </w:rPr>
            </w:pPr>
          </w:p>
        </w:tc>
        <w:tc>
          <w:tcPr>
            <w:tcW w:w="1191" w:type="dxa"/>
            <w:vMerge w:val="continue"/>
            <w:tcBorders>
              <w:top w:val="single" w:color="auto" w:sz="8" w:space="0"/>
              <w:left w:val="single" w:color="auto" w:sz="8" w:space="0"/>
              <w:bottom w:val="single" w:color="000000" w:sz="8" w:space="0"/>
              <w:right w:val="single" w:color="auto" w:sz="8" w:space="0"/>
            </w:tcBorders>
            <w:vAlign w:val="center"/>
          </w:tcPr>
          <w:p w14:paraId="739BC347">
            <w:pPr>
              <w:widowControl/>
              <w:jc w:val="left"/>
              <w:rPr>
                <w:rFonts w:hint="eastAsia" w:ascii="微软雅黑" w:hAnsi="微软雅黑" w:eastAsia="微软雅黑" w:cs="宋体"/>
                <w:color w:val="000000"/>
                <w:kern w:val="0"/>
                <w:sz w:val="18"/>
                <w:szCs w:val="18"/>
                <w:vertAlign w:val="baseline"/>
              </w:rPr>
            </w:pPr>
          </w:p>
        </w:tc>
        <w:tc>
          <w:tcPr>
            <w:tcW w:w="1191" w:type="dxa"/>
            <w:vMerge w:val="continue"/>
            <w:tcBorders>
              <w:top w:val="nil"/>
              <w:left w:val="single" w:color="auto" w:sz="8" w:space="0"/>
              <w:bottom w:val="single" w:color="000000" w:sz="8" w:space="0"/>
              <w:right w:val="single" w:color="auto" w:sz="8" w:space="0"/>
            </w:tcBorders>
            <w:vAlign w:val="center"/>
          </w:tcPr>
          <w:p w14:paraId="399F68DD">
            <w:pPr>
              <w:widowControl/>
              <w:jc w:val="left"/>
              <w:rPr>
                <w:rFonts w:hint="eastAsia" w:ascii="微软雅黑" w:hAnsi="微软雅黑" w:eastAsia="微软雅黑" w:cs="宋体"/>
                <w:color w:val="000000"/>
                <w:kern w:val="0"/>
                <w:sz w:val="18"/>
                <w:szCs w:val="18"/>
                <w:vertAlign w:val="baseline"/>
              </w:rPr>
            </w:pPr>
          </w:p>
        </w:tc>
        <w:tc>
          <w:tcPr>
            <w:tcW w:w="1191" w:type="dxa"/>
            <w:vMerge w:val="continue"/>
            <w:tcBorders>
              <w:top w:val="nil"/>
              <w:left w:val="single" w:color="auto" w:sz="8" w:space="0"/>
              <w:bottom w:val="single" w:color="000000" w:sz="8" w:space="0"/>
              <w:right w:val="single" w:color="auto" w:sz="8" w:space="0"/>
            </w:tcBorders>
            <w:vAlign w:val="center"/>
          </w:tcPr>
          <w:p w14:paraId="3386B9AE">
            <w:pPr>
              <w:widowControl/>
              <w:jc w:val="left"/>
              <w:rPr>
                <w:rFonts w:hint="eastAsia" w:ascii="微软雅黑" w:hAnsi="微软雅黑" w:eastAsia="微软雅黑" w:cs="宋体"/>
                <w:color w:val="000000"/>
                <w:kern w:val="0"/>
                <w:sz w:val="18"/>
                <w:szCs w:val="18"/>
                <w:vertAlign w:val="baseline"/>
              </w:rPr>
            </w:pPr>
          </w:p>
        </w:tc>
        <w:tc>
          <w:tcPr>
            <w:tcW w:w="1192" w:type="dxa"/>
            <w:tcBorders>
              <w:top w:val="nil"/>
              <w:left w:val="nil"/>
              <w:bottom w:val="single" w:color="auto" w:sz="8" w:space="0"/>
              <w:right w:val="single" w:color="auto" w:sz="8" w:space="0"/>
            </w:tcBorders>
            <w:vAlign w:val="center"/>
          </w:tcPr>
          <w:p w14:paraId="528E286B">
            <w:pPr>
              <w:widowControl/>
              <w:jc w:val="center"/>
              <w:rPr>
                <w:rFonts w:hint="eastAsia" w:ascii="微软雅黑" w:hAnsi="微软雅黑" w:eastAsia="微软雅黑" w:cs="宋体"/>
                <w:color w:val="000000"/>
                <w:kern w:val="0"/>
                <w:sz w:val="18"/>
                <w:szCs w:val="18"/>
                <w:vertAlign w:val="baseline"/>
              </w:rPr>
            </w:pPr>
            <w:r>
              <w:rPr>
                <w:rFonts w:hint="eastAsia" w:ascii="微软雅黑" w:hAnsi="微软雅黑" w:eastAsia="微软雅黑" w:cs="宋体"/>
                <w:color w:val="000000"/>
                <w:kern w:val="0"/>
                <w:sz w:val="18"/>
                <w:szCs w:val="18"/>
              </w:rPr>
              <w:t>【㎡/月/元】</w:t>
            </w:r>
          </w:p>
        </w:tc>
        <w:tc>
          <w:tcPr>
            <w:tcW w:w="1191" w:type="dxa"/>
            <w:vMerge w:val="continue"/>
            <w:tcBorders>
              <w:top w:val="nil"/>
              <w:left w:val="single" w:color="auto" w:sz="8" w:space="0"/>
              <w:bottom w:val="single" w:color="000000" w:sz="8" w:space="0"/>
              <w:right w:val="single" w:color="auto" w:sz="8" w:space="0"/>
            </w:tcBorders>
            <w:vAlign w:val="center"/>
          </w:tcPr>
          <w:p w14:paraId="32B17367">
            <w:pPr>
              <w:widowControl/>
              <w:jc w:val="left"/>
              <w:rPr>
                <w:rFonts w:hint="eastAsia" w:ascii="微软雅黑" w:hAnsi="微软雅黑" w:eastAsia="微软雅黑" w:cs="宋体"/>
                <w:color w:val="000000"/>
                <w:kern w:val="0"/>
                <w:sz w:val="18"/>
                <w:szCs w:val="18"/>
                <w:vertAlign w:val="baseline"/>
              </w:rPr>
            </w:pPr>
          </w:p>
        </w:tc>
        <w:tc>
          <w:tcPr>
            <w:tcW w:w="1191" w:type="dxa"/>
            <w:vMerge w:val="continue"/>
            <w:tcBorders>
              <w:top w:val="nil"/>
              <w:left w:val="single" w:color="auto" w:sz="8" w:space="0"/>
              <w:bottom w:val="single" w:color="000000" w:sz="8" w:space="0"/>
              <w:right w:val="single" w:color="auto" w:sz="8" w:space="0"/>
            </w:tcBorders>
            <w:vAlign w:val="center"/>
          </w:tcPr>
          <w:p w14:paraId="5CA50AC9">
            <w:pPr>
              <w:widowControl/>
              <w:jc w:val="left"/>
              <w:rPr>
                <w:rFonts w:hint="eastAsia" w:ascii="微软雅黑" w:hAnsi="微软雅黑" w:eastAsia="微软雅黑" w:cs="宋体"/>
                <w:color w:val="000000"/>
                <w:kern w:val="0"/>
                <w:sz w:val="18"/>
                <w:szCs w:val="18"/>
                <w:vertAlign w:val="baseline"/>
              </w:rPr>
            </w:pPr>
          </w:p>
        </w:tc>
        <w:tc>
          <w:tcPr>
            <w:tcW w:w="1191" w:type="dxa"/>
            <w:tcBorders>
              <w:top w:val="nil"/>
              <w:left w:val="nil"/>
              <w:bottom w:val="single" w:color="auto" w:sz="8" w:space="0"/>
              <w:right w:val="single" w:color="auto" w:sz="8" w:space="0"/>
            </w:tcBorders>
            <w:vAlign w:val="center"/>
          </w:tcPr>
          <w:p w14:paraId="429BAF17">
            <w:pPr>
              <w:widowControl/>
              <w:jc w:val="left"/>
              <w:rPr>
                <w:rFonts w:hint="eastAsia" w:ascii="等线" w:hAnsi="等线" w:eastAsia="等线" w:cs="宋体"/>
                <w:color w:val="000000"/>
                <w:kern w:val="0"/>
                <w:sz w:val="18"/>
                <w:szCs w:val="22"/>
                <w:vertAlign w:val="baseline"/>
              </w:rPr>
            </w:pPr>
            <w:r>
              <w:rPr>
                <w:rFonts w:hint="eastAsia" w:ascii="等线" w:hAnsi="等线" w:eastAsia="等线" w:cs="宋体"/>
                <w:color w:val="000000"/>
                <w:kern w:val="0"/>
                <w:sz w:val="18"/>
                <w:szCs w:val="22"/>
                <w:vertAlign w:val="baseline"/>
              </w:rPr>
              <w:t>　</w:t>
            </w:r>
          </w:p>
        </w:tc>
        <w:tc>
          <w:tcPr>
            <w:tcW w:w="1191" w:type="dxa"/>
            <w:tcBorders>
              <w:top w:val="nil"/>
              <w:left w:val="nil"/>
              <w:bottom w:val="single" w:color="auto" w:sz="8" w:space="0"/>
              <w:right w:val="single" w:color="auto" w:sz="8" w:space="0"/>
            </w:tcBorders>
            <w:vAlign w:val="center"/>
          </w:tcPr>
          <w:p w14:paraId="6998D8AC">
            <w:pPr>
              <w:widowControl/>
              <w:jc w:val="left"/>
              <w:rPr>
                <w:rFonts w:hint="eastAsia" w:ascii="等线" w:hAnsi="等线" w:eastAsia="等线" w:cs="宋体"/>
                <w:color w:val="000000"/>
                <w:kern w:val="0"/>
                <w:sz w:val="18"/>
                <w:szCs w:val="22"/>
                <w:vertAlign w:val="baseline"/>
              </w:rPr>
            </w:pPr>
            <w:r>
              <w:rPr>
                <w:rFonts w:hint="eastAsia" w:ascii="等线" w:hAnsi="等线" w:eastAsia="等线" w:cs="宋体"/>
                <w:color w:val="000000"/>
                <w:kern w:val="0"/>
                <w:sz w:val="18"/>
                <w:szCs w:val="22"/>
                <w:vertAlign w:val="baseline"/>
              </w:rPr>
              <w:t>　</w:t>
            </w:r>
          </w:p>
        </w:tc>
        <w:tc>
          <w:tcPr>
            <w:tcW w:w="1191" w:type="dxa"/>
            <w:tcBorders>
              <w:top w:val="nil"/>
              <w:left w:val="nil"/>
              <w:bottom w:val="single" w:color="auto" w:sz="8" w:space="0"/>
              <w:right w:val="single" w:color="auto" w:sz="8" w:space="0"/>
            </w:tcBorders>
            <w:vAlign w:val="center"/>
          </w:tcPr>
          <w:p w14:paraId="27BD3E17">
            <w:pPr>
              <w:widowControl/>
              <w:jc w:val="left"/>
              <w:rPr>
                <w:rFonts w:hint="eastAsia" w:ascii="等线" w:hAnsi="等线" w:eastAsia="等线" w:cs="宋体"/>
                <w:color w:val="000000"/>
                <w:kern w:val="0"/>
                <w:sz w:val="18"/>
                <w:szCs w:val="22"/>
                <w:vertAlign w:val="baseline"/>
              </w:rPr>
            </w:pPr>
            <w:r>
              <w:rPr>
                <w:rFonts w:hint="eastAsia" w:ascii="等线" w:hAnsi="等线" w:eastAsia="等线" w:cs="宋体"/>
                <w:color w:val="000000"/>
                <w:kern w:val="0"/>
                <w:sz w:val="18"/>
                <w:szCs w:val="22"/>
                <w:vertAlign w:val="baseline"/>
              </w:rPr>
              <w:t>　</w:t>
            </w:r>
          </w:p>
        </w:tc>
        <w:tc>
          <w:tcPr>
            <w:tcW w:w="1191" w:type="dxa"/>
            <w:tcBorders>
              <w:top w:val="nil"/>
              <w:left w:val="nil"/>
              <w:bottom w:val="single" w:color="auto" w:sz="8" w:space="0"/>
              <w:right w:val="single" w:color="auto" w:sz="8" w:space="0"/>
            </w:tcBorders>
            <w:vAlign w:val="center"/>
          </w:tcPr>
          <w:p w14:paraId="2203B8A5">
            <w:pPr>
              <w:widowControl/>
              <w:jc w:val="left"/>
              <w:rPr>
                <w:rFonts w:hint="eastAsia" w:ascii="等线" w:hAnsi="等线" w:eastAsia="等线" w:cs="宋体"/>
                <w:color w:val="000000"/>
                <w:kern w:val="0"/>
                <w:sz w:val="18"/>
                <w:szCs w:val="22"/>
                <w:vertAlign w:val="baseline"/>
              </w:rPr>
            </w:pPr>
            <w:r>
              <w:rPr>
                <w:rFonts w:hint="eastAsia" w:ascii="等线" w:hAnsi="等线" w:eastAsia="等线" w:cs="宋体"/>
                <w:color w:val="000000"/>
                <w:kern w:val="0"/>
                <w:sz w:val="18"/>
                <w:szCs w:val="22"/>
                <w:vertAlign w:val="baseline"/>
              </w:rPr>
              <w:t>　</w:t>
            </w:r>
          </w:p>
        </w:tc>
        <w:tc>
          <w:tcPr>
            <w:tcW w:w="1196" w:type="dxa"/>
            <w:tcBorders>
              <w:top w:val="nil"/>
              <w:left w:val="nil"/>
              <w:bottom w:val="single" w:color="auto" w:sz="8" w:space="0"/>
              <w:right w:val="single" w:color="auto" w:sz="8" w:space="0"/>
            </w:tcBorders>
            <w:vAlign w:val="center"/>
          </w:tcPr>
          <w:p w14:paraId="03CF65F1">
            <w:pPr>
              <w:widowControl/>
              <w:jc w:val="left"/>
              <w:rPr>
                <w:rFonts w:hint="eastAsia" w:ascii="等线" w:hAnsi="等线" w:eastAsia="等线" w:cs="宋体"/>
                <w:color w:val="000000"/>
                <w:kern w:val="0"/>
                <w:sz w:val="18"/>
                <w:szCs w:val="22"/>
                <w:vertAlign w:val="baseline"/>
              </w:rPr>
            </w:pPr>
            <w:r>
              <w:rPr>
                <w:rFonts w:hint="eastAsia" w:ascii="等线" w:hAnsi="等线" w:eastAsia="等线" w:cs="宋体"/>
                <w:color w:val="000000"/>
                <w:kern w:val="0"/>
                <w:sz w:val="18"/>
                <w:szCs w:val="22"/>
                <w:vertAlign w:val="baseline"/>
              </w:rPr>
              <w:t>　</w:t>
            </w:r>
          </w:p>
        </w:tc>
      </w:tr>
      <w:tr w14:paraId="7DA80942">
        <w:tblPrEx>
          <w:tblCellMar>
            <w:top w:w="0" w:type="dxa"/>
            <w:left w:w="108" w:type="dxa"/>
            <w:bottom w:w="0" w:type="dxa"/>
            <w:right w:w="108" w:type="dxa"/>
          </w:tblCellMar>
        </w:tblPrEx>
        <w:trPr>
          <w:gridAfter w:val="1"/>
          <w:wAfter w:w="11" w:type="dxa"/>
          <w:trHeight w:val="962" w:hRule="atLeast"/>
        </w:trPr>
        <w:tc>
          <w:tcPr>
            <w:tcW w:w="1190" w:type="dxa"/>
            <w:tcBorders>
              <w:top w:val="nil"/>
              <w:left w:val="single" w:color="auto" w:sz="8" w:space="0"/>
              <w:bottom w:val="single" w:color="auto" w:sz="8" w:space="0"/>
              <w:right w:val="single" w:color="auto" w:sz="8" w:space="0"/>
            </w:tcBorders>
            <w:vAlign w:val="center"/>
          </w:tcPr>
          <w:p w14:paraId="2F06916F">
            <w:pPr>
              <w:widowControl/>
              <w:jc w:val="center"/>
              <w:rPr>
                <w:rFonts w:hint="eastAsia" w:ascii="微软雅黑" w:hAnsi="微软雅黑" w:eastAsia="微软雅黑" w:cs="宋体"/>
                <w:color w:val="000000"/>
                <w:kern w:val="0"/>
                <w:sz w:val="18"/>
                <w:szCs w:val="18"/>
                <w:vertAlign w:val="baseline"/>
              </w:rPr>
            </w:pPr>
            <w:r>
              <w:rPr>
                <w:rFonts w:hint="eastAsia" w:ascii="微软雅黑" w:hAnsi="微软雅黑" w:eastAsia="微软雅黑" w:cs="宋体"/>
                <w:color w:val="000000"/>
                <w:kern w:val="0"/>
                <w:sz w:val="18"/>
                <w:szCs w:val="18"/>
              </w:rPr>
              <w:t>1</w:t>
            </w:r>
          </w:p>
        </w:tc>
        <w:tc>
          <w:tcPr>
            <w:tcW w:w="1191" w:type="dxa"/>
            <w:tcBorders>
              <w:top w:val="nil"/>
              <w:left w:val="nil"/>
              <w:bottom w:val="single" w:color="auto" w:sz="8" w:space="0"/>
              <w:right w:val="single" w:color="auto" w:sz="8" w:space="0"/>
            </w:tcBorders>
            <w:vAlign w:val="center"/>
          </w:tcPr>
          <w:p w14:paraId="2A0626B1">
            <w:pPr>
              <w:widowControl/>
              <w:jc w:val="center"/>
              <w:rPr>
                <w:rFonts w:hint="eastAsia" w:ascii="福田自由体 Light" w:hAnsi="等线" w:eastAsia="福田自由体 Light"/>
                <w:color w:val="000000"/>
                <w:sz w:val="20"/>
              </w:rPr>
            </w:pPr>
            <w:r>
              <w:rPr>
                <w:rFonts w:hint="eastAsia" w:ascii="福田自由体 Light" w:hAnsi="等线" w:eastAsia="福田自由体 Light"/>
                <w:color w:val="000000"/>
                <w:sz w:val="20"/>
              </w:rPr>
              <w:t xml:space="preserve">河北光华荣昌汽车部件有限公司 </w:t>
            </w:r>
          </w:p>
        </w:tc>
        <w:tc>
          <w:tcPr>
            <w:tcW w:w="1191" w:type="dxa"/>
            <w:tcBorders>
              <w:top w:val="nil"/>
              <w:left w:val="nil"/>
              <w:bottom w:val="single" w:color="auto" w:sz="8" w:space="0"/>
              <w:right w:val="single" w:color="auto" w:sz="8" w:space="0"/>
            </w:tcBorders>
            <w:vAlign w:val="center"/>
          </w:tcPr>
          <w:p w14:paraId="49072632">
            <w:pPr>
              <w:widowControl/>
              <w:jc w:val="center"/>
              <w:rPr>
                <w:rFonts w:hint="eastAsia" w:ascii="微软雅黑" w:hAnsi="微软雅黑" w:eastAsia="微软雅黑" w:cs="宋体"/>
                <w:color w:val="000000"/>
                <w:kern w:val="0"/>
                <w:sz w:val="18"/>
                <w:szCs w:val="18"/>
                <w:vertAlign w:val="baseline"/>
              </w:rPr>
            </w:pPr>
            <w:r>
              <w:rPr>
                <w:rFonts w:hint="eastAsia" w:ascii="微软雅黑" w:hAnsi="微软雅黑" w:eastAsia="微软雅黑" w:cs="宋体"/>
                <w:color w:val="000000"/>
                <w:kern w:val="0"/>
                <w:sz w:val="18"/>
                <w:szCs w:val="18"/>
              </w:rPr>
              <w:t xml:space="preserve"> </w:t>
            </w:r>
          </w:p>
        </w:tc>
        <w:tc>
          <w:tcPr>
            <w:tcW w:w="1191" w:type="dxa"/>
            <w:tcBorders>
              <w:top w:val="nil"/>
              <w:left w:val="nil"/>
              <w:bottom w:val="single" w:color="auto" w:sz="8" w:space="0"/>
              <w:right w:val="single" w:color="auto" w:sz="8" w:space="0"/>
            </w:tcBorders>
            <w:vAlign w:val="center"/>
          </w:tcPr>
          <w:p w14:paraId="32513A76">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 45</w:t>
            </w:r>
          </w:p>
        </w:tc>
        <w:tc>
          <w:tcPr>
            <w:tcW w:w="1192" w:type="dxa"/>
            <w:tcBorders>
              <w:top w:val="nil"/>
              <w:left w:val="nil"/>
              <w:bottom w:val="single" w:color="auto" w:sz="8" w:space="0"/>
              <w:right w:val="single" w:color="auto" w:sz="8" w:space="0"/>
            </w:tcBorders>
            <w:vAlign w:val="center"/>
          </w:tcPr>
          <w:p w14:paraId="713C82BA">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20</w:t>
            </w:r>
          </w:p>
        </w:tc>
        <w:tc>
          <w:tcPr>
            <w:tcW w:w="1191" w:type="dxa"/>
            <w:tcBorders>
              <w:top w:val="nil"/>
              <w:left w:val="nil"/>
              <w:bottom w:val="single" w:color="auto" w:sz="8" w:space="0"/>
              <w:right w:val="single" w:color="auto" w:sz="8" w:space="0"/>
            </w:tcBorders>
            <w:vAlign w:val="center"/>
          </w:tcPr>
          <w:p w14:paraId="39700CD0">
            <w:pPr>
              <w:widowControl/>
              <w:jc w:val="center"/>
              <w:rPr>
                <w:rFonts w:hint="eastAsia" w:ascii="微软雅黑" w:hAnsi="微软雅黑" w:eastAsia="微软雅黑" w:cs="宋体"/>
                <w:color w:val="000000"/>
                <w:kern w:val="0"/>
                <w:sz w:val="18"/>
                <w:szCs w:val="18"/>
                <w:vertAlign w:val="baseline"/>
              </w:rPr>
            </w:pPr>
            <w:r>
              <w:rPr>
                <w:rFonts w:hint="eastAsia" w:ascii="微软雅黑" w:hAnsi="微软雅黑" w:eastAsia="微软雅黑" w:cs="宋体"/>
                <w:color w:val="000000"/>
                <w:kern w:val="0"/>
                <w:sz w:val="18"/>
                <w:szCs w:val="18"/>
              </w:rPr>
              <w:t>0</w:t>
            </w:r>
          </w:p>
        </w:tc>
        <w:tc>
          <w:tcPr>
            <w:tcW w:w="1191" w:type="dxa"/>
            <w:tcBorders>
              <w:top w:val="nil"/>
              <w:left w:val="nil"/>
              <w:bottom w:val="single" w:color="auto" w:sz="8" w:space="0"/>
              <w:right w:val="single" w:color="auto" w:sz="8" w:space="0"/>
            </w:tcBorders>
            <w:vAlign w:val="center"/>
          </w:tcPr>
          <w:p w14:paraId="1AA84921">
            <w:pPr>
              <w:widowControl/>
              <w:jc w:val="center"/>
              <w:rPr>
                <w:rFonts w:hint="eastAsia" w:ascii="微软雅黑" w:hAnsi="微软雅黑" w:eastAsia="微软雅黑" w:cs="宋体"/>
                <w:color w:val="000000"/>
                <w:kern w:val="0"/>
                <w:sz w:val="18"/>
                <w:szCs w:val="18"/>
                <w:vertAlign w:val="baseline"/>
              </w:rPr>
            </w:pPr>
            <w:r>
              <w:rPr>
                <w:rFonts w:hint="eastAsia" w:ascii="微软雅黑" w:hAnsi="微软雅黑" w:eastAsia="微软雅黑" w:cs="宋体"/>
                <w:color w:val="000000"/>
                <w:kern w:val="0"/>
                <w:sz w:val="18"/>
                <w:szCs w:val="18"/>
              </w:rPr>
              <w:t>　</w:t>
            </w:r>
          </w:p>
        </w:tc>
        <w:tc>
          <w:tcPr>
            <w:tcW w:w="1191" w:type="dxa"/>
            <w:tcBorders>
              <w:top w:val="nil"/>
              <w:left w:val="nil"/>
              <w:bottom w:val="single" w:color="auto" w:sz="8" w:space="0"/>
              <w:right w:val="single" w:color="auto" w:sz="8" w:space="0"/>
            </w:tcBorders>
            <w:vAlign w:val="center"/>
          </w:tcPr>
          <w:p w14:paraId="450A27FE">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20</w:t>
            </w:r>
          </w:p>
        </w:tc>
        <w:tc>
          <w:tcPr>
            <w:tcW w:w="1191" w:type="dxa"/>
            <w:tcBorders>
              <w:top w:val="nil"/>
              <w:left w:val="nil"/>
              <w:bottom w:val="single" w:color="auto" w:sz="8" w:space="0"/>
              <w:right w:val="single" w:color="auto" w:sz="8" w:space="0"/>
            </w:tcBorders>
            <w:vAlign w:val="center"/>
          </w:tcPr>
          <w:p w14:paraId="31AD0D2C">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191" w:type="dxa"/>
            <w:tcBorders>
              <w:top w:val="nil"/>
              <w:left w:val="nil"/>
              <w:bottom w:val="single" w:color="auto" w:sz="8" w:space="0"/>
              <w:right w:val="single" w:color="auto" w:sz="8" w:space="0"/>
            </w:tcBorders>
            <w:vAlign w:val="center"/>
          </w:tcPr>
          <w:p w14:paraId="56DF18EA">
            <w:pPr>
              <w:widowControl/>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500</w:t>
            </w:r>
          </w:p>
        </w:tc>
        <w:tc>
          <w:tcPr>
            <w:tcW w:w="1191" w:type="dxa"/>
            <w:tcBorders>
              <w:top w:val="nil"/>
              <w:left w:val="nil"/>
              <w:bottom w:val="single" w:color="auto" w:sz="8" w:space="0"/>
              <w:right w:val="single" w:color="auto" w:sz="8" w:space="0"/>
            </w:tcBorders>
            <w:vAlign w:val="center"/>
          </w:tcPr>
          <w:p w14:paraId="47CBB13C">
            <w:pPr>
              <w:widowControl/>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w:t>
            </w:r>
          </w:p>
        </w:tc>
        <w:tc>
          <w:tcPr>
            <w:tcW w:w="1196" w:type="dxa"/>
            <w:tcBorders>
              <w:top w:val="nil"/>
              <w:left w:val="nil"/>
              <w:bottom w:val="single" w:color="auto" w:sz="8" w:space="0"/>
              <w:right w:val="single" w:color="auto" w:sz="8" w:space="0"/>
            </w:tcBorders>
            <w:vAlign w:val="center"/>
          </w:tcPr>
          <w:p w14:paraId="6C5B17AC">
            <w:pPr>
              <w:widowControl/>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w:t>
            </w:r>
          </w:p>
        </w:tc>
      </w:tr>
      <w:tr w14:paraId="445DF7A7">
        <w:tblPrEx>
          <w:tblCellMar>
            <w:top w:w="0" w:type="dxa"/>
            <w:left w:w="108" w:type="dxa"/>
            <w:bottom w:w="0" w:type="dxa"/>
            <w:right w:w="108" w:type="dxa"/>
          </w:tblCellMar>
        </w:tblPrEx>
        <w:trPr>
          <w:trHeight w:val="472" w:hRule="atLeast"/>
        </w:trPr>
        <w:tc>
          <w:tcPr>
            <w:tcW w:w="14308" w:type="dxa"/>
            <w:gridSpan w:val="13"/>
            <w:tcBorders>
              <w:top w:val="single" w:color="auto" w:sz="8" w:space="0"/>
              <w:left w:val="single" w:color="auto" w:sz="8" w:space="0"/>
              <w:bottom w:val="nil"/>
              <w:right w:val="single" w:color="000000" w:sz="8" w:space="0"/>
            </w:tcBorders>
            <w:vAlign w:val="center"/>
          </w:tcPr>
          <w:p w14:paraId="327818D8">
            <w:pPr>
              <w:widowControl/>
              <w:jc w:val="left"/>
              <w:rPr>
                <w:rFonts w:hint="eastAsia" w:ascii="微软雅黑" w:hAnsi="微软雅黑" w:eastAsia="微软雅黑" w:cs="宋体"/>
                <w:color w:val="000000"/>
                <w:kern w:val="0"/>
                <w:sz w:val="18"/>
                <w:szCs w:val="18"/>
                <w:vertAlign w:val="baseline"/>
              </w:rPr>
            </w:pPr>
            <w:r>
              <w:rPr>
                <w:rFonts w:hint="eastAsia" w:ascii="微软雅黑" w:hAnsi="微软雅黑" w:eastAsia="微软雅黑" w:cs="宋体"/>
                <w:color w:val="000000"/>
                <w:kern w:val="0"/>
                <w:sz w:val="18"/>
                <w:szCs w:val="18"/>
              </w:rPr>
              <w:t>其他收费标准：</w:t>
            </w:r>
          </w:p>
        </w:tc>
      </w:tr>
      <w:tr w14:paraId="6AE6172F">
        <w:tblPrEx>
          <w:tblCellMar>
            <w:top w:w="0" w:type="dxa"/>
            <w:left w:w="108" w:type="dxa"/>
            <w:bottom w:w="0" w:type="dxa"/>
            <w:right w:w="108" w:type="dxa"/>
          </w:tblCellMar>
        </w:tblPrEx>
        <w:trPr>
          <w:trHeight w:val="472" w:hRule="atLeast"/>
        </w:trPr>
        <w:tc>
          <w:tcPr>
            <w:tcW w:w="14308" w:type="dxa"/>
            <w:gridSpan w:val="13"/>
            <w:tcBorders>
              <w:top w:val="nil"/>
              <w:left w:val="single" w:color="auto" w:sz="8" w:space="0"/>
              <w:bottom w:val="nil"/>
              <w:right w:val="single" w:color="000000" w:sz="8" w:space="0"/>
            </w:tcBorders>
            <w:vAlign w:val="center"/>
          </w:tcPr>
          <w:p w14:paraId="63F28BB2">
            <w:pPr>
              <w:widowControl/>
              <w:jc w:val="left"/>
              <w:rPr>
                <w:rFonts w:hint="eastAsia" w:ascii="微软雅黑" w:hAnsi="微软雅黑" w:eastAsia="微软雅黑" w:cs="宋体"/>
                <w:color w:val="000000"/>
                <w:kern w:val="0"/>
                <w:sz w:val="18"/>
                <w:szCs w:val="18"/>
                <w:vertAlign w:val="baseline"/>
              </w:rPr>
            </w:pPr>
            <w:r>
              <w:rPr>
                <w:rFonts w:hint="eastAsia" w:ascii="微软雅黑" w:hAnsi="微软雅黑" w:eastAsia="微软雅黑" w:cs="宋体"/>
                <w:color w:val="000000"/>
                <w:kern w:val="0"/>
                <w:sz w:val="18"/>
                <w:szCs w:val="18"/>
              </w:rPr>
              <w:t>紧急响应：（如遇供应商未按时送达的，经乙方充分考虑运输时效后，双方沟通后按紧急响应价格收取）</w:t>
            </w:r>
          </w:p>
        </w:tc>
      </w:tr>
      <w:tr w14:paraId="5FA7BA81">
        <w:tblPrEx>
          <w:tblCellMar>
            <w:top w:w="0" w:type="dxa"/>
            <w:left w:w="108" w:type="dxa"/>
            <w:bottom w:w="0" w:type="dxa"/>
            <w:right w:w="108" w:type="dxa"/>
          </w:tblCellMar>
        </w:tblPrEx>
        <w:trPr>
          <w:trHeight w:val="472" w:hRule="atLeast"/>
        </w:trPr>
        <w:tc>
          <w:tcPr>
            <w:tcW w:w="14308" w:type="dxa"/>
            <w:gridSpan w:val="13"/>
            <w:tcBorders>
              <w:top w:val="nil"/>
              <w:left w:val="single" w:color="auto" w:sz="8" w:space="0"/>
              <w:bottom w:val="nil"/>
              <w:right w:val="single" w:color="000000" w:sz="8" w:space="0"/>
            </w:tcBorders>
            <w:vAlign w:val="center"/>
          </w:tcPr>
          <w:p w14:paraId="18145904">
            <w:pPr>
              <w:widowControl/>
              <w:jc w:val="left"/>
              <w:rPr>
                <w:rFonts w:hint="eastAsia" w:ascii="微软雅黑" w:hAnsi="微软雅黑" w:eastAsia="微软雅黑" w:cs="宋体"/>
                <w:color w:val="000000"/>
                <w:kern w:val="0"/>
                <w:sz w:val="18"/>
                <w:szCs w:val="18"/>
                <w:vertAlign w:val="baseline"/>
              </w:rPr>
            </w:pPr>
            <w:r>
              <w:rPr>
                <w:rFonts w:hint="eastAsia" w:ascii="微软雅黑" w:hAnsi="微软雅黑" w:eastAsia="微软雅黑" w:cs="宋体"/>
                <w:color w:val="000000"/>
                <w:kern w:val="0"/>
                <w:sz w:val="18"/>
                <w:szCs w:val="18"/>
              </w:rPr>
              <w:t>4.2米车型： 400 元/次</w:t>
            </w:r>
          </w:p>
        </w:tc>
      </w:tr>
      <w:tr w14:paraId="73C912E0">
        <w:tblPrEx>
          <w:tblCellMar>
            <w:top w:w="0" w:type="dxa"/>
            <w:left w:w="108" w:type="dxa"/>
            <w:bottom w:w="0" w:type="dxa"/>
            <w:right w:w="108" w:type="dxa"/>
          </w:tblCellMar>
        </w:tblPrEx>
        <w:trPr>
          <w:trHeight w:val="489" w:hRule="atLeast"/>
        </w:trPr>
        <w:tc>
          <w:tcPr>
            <w:tcW w:w="14308" w:type="dxa"/>
            <w:gridSpan w:val="13"/>
            <w:tcBorders>
              <w:top w:val="nil"/>
              <w:left w:val="single" w:color="auto" w:sz="8" w:space="0"/>
              <w:bottom w:val="single" w:color="auto" w:sz="8" w:space="0"/>
              <w:right w:val="single" w:color="000000" w:sz="8" w:space="0"/>
            </w:tcBorders>
            <w:vAlign w:val="center"/>
          </w:tcPr>
          <w:p w14:paraId="40AACEB7">
            <w:pPr>
              <w:widowControl/>
              <w:jc w:val="left"/>
              <w:rPr>
                <w:rFonts w:hint="eastAsia" w:ascii="微软雅黑" w:hAnsi="微软雅黑" w:eastAsia="微软雅黑" w:cs="宋体"/>
                <w:color w:val="000000"/>
                <w:kern w:val="0"/>
                <w:sz w:val="18"/>
                <w:szCs w:val="18"/>
                <w:vertAlign w:val="baseline"/>
              </w:rPr>
            </w:pPr>
            <w:r>
              <w:rPr>
                <w:rFonts w:hint="eastAsia" w:ascii="微软雅黑" w:hAnsi="微软雅黑" w:eastAsia="微软雅黑" w:cs="宋体"/>
                <w:color w:val="000000"/>
                <w:kern w:val="0"/>
                <w:sz w:val="18"/>
                <w:szCs w:val="18"/>
              </w:rPr>
              <w:t>6.8米车型： 700 元/次</w:t>
            </w:r>
          </w:p>
        </w:tc>
      </w:tr>
      <w:bookmarkEnd w:id="0"/>
    </w:tbl>
    <w:p w14:paraId="03E617C3">
      <w:pPr>
        <w:spacing w:line="360" w:lineRule="auto"/>
        <w:jc w:val="left"/>
        <w:rPr>
          <w:rFonts w:hint="eastAsia" w:ascii="微软雅黑" w:hAnsi="微软雅黑" w:eastAsia="微软雅黑" w:cs="微软雅黑"/>
          <w:b/>
          <w:bCs/>
          <w:kern w:val="0"/>
          <w:sz w:val="22"/>
          <w:szCs w:val="22"/>
          <w:vertAlign w:val="baseline"/>
        </w:rPr>
      </w:pPr>
    </w:p>
    <w:p w14:paraId="160C5114">
      <w:pPr>
        <w:spacing w:line="360" w:lineRule="auto"/>
        <w:jc w:val="left"/>
        <w:rPr>
          <w:rFonts w:hint="eastAsia" w:ascii="微软雅黑" w:hAnsi="微软雅黑" w:eastAsia="微软雅黑" w:cs="微软雅黑"/>
          <w:b/>
          <w:bCs/>
          <w:kern w:val="0"/>
          <w:sz w:val="22"/>
          <w:szCs w:val="22"/>
          <w:vertAlign w:val="baseline"/>
        </w:rPr>
      </w:pPr>
    </w:p>
    <w:p w14:paraId="1943576A">
      <w:pPr>
        <w:spacing w:line="360" w:lineRule="auto"/>
        <w:rPr>
          <w:rFonts w:hint="eastAsia" w:ascii="微软雅黑" w:hAnsi="微软雅黑" w:eastAsia="微软雅黑" w:cs="微软雅黑"/>
          <w:sz w:val="22"/>
          <w:szCs w:val="22"/>
          <w:vertAlign w:val="baseline"/>
        </w:rPr>
      </w:pPr>
    </w:p>
    <w:sectPr>
      <w:pgSz w:w="16838" w:h="11906" w:orient="landscape"/>
      <w:pgMar w:top="1080" w:right="1440" w:bottom="108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福田自由体 Light">
    <w:altName w:val="宋体"/>
    <w:panose1 w:val="00000000000000000000"/>
    <w:charset w:val="86"/>
    <w:family w:val="roma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等线 Ligh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6065918"/>
      <w:docPartObj>
        <w:docPartGallery w:val="AutoText"/>
      </w:docPartObj>
    </w:sdtPr>
    <w:sdtEndPr>
      <w:rPr>
        <w:sz w:val="24"/>
        <w:szCs w:val="24"/>
      </w:rPr>
    </w:sdtEndPr>
    <w:sdtContent>
      <w:p w14:paraId="5231DCED">
        <w:pPr>
          <w:pStyle w:val="12"/>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sdtContent>
  </w:sdt>
  <w:p w14:paraId="1953C4E0">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1DE89">
    <w:pPr>
      <w:pStyle w:val="12"/>
      <w:jc w:val="center"/>
      <w:rPr>
        <w:sz w:val="24"/>
        <w:szCs w:val="24"/>
      </w:rPr>
    </w:pPr>
  </w:p>
  <w:p w14:paraId="0012FBB3">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2C598">
    <w:pPr>
      <w:pBdr>
        <w:bottom w:val="single" w:color="auto" w:sz="4"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3157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B7AAEF"/>
    <w:multiLevelType w:val="singleLevel"/>
    <w:tmpl w:val="ABB7AAEF"/>
    <w:lvl w:ilvl="0" w:tentative="0">
      <w:start w:val="1"/>
      <w:numFmt w:val="decimal"/>
      <w:lvlText w:val="%1."/>
      <w:lvlJc w:val="left"/>
      <w:pPr>
        <w:ind w:left="425" w:hanging="425"/>
      </w:pPr>
      <w:rPr>
        <w:rFonts w:hint="default"/>
      </w:rPr>
    </w:lvl>
  </w:abstractNum>
  <w:abstractNum w:abstractNumId="1">
    <w:nsid w:val="B90451CC"/>
    <w:multiLevelType w:val="singleLevel"/>
    <w:tmpl w:val="B90451CC"/>
    <w:lvl w:ilvl="0" w:tentative="0">
      <w:start w:val="1"/>
      <w:numFmt w:val="decimal"/>
      <w:lvlText w:val="%1."/>
      <w:lvlJc w:val="left"/>
      <w:pPr>
        <w:ind w:left="425" w:hanging="425"/>
      </w:pPr>
      <w:rPr>
        <w:rFonts w:hint="default"/>
      </w:rPr>
    </w:lvl>
  </w:abstractNum>
  <w:abstractNum w:abstractNumId="2">
    <w:nsid w:val="D06DD32E"/>
    <w:multiLevelType w:val="singleLevel"/>
    <w:tmpl w:val="D06DD32E"/>
    <w:lvl w:ilvl="0" w:tentative="0">
      <w:start w:val="1"/>
      <w:numFmt w:val="decimal"/>
      <w:lvlText w:val="%1."/>
      <w:lvlJc w:val="left"/>
      <w:pPr>
        <w:ind w:left="425" w:hanging="425"/>
      </w:pPr>
      <w:rPr>
        <w:rFonts w:hint="default"/>
      </w:rPr>
    </w:lvl>
  </w:abstractNum>
  <w:abstractNum w:abstractNumId="3">
    <w:nsid w:val="E4E7204E"/>
    <w:multiLevelType w:val="singleLevel"/>
    <w:tmpl w:val="E4E7204E"/>
    <w:lvl w:ilvl="0" w:tentative="0">
      <w:start w:val="1"/>
      <w:numFmt w:val="decimal"/>
      <w:lvlText w:val="(%1)"/>
      <w:lvlJc w:val="left"/>
      <w:pPr>
        <w:ind w:left="425" w:hanging="425"/>
      </w:pPr>
      <w:rPr>
        <w:rFonts w:hint="default"/>
      </w:rPr>
    </w:lvl>
  </w:abstractNum>
  <w:abstractNum w:abstractNumId="4">
    <w:nsid w:val="13992568"/>
    <w:multiLevelType w:val="singleLevel"/>
    <w:tmpl w:val="13992568"/>
    <w:lvl w:ilvl="0" w:tentative="0">
      <w:start w:val="1"/>
      <w:numFmt w:val="decimal"/>
      <w:lvlText w:val="%1."/>
      <w:lvlJc w:val="left"/>
      <w:pPr>
        <w:ind w:left="425" w:hanging="425"/>
      </w:pPr>
      <w:rPr>
        <w:rFonts w:hint="default"/>
      </w:rPr>
    </w:lvl>
  </w:abstractNum>
  <w:abstractNum w:abstractNumId="5">
    <w:nsid w:val="1BC890D8"/>
    <w:multiLevelType w:val="singleLevel"/>
    <w:tmpl w:val="1BC890D8"/>
    <w:lvl w:ilvl="0" w:tentative="0">
      <w:start w:val="1"/>
      <w:numFmt w:val="decimal"/>
      <w:lvlText w:val="%1."/>
      <w:lvlJc w:val="left"/>
      <w:pPr>
        <w:ind w:left="425" w:hanging="425"/>
      </w:pPr>
      <w:rPr>
        <w:rFonts w:hint="default"/>
      </w:rPr>
    </w:lvl>
  </w:abstractNum>
  <w:abstractNum w:abstractNumId="6">
    <w:nsid w:val="29F89553"/>
    <w:multiLevelType w:val="singleLevel"/>
    <w:tmpl w:val="29F89553"/>
    <w:lvl w:ilvl="0" w:tentative="0">
      <w:start w:val="1"/>
      <w:numFmt w:val="decimal"/>
      <w:lvlText w:val="(%1)"/>
      <w:lvlJc w:val="left"/>
      <w:pPr>
        <w:ind w:left="425" w:hanging="425"/>
      </w:pPr>
      <w:rPr>
        <w:rFonts w:hint="default"/>
      </w:rPr>
    </w:lvl>
  </w:abstractNum>
  <w:abstractNum w:abstractNumId="7">
    <w:nsid w:val="2AB2CEE4"/>
    <w:multiLevelType w:val="singleLevel"/>
    <w:tmpl w:val="2AB2CEE4"/>
    <w:lvl w:ilvl="0" w:tentative="0">
      <w:start w:val="1"/>
      <w:numFmt w:val="decimal"/>
      <w:lvlText w:val="%1."/>
      <w:lvlJc w:val="left"/>
      <w:pPr>
        <w:ind w:left="425" w:hanging="425"/>
      </w:pPr>
      <w:rPr>
        <w:rFonts w:hint="default"/>
      </w:rPr>
    </w:lvl>
  </w:abstractNum>
  <w:abstractNum w:abstractNumId="8">
    <w:nsid w:val="3B264E32"/>
    <w:multiLevelType w:val="multilevel"/>
    <w:tmpl w:val="3B264E32"/>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351DBC5"/>
    <w:multiLevelType w:val="singleLevel"/>
    <w:tmpl w:val="5351DBC5"/>
    <w:lvl w:ilvl="0" w:tentative="0">
      <w:start w:val="1"/>
      <w:numFmt w:val="decimal"/>
      <w:lvlText w:val="%1."/>
      <w:lvlJc w:val="left"/>
      <w:pPr>
        <w:ind w:left="425" w:hanging="425"/>
      </w:pPr>
      <w:rPr>
        <w:rFonts w:hint="default"/>
      </w:rPr>
    </w:lvl>
  </w:abstractNum>
  <w:abstractNum w:abstractNumId="10">
    <w:nsid w:val="5A6A78B9"/>
    <w:multiLevelType w:val="singleLevel"/>
    <w:tmpl w:val="5A6A78B9"/>
    <w:lvl w:ilvl="0" w:tentative="0">
      <w:start w:val="1"/>
      <w:numFmt w:val="decimal"/>
      <w:lvlText w:val="(%1)"/>
      <w:lvlJc w:val="left"/>
      <w:pPr>
        <w:ind w:left="425" w:hanging="425"/>
      </w:pPr>
      <w:rPr>
        <w:rFonts w:hint="default"/>
      </w:rPr>
    </w:lvl>
  </w:abstractNum>
  <w:abstractNum w:abstractNumId="11">
    <w:nsid w:val="6405D980"/>
    <w:multiLevelType w:val="singleLevel"/>
    <w:tmpl w:val="6405D980"/>
    <w:lvl w:ilvl="0" w:tentative="0">
      <w:start w:val="1"/>
      <w:numFmt w:val="decimal"/>
      <w:lvlText w:val="%1."/>
      <w:lvlJc w:val="left"/>
      <w:pPr>
        <w:ind w:left="425" w:hanging="425"/>
      </w:pPr>
      <w:rPr>
        <w:rFonts w:hint="default"/>
      </w:rPr>
    </w:lvl>
  </w:abstractNum>
  <w:abstractNum w:abstractNumId="12">
    <w:nsid w:val="7C2CCDBD"/>
    <w:multiLevelType w:val="singleLevel"/>
    <w:tmpl w:val="7C2CCDBD"/>
    <w:lvl w:ilvl="0" w:tentative="0">
      <w:start w:val="1"/>
      <w:numFmt w:val="decimal"/>
      <w:lvlText w:val="%1."/>
      <w:lvlJc w:val="left"/>
      <w:pPr>
        <w:ind w:left="425" w:hanging="425"/>
      </w:pPr>
      <w:rPr>
        <w:rFonts w:hint="default"/>
      </w:rPr>
    </w:lvl>
  </w:abstractNum>
  <w:num w:numId="1">
    <w:abstractNumId w:val="7"/>
  </w:num>
  <w:num w:numId="2">
    <w:abstractNumId w:val="2"/>
  </w:num>
  <w:num w:numId="3">
    <w:abstractNumId w:val="0"/>
  </w:num>
  <w:num w:numId="4">
    <w:abstractNumId w:val="6"/>
  </w:num>
  <w:num w:numId="5">
    <w:abstractNumId w:val="1"/>
  </w:num>
  <w:num w:numId="6">
    <w:abstractNumId w:val="11"/>
  </w:num>
  <w:num w:numId="7">
    <w:abstractNumId w:val="5"/>
  </w:num>
  <w:num w:numId="8">
    <w:abstractNumId w:val="8"/>
  </w:num>
  <w:num w:numId="9">
    <w:abstractNumId w:val="12"/>
  </w:num>
  <w:num w:numId="10">
    <w:abstractNumId w:val="3"/>
  </w:num>
  <w:num w:numId="11">
    <w:abstractNumId w:val="10"/>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5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B48"/>
    <w:rsid w:val="00004E9A"/>
    <w:rsid w:val="000717FB"/>
    <w:rsid w:val="000E3D6C"/>
    <w:rsid w:val="000F3465"/>
    <w:rsid w:val="00122F33"/>
    <w:rsid w:val="00132D63"/>
    <w:rsid w:val="00153DCF"/>
    <w:rsid w:val="0022590C"/>
    <w:rsid w:val="003131CD"/>
    <w:rsid w:val="003751C1"/>
    <w:rsid w:val="00440087"/>
    <w:rsid w:val="00453773"/>
    <w:rsid w:val="004E14CF"/>
    <w:rsid w:val="006E7B4E"/>
    <w:rsid w:val="00752161"/>
    <w:rsid w:val="007F103A"/>
    <w:rsid w:val="008C4D3B"/>
    <w:rsid w:val="008E38A0"/>
    <w:rsid w:val="00964033"/>
    <w:rsid w:val="00A40587"/>
    <w:rsid w:val="00B57FFA"/>
    <w:rsid w:val="00B71FE8"/>
    <w:rsid w:val="00C46431"/>
    <w:rsid w:val="00CD3762"/>
    <w:rsid w:val="00CE4703"/>
    <w:rsid w:val="00D03DB2"/>
    <w:rsid w:val="00D96BB3"/>
    <w:rsid w:val="00DB2A0A"/>
    <w:rsid w:val="00DD5E3C"/>
    <w:rsid w:val="00F27B48"/>
    <w:rsid w:val="00F72FB6"/>
    <w:rsid w:val="00FC63E4"/>
    <w:rsid w:val="05E31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vertAlign w:val="superscript"/>
      <w:lang w:val="en-US" w:eastAsia="zh-CN" w:bidi="ar-SA"/>
      <w14:ligatures w14:val="none"/>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6"/>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41"/>
    <w:semiHidden/>
    <w:unhideWhenUsed/>
    <w:qFormat/>
    <w:uiPriority w:val="99"/>
    <w:pPr>
      <w:spacing w:after="120"/>
    </w:pPr>
  </w:style>
  <w:style w:type="paragraph" w:styleId="12">
    <w:name w:val="footer"/>
    <w:basedOn w:val="1"/>
    <w:link w:val="40"/>
    <w:unhideWhenUsed/>
    <w:qFormat/>
    <w:uiPriority w:val="99"/>
    <w:pPr>
      <w:tabs>
        <w:tab w:val="center" w:pos="4153"/>
        <w:tab w:val="right" w:pos="8306"/>
      </w:tabs>
      <w:snapToGrid w:val="0"/>
      <w:jc w:val="left"/>
    </w:pPr>
    <w:rPr>
      <w:sz w:val="18"/>
      <w:szCs w:val="18"/>
    </w:rPr>
  </w:style>
  <w:style w:type="paragraph" w:styleId="13">
    <w:name w:val="header"/>
    <w:basedOn w:val="1"/>
    <w:link w:val="39"/>
    <w:unhideWhenUsed/>
    <w:uiPriority w:val="99"/>
    <w:pPr>
      <w:tabs>
        <w:tab w:val="center" w:pos="4153"/>
        <w:tab w:val="right" w:pos="8306"/>
      </w:tabs>
      <w:snapToGrid w:val="0"/>
      <w:jc w:val="center"/>
    </w:pPr>
    <w:rPr>
      <w:sz w:val="18"/>
      <w:szCs w:val="18"/>
    </w:rPr>
  </w:style>
  <w:style w:type="paragraph" w:styleId="14">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qFormat/>
    <w:uiPriority w:val="99"/>
    <w:pPr>
      <w:widowControl/>
      <w:spacing w:before="100" w:beforeAutospacing="1" w:after="100" w:afterAutospacing="1"/>
      <w:jc w:val="left"/>
    </w:pPr>
    <w:rPr>
      <w:rFonts w:ascii="Arial Unicode MS" w:hAnsi="Arial Unicode MS" w:cs="Arial Unicode MS"/>
      <w:color w:val="000000"/>
      <w:kern w:val="0"/>
      <w:sz w:val="24"/>
      <w:szCs w:val="24"/>
      <w:vertAlign w:val="baseline"/>
    </w:rPr>
  </w:style>
  <w:style w:type="paragraph" w:styleId="16">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7">
    <w:name w:val="Body Text First Indent"/>
    <w:basedOn w:val="11"/>
    <w:next w:val="1"/>
    <w:link w:val="42"/>
    <w:qFormat/>
    <w:uiPriority w:val="0"/>
    <w:pPr>
      <w:adjustRightInd w:val="0"/>
      <w:snapToGrid w:val="0"/>
      <w:spacing w:line="360" w:lineRule="auto"/>
      <w:ind w:firstLine="420" w:firstLineChars="100"/>
      <w:jc w:val="left"/>
    </w:pPr>
    <w:rPr>
      <w:sz w:val="24"/>
    </w:rPr>
  </w:style>
  <w:style w:type="character" w:styleId="20">
    <w:name w:val="Hyperlink"/>
    <w:qFormat/>
    <w:uiPriority w:val="99"/>
    <w:rPr>
      <w:rFonts w:cs="Times New Roman"/>
      <w:color w:val="0000FF"/>
      <w:u w:val="single"/>
    </w:rPr>
  </w:style>
  <w:style w:type="character" w:customStyle="1" w:styleId="21">
    <w:name w:val="标题 1 字符"/>
    <w:basedOn w:val="19"/>
    <w:link w:val="2"/>
    <w:uiPriority w:val="9"/>
    <w:rPr>
      <w:rFonts w:asciiTheme="majorHAnsi" w:hAnsiTheme="majorHAnsi" w:eastAsiaTheme="majorEastAsia" w:cstheme="majorBidi"/>
      <w:color w:val="2F5597" w:themeColor="accent1" w:themeShade="BF"/>
      <w:sz w:val="48"/>
      <w:szCs w:val="48"/>
    </w:rPr>
  </w:style>
  <w:style w:type="character" w:customStyle="1" w:styleId="22">
    <w:name w:val="标题 2 字符"/>
    <w:basedOn w:val="19"/>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3">
    <w:name w:val="标题 3 字符"/>
    <w:basedOn w:val="19"/>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4">
    <w:name w:val="标题 4 字符"/>
    <w:basedOn w:val="19"/>
    <w:link w:val="5"/>
    <w:semiHidden/>
    <w:uiPriority w:val="9"/>
    <w:rPr>
      <w:rFonts w:cstheme="majorBidi"/>
      <w:color w:val="2F5597" w:themeColor="accent1" w:themeShade="BF"/>
      <w:sz w:val="28"/>
      <w:szCs w:val="28"/>
    </w:rPr>
  </w:style>
  <w:style w:type="character" w:customStyle="1" w:styleId="25">
    <w:name w:val="标题 5 字符"/>
    <w:basedOn w:val="19"/>
    <w:link w:val="6"/>
    <w:semiHidden/>
    <w:qFormat/>
    <w:uiPriority w:val="9"/>
    <w:rPr>
      <w:rFonts w:cstheme="majorBidi"/>
      <w:color w:val="2F5597" w:themeColor="accent1" w:themeShade="BF"/>
      <w:sz w:val="24"/>
      <w:szCs w:val="24"/>
    </w:rPr>
  </w:style>
  <w:style w:type="character" w:customStyle="1" w:styleId="26">
    <w:name w:val="标题 6 字符"/>
    <w:basedOn w:val="19"/>
    <w:link w:val="7"/>
    <w:semiHidden/>
    <w:qFormat/>
    <w:uiPriority w:val="9"/>
    <w:rPr>
      <w:rFonts w:cstheme="majorBidi"/>
      <w:b/>
      <w:bCs/>
      <w:color w:val="2F5597" w:themeColor="accent1" w:themeShade="BF"/>
    </w:rPr>
  </w:style>
  <w:style w:type="character" w:customStyle="1" w:styleId="27">
    <w:name w:val="标题 7 字符"/>
    <w:basedOn w:val="19"/>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9"/>
    <w:link w:val="32"/>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99"/>
    <w:pPr>
      <w:ind w:left="720"/>
      <w:contextualSpacing/>
    </w:pPr>
  </w:style>
  <w:style w:type="character" w:customStyle="1" w:styleId="35">
    <w:name w:val="Intense Emphasis"/>
    <w:basedOn w:val="19"/>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明显引用 字符"/>
    <w:basedOn w:val="19"/>
    <w:link w:val="36"/>
    <w:qFormat/>
    <w:uiPriority w:val="30"/>
    <w:rPr>
      <w:i/>
      <w:iCs/>
      <w:color w:val="2F5597" w:themeColor="accent1" w:themeShade="BF"/>
    </w:rPr>
  </w:style>
  <w:style w:type="character" w:customStyle="1" w:styleId="38">
    <w:name w:val="Intense Reference"/>
    <w:basedOn w:val="19"/>
    <w:qFormat/>
    <w:uiPriority w:val="32"/>
    <w:rPr>
      <w:b/>
      <w:bCs/>
      <w:smallCaps/>
      <w:color w:val="2F5597" w:themeColor="accent1" w:themeShade="BF"/>
      <w:spacing w:val="5"/>
    </w:rPr>
  </w:style>
  <w:style w:type="character" w:customStyle="1" w:styleId="39">
    <w:name w:val="页眉 字符"/>
    <w:basedOn w:val="19"/>
    <w:link w:val="13"/>
    <w:qFormat/>
    <w:uiPriority w:val="99"/>
    <w:rPr>
      <w:rFonts w:ascii="Times New Roman" w:hAnsi="Times New Roman" w:eastAsia="宋体" w:cs="Times New Roman"/>
      <w:sz w:val="18"/>
      <w:szCs w:val="18"/>
      <w:vertAlign w:val="superscript"/>
      <w14:ligatures w14:val="none"/>
    </w:rPr>
  </w:style>
  <w:style w:type="character" w:customStyle="1" w:styleId="40">
    <w:name w:val="页脚 字符"/>
    <w:basedOn w:val="19"/>
    <w:link w:val="12"/>
    <w:uiPriority w:val="99"/>
    <w:rPr>
      <w:rFonts w:ascii="Times New Roman" w:hAnsi="Times New Roman" w:eastAsia="宋体" w:cs="Times New Roman"/>
      <w:sz w:val="18"/>
      <w:szCs w:val="18"/>
      <w:vertAlign w:val="superscript"/>
      <w14:ligatures w14:val="none"/>
    </w:rPr>
  </w:style>
  <w:style w:type="character" w:customStyle="1" w:styleId="41">
    <w:name w:val="正文文本 字符"/>
    <w:basedOn w:val="19"/>
    <w:link w:val="11"/>
    <w:semiHidden/>
    <w:qFormat/>
    <w:uiPriority w:val="99"/>
    <w:rPr>
      <w:rFonts w:ascii="Times New Roman" w:hAnsi="Times New Roman" w:eastAsia="宋体" w:cs="Times New Roman"/>
      <w:szCs w:val="20"/>
      <w:vertAlign w:val="superscript"/>
      <w14:ligatures w14:val="none"/>
    </w:rPr>
  </w:style>
  <w:style w:type="character" w:customStyle="1" w:styleId="42">
    <w:name w:val="正文文本首行缩进 字符"/>
    <w:basedOn w:val="41"/>
    <w:link w:val="17"/>
    <w:qFormat/>
    <w:uiPriority w:val="0"/>
    <w:rPr>
      <w:rFonts w:ascii="Times New Roman" w:hAnsi="Times New Roman" w:eastAsia="宋体" w:cs="Times New Roman"/>
      <w:sz w:val="24"/>
      <w:szCs w:val="20"/>
      <w:vertAlign w:val="superscript"/>
      <w14:ligatures w14: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FCD9D-C092-4A71-8AEF-2B1BC9E9941C}">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1842</Words>
  <Characters>1921</Characters>
  <Lines>50</Lines>
  <Paragraphs>14</Paragraphs>
  <TotalTime>18</TotalTime>
  <ScaleCrop>false</ScaleCrop>
  <LinksUpToDate>false</LinksUpToDate>
  <CharactersWithSpaces>2001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2025-07-31T08:29:00Z</dcterms:created>
  <dc:creator>新博 毛</dc:creator>
  <cp:lastModifiedBy>Administrator</cp:lastModifiedBy>
  <dcterms:modified xsi:type="dcterms:W3CDTF">2025-08-16T10:52:40Z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1BB85E668C7242219A3D75EE4023422F_12</vt:lpwstr>
  </property>
</Properties>
</file>