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4F63D">
      <w:pPr>
        <w:spacing w:line="360" w:lineRule="auto"/>
        <w:jc w:val="center"/>
        <w:rPr>
          <w:rFonts w:hint="eastAsia" w:ascii="楷体" w:hAnsi="楷体" w:eastAsia="楷体" w:cs="楷体"/>
          <w:b/>
          <w:sz w:val="36"/>
          <w:szCs w:val="36"/>
        </w:rPr>
      </w:pPr>
      <w:bookmarkStart w:id="0" w:name="_Hlk523735664"/>
      <w:r>
        <w:rPr>
          <w:rFonts w:hint="eastAsia" w:ascii="楷体" w:hAnsi="楷体" w:eastAsia="楷体" w:cs="楷体"/>
          <w:b/>
          <w:sz w:val="36"/>
          <w:szCs w:val="36"/>
          <w:lang w:val="en-US" w:eastAsia="zh-CN"/>
        </w:rPr>
        <w:t>2025年物流装卸配送</w:t>
      </w:r>
      <w:r>
        <w:rPr>
          <w:rFonts w:hint="eastAsia" w:ascii="楷体" w:hAnsi="楷体" w:eastAsia="楷体" w:cs="楷体"/>
          <w:b/>
          <w:sz w:val="36"/>
          <w:szCs w:val="36"/>
          <w:lang w:eastAsia="zh-CN"/>
        </w:rPr>
        <w:t>合同</w:t>
      </w:r>
    </w:p>
    <w:p w14:paraId="47CFBAC6">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20250701</w:t>
      </w:r>
    </w:p>
    <w:p w14:paraId="668B2954">
      <w:pPr>
        <w:spacing w:line="360" w:lineRule="auto"/>
        <w:rPr>
          <w:rFonts w:hint="eastAsia" w:ascii="楷体" w:hAnsi="楷体" w:eastAsia="楷体" w:cs="楷体"/>
          <w:b/>
          <w:sz w:val="28"/>
          <w:szCs w:val="28"/>
          <w:u w:val="single"/>
          <w:lang w:val="en-US" w:eastAsia="zh-CN"/>
        </w:rPr>
      </w:pPr>
      <w:r>
        <w:rPr>
          <w:rFonts w:hint="eastAsia" w:ascii="楷体" w:hAnsi="楷体" w:eastAsia="楷体" w:cs="楷体"/>
          <w:b/>
          <w:sz w:val="28"/>
          <w:szCs w:val="28"/>
        </w:rPr>
        <w:t>甲方：</w:t>
      </w:r>
      <w:r>
        <w:rPr>
          <w:rFonts w:hint="eastAsia" w:ascii="楷体" w:hAnsi="楷体" w:eastAsia="楷体" w:cs="楷体"/>
          <w:b/>
          <w:sz w:val="28"/>
          <w:szCs w:val="28"/>
          <w:lang w:eastAsia="zh-CN"/>
        </w:rPr>
        <w:t>潍坊光华荣昌汽车技术有限公司</w:t>
      </w:r>
    </w:p>
    <w:p w14:paraId="0EE46E28">
      <w:pPr>
        <w:spacing w:line="360" w:lineRule="auto"/>
        <w:rPr>
          <w:rFonts w:hint="eastAsia" w:ascii="楷体" w:hAnsi="楷体" w:eastAsia="楷体" w:cs="楷体"/>
          <w:b/>
          <w:sz w:val="28"/>
          <w:szCs w:val="28"/>
          <w:u w:val="single"/>
          <w:lang w:eastAsia="zh-CN"/>
        </w:rPr>
      </w:pPr>
      <w:r>
        <w:rPr>
          <w:rFonts w:hint="eastAsia" w:ascii="楷体" w:hAnsi="楷体" w:eastAsia="楷体" w:cs="楷体"/>
          <w:b/>
          <w:sz w:val="28"/>
          <w:szCs w:val="28"/>
        </w:rPr>
        <w:t>乙方：</w:t>
      </w:r>
      <w:r>
        <w:rPr>
          <w:rFonts w:hint="eastAsia" w:ascii="楷体" w:hAnsi="楷体" w:eastAsia="楷体" w:cs="楷体"/>
          <w:b/>
          <w:sz w:val="28"/>
          <w:szCs w:val="28"/>
          <w:lang w:val="en-US" w:eastAsia="zh-CN"/>
        </w:rPr>
        <w:t>诸城市新汇众物流</w:t>
      </w:r>
      <w:r>
        <w:rPr>
          <w:rFonts w:hint="eastAsia" w:ascii="楷体" w:hAnsi="楷体" w:eastAsia="楷体" w:cs="楷体"/>
          <w:b/>
          <w:sz w:val="28"/>
          <w:szCs w:val="28"/>
          <w:lang w:eastAsia="zh-CN"/>
        </w:rPr>
        <w:t>有限公司</w:t>
      </w:r>
    </w:p>
    <w:p w14:paraId="640EBE35">
      <w:pPr>
        <w:pStyle w:val="2"/>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甲方根据经营需要，委托乙方对</w:t>
      </w:r>
      <w:r>
        <w:rPr>
          <w:rFonts w:hint="eastAsia" w:ascii="楷体" w:hAnsi="楷体" w:eastAsia="楷体" w:cs="楷体"/>
          <w:sz w:val="24"/>
          <w:szCs w:val="24"/>
          <w:lang w:val="en-US" w:eastAsia="zh-CN"/>
        </w:rPr>
        <w:t>（座椅）发运等物流运输</w:t>
      </w:r>
      <w:r>
        <w:rPr>
          <w:rFonts w:hint="eastAsia" w:ascii="楷体" w:hAnsi="楷体" w:eastAsia="楷体" w:cs="楷体"/>
          <w:sz w:val="24"/>
          <w:szCs w:val="24"/>
          <w:lang w:eastAsia="zh-CN"/>
        </w:rPr>
        <w:t>服务业务，</w:t>
      </w:r>
      <w:r>
        <w:rPr>
          <w:rFonts w:hint="eastAsia" w:ascii="楷体" w:hAnsi="楷体" w:eastAsia="楷体" w:cs="楷体"/>
          <w:sz w:val="24"/>
          <w:szCs w:val="24"/>
        </w:rPr>
        <w:t>甲、乙</w:t>
      </w:r>
      <w:r>
        <w:rPr>
          <w:rFonts w:hint="eastAsia" w:ascii="楷体" w:hAnsi="楷体" w:eastAsia="楷体" w:cs="楷体"/>
          <w:sz w:val="24"/>
          <w:szCs w:val="24"/>
          <w:lang w:val="en-US" w:eastAsia="zh-CN"/>
        </w:rPr>
        <w:t>双方</w:t>
      </w:r>
      <w:r>
        <w:rPr>
          <w:rFonts w:hint="eastAsia" w:ascii="楷体" w:hAnsi="楷体" w:eastAsia="楷体" w:cs="楷体"/>
          <w:sz w:val="24"/>
          <w:szCs w:val="24"/>
        </w:rPr>
        <w:t>本着平等、自愿、互利的原则，依据《中华人民共和国合同法》等相关法律、法规的规定，经过友好协商，达成以下协议，以资双方共同信守。</w:t>
      </w:r>
    </w:p>
    <w:p w14:paraId="21297661">
      <w:pPr>
        <w:widowControl/>
        <w:numPr>
          <w:ilvl w:val="0"/>
          <w:numId w:val="1"/>
        </w:numPr>
        <w:spacing w:line="360" w:lineRule="auto"/>
        <w:jc w:val="both"/>
        <w:rPr>
          <w:rFonts w:hint="eastAsia" w:ascii="楷体" w:hAnsi="楷体" w:eastAsia="楷体" w:cs="楷体"/>
          <w:b/>
          <w:color w:val="000000"/>
          <w:kern w:val="0"/>
          <w:sz w:val="28"/>
          <w:szCs w:val="28"/>
          <w:lang w:val="en-US" w:eastAsia="zh-CN"/>
        </w:rPr>
      </w:pPr>
      <w:r>
        <w:rPr>
          <w:rFonts w:hint="eastAsia" w:ascii="楷体" w:hAnsi="楷体" w:eastAsia="楷体" w:cs="楷体"/>
          <w:b/>
          <w:bCs/>
          <w:sz w:val="28"/>
          <w:szCs w:val="36"/>
          <w:lang w:val="en-US" w:eastAsia="zh-CN"/>
        </w:rPr>
        <w:t>合同费用标准</w:t>
      </w:r>
    </w:p>
    <w:tbl>
      <w:tblPr>
        <w:tblStyle w:val="6"/>
        <w:tblW w:w="10358"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2620"/>
        <w:gridCol w:w="1218"/>
        <w:gridCol w:w="1145"/>
        <w:gridCol w:w="2030"/>
        <w:gridCol w:w="2029"/>
      </w:tblGrid>
      <w:tr w14:paraId="2BD1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16" w:type="dxa"/>
            <w:vMerge w:val="restart"/>
            <w:tcBorders>
              <w:top w:val="single" w:color="auto" w:sz="4" w:space="0"/>
              <w:left w:val="single" w:color="auto" w:sz="4" w:space="0"/>
              <w:right w:val="single" w:color="auto" w:sz="4" w:space="0"/>
            </w:tcBorders>
            <w:shd w:val="clear" w:color="auto" w:fill="auto"/>
            <w:noWrap/>
            <w:vAlign w:val="center"/>
          </w:tcPr>
          <w:p w14:paraId="52472C6C">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lang w:val="en-US" w:eastAsia="zh-CN"/>
              </w:rPr>
            </w:pPr>
            <w:r>
              <w:rPr>
                <w:rFonts w:hint="eastAsia" w:ascii="楷体" w:hAnsi="楷体" w:eastAsia="楷体" w:cs="楷体"/>
                <w:b/>
                <w:bCs/>
                <w:i w:val="0"/>
                <w:iCs w:val="0"/>
                <w:color w:val="000000"/>
                <w:sz w:val="22"/>
                <w:szCs w:val="22"/>
                <w:u w:val="none"/>
                <w:lang w:val="en-US" w:eastAsia="zh-CN"/>
              </w:rPr>
              <w:t>运输费用标准</w:t>
            </w: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C5505">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库区</w:t>
            </w:r>
          </w:p>
        </w:tc>
        <w:tc>
          <w:tcPr>
            <w:tcW w:w="1218"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6BAA2D8F">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单程/公里</w:t>
            </w:r>
          </w:p>
        </w:tc>
        <w:tc>
          <w:tcPr>
            <w:tcW w:w="11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24CE0D">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车型</w:t>
            </w:r>
          </w:p>
        </w:tc>
        <w:tc>
          <w:tcPr>
            <w:tcW w:w="203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64DDED">
            <w:pPr>
              <w:keepNext w:val="0"/>
              <w:keepLines w:val="0"/>
              <w:widowControl/>
              <w:suppressLineNumbers w:val="0"/>
              <w:jc w:val="center"/>
              <w:textAlignment w:val="center"/>
              <w:rPr>
                <w:rFonts w:hint="eastAsia" w:ascii="楷体" w:hAnsi="楷体" w:eastAsia="楷体" w:cs="楷体"/>
                <w:b/>
                <w:bCs/>
                <w:i w:val="0"/>
                <w:iCs w:val="0"/>
                <w:color w:val="000000"/>
                <w:kern w:val="0"/>
                <w:sz w:val="22"/>
                <w:szCs w:val="22"/>
                <w:u w:val="none"/>
                <w:lang w:val="en-US" w:eastAsia="zh-CN" w:bidi="ar"/>
              </w:rPr>
            </w:pPr>
            <w:r>
              <w:rPr>
                <w:rFonts w:hint="eastAsia" w:ascii="楷体" w:hAnsi="楷体" w:eastAsia="楷体" w:cs="楷体"/>
                <w:b/>
                <w:bCs/>
                <w:i w:val="0"/>
                <w:iCs w:val="0"/>
                <w:color w:val="000000"/>
                <w:kern w:val="0"/>
                <w:sz w:val="22"/>
                <w:szCs w:val="22"/>
                <w:u w:val="none"/>
                <w:lang w:val="en-US" w:eastAsia="zh-CN" w:bidi="ar"/>
              </w:rPr>
              <w:t>含税（元）</w:t>
            </w:r>
          </w:p>
        </w:tc>
        <w:tc>
          <w:tcPr>
            <w:tcW w:w="20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BC5162">
            <w:pPr>
              <w:keepNext w:val="0"/>
              <w:keepLines w:val="0"/>
              <w:widowControl/>
              <w:suppressLineNumbers w:val="0"/>
              <w:jc w:val="center"/>
              <w:textAlignment w:val="center"/>
              <w:rPr>
                <w:rFonts w:hint="default" w:ascii="楷体" w:hAnsi="楷体" w:eastAsia="楷体" w:cs="楷体"/>
                <w:b/>
                <w:bCs/>
                <w:i w:val="0"/>
                <w:iCs w:val="0"/>
                <w:color w:val="000000"/>
                <w:sz w:val="22"/>
                <w:szCs w:val="22"/>
                <w:u w:val="none"/>
                <w:lang w:val="en-US" w:eastAsia="zh-CN"/>
              </w:rPr>
            </w:pPr>
            <w:r>
              <w:rPr>
                <w:rFonts w:hint="eastAsia" w:ascii="楷体" w:hAnsi="楷体" w:eastAsia="楷体" w:cs="楷体"/>
                <w:b/>
                <w:bCs/>
                <w:i w:val="0"/>
                <w:iCs w:val="0"/>
                <w:color w:val="000000"/>
                <w:sz w:val="22"/>
                <w:szCs w:val="22"/>
                <w:u w:val="none"/>
                <w:lang w:val="en-US" w:eastAsia="zh-CN"/>
              </w:rPr>
              <w:t>备注</w:t>
            </w:r>
          </w:p>
        </w:tc>
      </w:tr>
      <w:tr w14:paraId="382E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16" w:type="dxa"/>
            <w:vMerge w:val="continue"/>
            <w:tcBorders>
              <w:left w:val="single" w:color="auto" w:sz="4" w:space="0"/>
              <w:right w:val="single" w:color="auto" w:sz="4" w:space="0"/>
            </w:tcBorders>
            <w:shd w:val="clear" w:color="auto" w:fill="auto"/>
            <w:noWrap/>
            <w:vAlign w:val="center"/>
          </w:tcPr>
          <w:p w14:paraId="5B4D4570">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1FD78">
            <w:pPr>
              <w:keepNext w:val="0"/>
              <w:keepLines w:val="0"/>
              <w:widowControl/>
              <w:suppressLineNumbers w:val="0"/>
              <w:jc w:val="center"/>
              <w:textAlignment w:val="center"/>
              <w:rPr>
                <w:rFonts w:hint="default"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河南福田智蓝新能源有限公司普田物流库</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5C3BF">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548</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0B589">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13M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B2048">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3800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68B50">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p>
        </w:tc>
      </w:tr>
      <w:tr w14:paraId="21EF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16" w:type="dxa"/>
            <w:vMerge w:val="continue"/>
            <w:tcBorders>
              <w:left w:val="single" w:color="auto" w:sz="4" w:space="0"/>
              <w:right w:val="single" w:color="auto" w:sz="4" w:space="0"/>
            </w:tcBorders>
            <w:shd w:val="clear" w:color="auto" w:fill="auto"/>
            <w:noWrap/>
            <w:vAlign w:val="center"/>
          </w:tcPr>
          <w:p w14:paraId="5D43668C">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FAA97">
            <w:pPr>
              <w:keepNext w:val="0"/>
              <w:keepLines w:val="0"/>
              <w:widowControl/>
              <w:suppressLineNumbers w:val="0"/>
              <w:jc w:val="center"/>
              <w:textAlignment w:val="center"/>
              <w:rPr>
                <w:rFonts w:hint="default"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河南福田智蓝新能源有限公司普田物流库</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0917C">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548</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FF031">
            <w:pPr>
              <w:keepNext w:val="0"/>
              <w:keepLines w:val="0"/>
              <w:widowControl/>
              <w:suppressLineNumbers w:val="0"/>
              <w:jc w:val="center"/>
              <w:textAlignment w:val="center"/>
              <w:rPr>
                <w:rFonts w:hint="default"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999B8">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2900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D98BB">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p>
        </w:tc>
      </w:tr>
      <w:tr w14:paraId="5CDC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16" w:type="dxa"/>
            <w:vMerge w:val="continue"/>
            <w:tcBorders>
              <w:left w:val="single" w:color="auto" w:sz="4" w:space="0"/>
              <w:right w:val="single" w:color="auto" w:sz="4" w:space="0"/>
            </w:tcBorders>
            <w:shd w:val="clear" w:color="auto" w:fill="auto"/>
            <w:noWrap/>
            <w:vAlign w:val="center"/>
          </w:tcPr>
          <w:p w14:paraId="5B4CAD5B">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03B88">
            <w:pPr>
              <w:keepNext w:val="0"/>
              <w:keepLines w:val="0"/>
              <w:widowControl/>
              <w:suppressLineNumbers w:val="0"/>
              <w:jc w:val="center"/>
              <w:textAlignment w:val="center"/>
              <w:rPr>
                <w:rFonts w:hint="default" w:ascii="楷体" w:hAnsi="楷体" w:eastAsia="楷体" w:cs="楷体"/>
                <w:b w:val="0"/>
                <w:bCs w:val="0"/>
                <w:i w:val="0"/>
                <w:iCs w:val="0"/>
                <w:color w:val="000000"/>
                <w:sz w:val="22"/>
                <w:szCs w:val="22"/>
                <w:u w:val="none"/>
                <w:lang w:val="en-US"/>
              </w:rPr>
            </w:pPr>
            <w:r>
              <w:rPr>
                <w:rFonts w:hint="eastAsia" w:ascii="楷体" w:hAnsi="楷体" w:eastAsia="楷体" w:cs="楷体"/>
                <w:b w:val="0"/>
                <w:bCs w:val="0"/>
                <w:i w:val="0"/>
                <w:iCs w:val="0"/>
                <w:color w:val="000000"/>
                <w:kern w:val="0"/>
                <w:sz w:val="22"/>
                <w:szCs w:val="22"/>
                <w:u w:val="none"/>
                <w:lang w:val="en-US" w:eastAsia="zh-CN" w:bidi="ar"/>
              </w:rPr>
              <w:t>河南福田智蓝新能源有限公司普田物流库</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C0ADE">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rPr>
            </w:pPr>
            <w:r>
              <w:rPr>
                <w:rFonts w:hint="eastAsia" w:ascii="楷体" w:hAnsi="楷体" w:eastAsia="楷体" w:cs="楷体"/>
                <w:i w:val="0"/>
                <w:iCs w:val="0"/>
                <w:color w:val="000000"/>
                <w:kern w:val="0"/>
                <w:sz w:val="22"/>
                <w:szCs w:val="22"/>
                <w:u w:val="none"/>
                <w:lang w:val="en-US" w:eastAsia="zh-CN" w:bidi="ar"/>
              </w:rPr>
              <w:t>548</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A71AC">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6.8M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921B8">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2400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08F35">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p>
        </w:tc>
      </w:tr>
      <w:tr w14:paraId="3ADC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16" w:type="dxa"/>
            <w:vMerge w:val="continue"/>
            <w:tcBorders>
              <w:left w:val="single" w:color="auto" w:sz="4" w:space="0"/>
              <w:bottom w:val="single" w:color="auto" w:sz="4" w:space="0"/>
              <w:right w:val="single" w:color="auto" w:sz="4" w:space="0"/>
            </w:tcBorders>
            <w:shd w:val="clear" w:color="auto" w:fill="auto"/>
            <w:noWrap/>
            <w:vAlign w:val="center"/>
          </w:tcPr>
          <w:p w14:paraId="432A8508">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53643">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河南福田智蓝新能源有限公司普田物流库</w:t>
            </w:r>
          </w:p>
        </w:tc>
        <w:tc>
          <w:tcPr>
            <w:tcW w:w="12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0C387">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548</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C4448">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4.2M</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8E3DF">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1800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171C9">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p>
        </w:tc>
      </w:tr>
    </w:tbl>
    <w:p w14:paraId="408CFE3C">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第二条 质量标准</w:t>
      </w:r>
    </w:p>
    <w:p w14:paraId="27323056">
      <w:pPr>
        <w:numPr>
          <w:ilvl w:val="0"/>
          <w:numId w:val="2"/>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乙方在货物运输必须按甲方的要求对货物进行认真防护。</w:t>
      </w:r>
    </w:p>
    <w:p w14:paraId="69FD30BD">
      <w:pPr>
        <w:numPr>
          <w:ilvl w:val="0"/>
          <w:numId w:val="2"/>
        </w:numPr>
        <w:spacing w:after="0" w:line="360" w:lineRule="auto"/>
        <w:ind w:left="843" w:leftChars="0" w:firstLine="0" w:firstLineChars="0"/>
        <w:rPr>
          <w:rFonts w:hint="eastAsia" w:ascii="楷体" w:hAnsi="楷体" w:eastAsia="楷体" w:cs="楷体"/>
          <w:b/>
          <w:bCs/>
          <w:sz w:val="24"/>
          <w:szCs w:val="32"/>
          <w:lang w:val="en-US" w:eastAsia="zh-CN"/>
        </w:rPr>
      </w:pPr>
      <w:r>
        <w:rPr>
          <w:rFonts w:hint="eastAsia" w:ascii="楷体" w:hAnsi="楷体" w:eastAsia="楷体" w:cs="楷体"/>
          <w:sz w:val="24"/>
          <w:szCs w:val="32"/>
          <w:lang w:eastAsia="zh-CN"/>
        </w:rPr>
        <w:t>乙方造成的损坏</w:t>
      </w:r>
      <w:r>
        <w:rPr>
          <w:rFonts w:hint="eastAsia" w:ascii="楷体" w:hAnsi="楷体" w:eastAsia="楷体" w:cs="楷体"/>
          <w:sz w:val="24"/>
          <w:szCs w:val="32"/>
          <w:lang w:val="en-US" w:eastAsia="zh-CN"/>
        </w:rPr>
        <w:t>甲方座椅损坏</w:t>
      </w:r>
      <w:r>
        <w:rPr>
          <w:rFonts w:hint="eastAsia" w:ascii="楷体" w:hAnsi="楷体" w:eastAsia="楷体" w:cs="楷体"/>
          <w:sz w:val="24"/>
          <w:szCs w:val="32"/>
          <w:lang w:eastAsia="zh-CN"/>
        </w:rPr>
        <w:t>，</w:t>
      </w:r>
      <w:r>
        <w:rPr>
          <w:rFonts w:hint="eastAsia" w:ascii="楷体" w:hAnsi="楷体" w:eastAsia="楷体" w:cs="楷体"/>
          <w:sz w:val="24"/>
          <w:szCs w:val="32"/>
          <w:lang w:val="en-US" w:eastAsia="zh-CN"/>
        </w:rPr>
        <w:t>造成甲方损失由乙方全部赔偿</w:t>
      </w:r>
      <w:r>
        <w:rPr>
          <w:rFonts w:hint="eastAsia" w:ascii="楷体" w:hAnsi="楷体" w:eastAsia="楷体" w:cs="楷体"/>
          <w:sz w:val="24"/>
          <w:szCs w:val="32"/>
          <w:lang w:eastAsia="zh-CN"/>
        </w:rPr>
        <w:t>。</w:t>
      </w:r>
    </w:p>
    <w:p w14:paraId="3E712E40">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第三条 结算方式</w:t>
      </w:r>
    </w:p>
    <w:p w14:paraId="03F4BF0F">
      <w:pPr>
        <w:widowControl/>
        <w:numPr>
          <w:ilvl w:val="0"/>
          <w:numId w:val="3"/>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甲、乙双方按物流配送交付计划，双方确认运输车型及车次，根据</w:t>
      </w:r>
      <w:r>
        <w:rPr>
          <w:rFonts w:hint="eastAsia" w:ascii="楷体" w:hAnsi="楷体" w:eastAsia="楷体" w:cs="楷体"/>
          <w:b w:val="0"/>
          <w:bCs/>
          <w:i w:val="0"/>
          <w:iCs w:val="0"/>
          <w:color w:val="000000"/>
          <w:sz w:val="24"/>
          <w:szCs w:val="24"/>
          <w:u w:val="none"/>
          <w:lang w:val="en-US" w:eastAsia="zh-CN"/>
        </w:rPr>
        <w:t>运输费用标准进行统计核算价格，月底进行汇总核对，</w:t>
      </w:r>
      <w:r>
        <w:rPr>
          <w:rFonts w:hint="eastAsia" w:ascii="楷体" w:hAnsi="楷体" w:eastAsia="楷体" w:cs="楷体"/>
          <w:b w:val="0"/>
          <w:bCs/>
          <w:color w:val="000000"/>
          <w:kern w:val="0"/>
          <w:sz w:val="24"/>
          <w:szCs w:val="24"/>
          <w:lang w:val="en-US" w:eastAsia="zh-CN"/>
        </w:rPr>
        <w:t>提交财务</w:t>
      </w:r>
    </w:p>
    <w:p w14:paraId="58EEB689">
      <w:pPr>
        <w:widowControl/>
        <w:numPr>
          <w:ilvl w:val="0"/>
          <w:numId w:val="3"/>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乙方按月开具增值税专用发票，税率为1%的物流运输发票</w:t>
      </w:r>
    </w:p>
    <w:p w14:paraId="2B8B0E87">
      <w:pPr>
        <w:widowControl/>
        <w:numPr>
          <w:ilvl w:val="0"/>
          <w:numId w:val="3"/>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甲方收到发票进行挂账，账期90天，循环付款</w:t>
      </w:r>
    </w:p>
    <w:p w14:paraId="667AA0E0">
      <w:pPr>
        <w:widowControl/>
        <w:numPr>
          <w:ilvl w:val="0"/>
          <w:numId w:val="0"/>
        </w:numPr>
        <w:spacing w:line="360" w:lineRule="auto"/>
        <w:jc w:val="both"/>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i w:val="0"/>
          <w:iCs w:val="0"/>
          <w:color w:val="000000"/>
          <w:sz w:val="28"/>
          <w:szCs w:val="28"/>
          <w:u w:val="none"/>
          <w:lang w:val="en-US" w:eastAsia="zh-CN"/>
        </w:rPr>
        <w:t>第四条 违约责任</w:t>
      </w:r>
    </w:p>
    <w:p w14:paraId="370372BF">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1.乙方不按照甲方的合理要求进行配送，致使甲方的产品遭到破坏、丢失所产生的损失由乙方负担。</w:t>
      </w:r>
    </w:p>
    <w:p w14:paraId="0D3A3410">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、因乙方未能动及时与甲方指定客户沟通，对送货计划理解有误，或未能及时掌握送货计划致使甲方向甲方指定客户产品供应不及时，所产生的损失或处罚由乙方自行负担。</w:t>
      </w:r>
    </w:p>
    <w:p w14:paraId="4DAFA927">
      <w:pPr>
        <w:spacing w:after="0" w:line="360" w:lineRule="auto"/>
        <w:ind w:firstLine="960" w:firstLineChars="400"/>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3、乙方物流运输统计数据造假或未按照上述相关标准进行统计，一经查实按照当月费用的1.5倍进行违约罚款</w:t>
      </w:r>
    </w:p>
    <w:p w14:paraId="685E6926">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w:t>
      </w:r>
      <w:r>
        <w:rPr>
          <w:rFonts w:hint="eastAsia" w:ascii="楷体" w:hAnsi="楷体" w:eastAsia="楷体" w:cs="楷体"/>
          <w:b/>
          <w:sz w:val="28"/>
          <w:szCs w:val="36"/>
          <w:lang w:val="en-US" w:eastAsia="zh-CN"/>
        </w:rPr>
        <w:t>五</w:t>
      </w:r>
      <w:r>
        <w:rPr>
          <w:rFonts w:hint="eastAsia" w:ascii="楷体" w:hAnsi="楷体" w:eastAsia="楷体" w:cs="楷体"/>
          <w:b/>
          <w:sz w:val="28"/>
          <w:szCs w:val="36"/>
          <w:lang w:eastAsia="zh-CN"/>
        </w:rPr>
        <w:t>条 免责条款</w:t>
      </w:r>
    </w:p>
    <w:p w14:paraId="389E57C8">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14:paraId="4AEA4C17">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14:paraId="16C92B5A">
      <w:pPr>
        <w:spacing w:after="0" w:line="360" w:lineRule="auto"/>
        <w:rPr>
          <w:rFonts w:hint="eastAsia" w:ascii="楷体" w:hAnsi="楷体" w:eastAsia="楷体" w:cs="楷体"/>
          <w:b/>
          <w:bCs/>
          <w:sz w:val="28"/>
          <w:szCs w:val="36"/>
          <w:lang w:val="en-US" w:eastAsia="zh-CN"/>
        </w:rPr>
      </w:pPr>
      <w:r>
        <w:rPr>
          <w:rFonts w:hint="eastAsia" w:ascii="楷体" w:hAnsi="楷体" w:eastAsia="楷体" w:cs="楷体"/>
          <w:b/>
          <w:bCs/>
          <w:sz w:val="28"/>
          <w:szCs w:val="36"/>
          <w:lang w:eastAsia="zh-CN"/>
        </w:rPr>
        <w:t>第</w:t>
      </w:r>
      <w:r>
        <w:rPr>
          <w:rFonts w:hint="eastAsia" w:ascii="楷体" w:hAnsi="楷体" w:eastAsia="楷体" w:cs="楷体"/>
          <w:b/>
          <w:bCs/>
          <w:sz w:val="28"/>
          <w:szCs w:val="36"/>
          <w:lang w:val="en-US" w:eastAsia="zh-CN"/>
        </w:rPr>
        <w:t>六</w:t>
      </w:r>
      <w:r>
        <w:rPr>
          <w:rFonts w:hint="eastAsia" w:ascii="楷体" w:hAnsi="楷体" w:eastAsia="楷体" w:cs="楷体"/>
          <w:b/>
          <w:bCs/>
          <w:sz w:val="28"/>
          <w:szCs w:val="36"/>
          <w:lang w:eastAsia="zh-CN"/>
        </w:rPr>
        <w:t>条</w:t>
      </w:r>
      <w:r>
        <w:rPr>
          <w:rFonts w:hint="eastAsia" w:ascii="楷体" w:hAnsi="楷体" w:eastAsia="楷体" w:cs="楷体"/>
          <w:b/>
          <w:bCs/>
          <w:sz w:val="28"/>
          <w:szCs w:val="36"/>
          <w:lang w:val="en-US" w:eastAsia="zh-CN"/>
        </w:rPr>
        <w:t xml:space="preserve"> 其他</w:t>
      </w:r>
    </w:p>
    <w:p w14:paraId="492EB887">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bCs/>
          <w:sz w:val="28"/>
          <w:szCs w:val="36"/>
          <w:lang w:val="en-US" w:eastAsia="zh-CN"/>
        </w:rPr>
        <w:t xml:space="preserve">      </w:t>
      </w:r>
      <w:r>
        <w:rPr>
          <w:rFonts w:hint="eastAsia" w:ascii="楷体" w:hAnsi="楷体" w:eastAsia="楷体" w:cs="楷体"/>
          <w:b/>
          <w:bCs/>
          <w:sz w:val="24"/>
          <w:szCs w:val="32"/>
          <w:lang w:val="en-US" w:eastAsia="zh-CN"/>
        </w:rPr>
        <w:t xml:space="preserve"> </w:t>
      </w:r>
      <w:r>
        <w:rPr>
          <w:rFonts w:hint="eastAsia" w:ascii="楷体" w:hAnsi="楷体" w:eastAsia="楷体" w:cs="楷体"/>
          <w:b w:val="0"/>
          <w:bCs w:val="0"/>
          <w:sz w:val="24"/>
          <w:szCs w:val="32"/>
          <w:lang w:val="en-US" w:eastAsia="zh-CN"/>
        </w:rPr>
        <w:t>1、乙方工作人员进入甲方仓储、生产线及厂区作业，出现的磕碰、砸伤等伤人安全事故与甲方无关，乙方承担所有责任，甲方不承担任何责任。</w:t>
      </w:r>
    </w:p>
    <w:p w14:paraId="05163B43">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2、乙方工作人员未按甲方要求在指定吸烟区吸烟造成火灾隐患的，甲方有权考核乙方200元-1000元违规管理费</w:t>
      </w:r>
    </w:p>
    <w:p w14:paraId="728569F2">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3、乙方工作人员不按照甲方指定的行驶路线，违规驾驶造成人员安全隐患的，甲方有权考核乙方200元-1000元违规管理费  </w:t>
      </w:r>
    </w:p>
    <w:p w14:paraId="4EB62CA1">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w:t>
      </w:r>
      <w:r>
        <w:rPr>
          <w:rFonts w:hint="eastAsia" w:ascii="楷体" w:hAnsi="楷体" w:eastAsia="楷体" w:cs="楷体"/>
          <w:b/>
          <w:sz w:val="28"/>
          <w:szCs w:val="36"/>
          <w:lang w:val="en-US" w:eastAsia="zh-CN"/>
        </w:rPr>
        <w:t>七</w:t>
      </w:r>
      <w:r>
        <w:rPr>
          <w:rFonts w:hint="eastAsia" w:ascii="楷体" w:hAnsi="楷体" w:eastAsia="楷体" w:cs="楷体"/>
          <w:b/>
          <w:sz w:val="28"/>
          <w:szCs w:val="36"/>
          <w:lang w:eastAsia="zh-CN"/>
        </w:rPr>
        <w:t>条 协议的生效、终止</w:t>
      </w:r>
    </w:p>
    <w:p w14:paraId="743060C7">
      <w:pPr>
        <w:pStyle w:val="15"/>
        <w:numPr>
          <w:ilvl w:val="0"/>
          <w:numId w:val="0"/>
        </w:num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本合同一式两份，甲乙双方各持一份，由甲方与乙方盖章后生效，本合同期限从20</w:t>
      </w:r>
      <w:r>
        <w:rPr>
          <w:rFonts w:hint="eastAsia" w:ascii="楷体" w:hAnsi="楷体" w:eastAsia="楷体" w:cs="楷体"/>
          <w:sz w:val="24"/>
          <w:szCs w:val="32"/>
          <w:lang w:val="en-US" w:eastAsia="zh-CN"/>
        </w:rPr>
        <w:t>25</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7</w:t>
      </w:r>
      <w:r>
        <w:rPr>
          <w:rFonts w:hint="eastAsia" w:ascii="楷体" w:hAnsi="楷体" w:eastAsia="楷体" w:cs="楷体"/>
          <w:sz w:val="24"/>
          <w:szCs w:val="32"/>
          <w:lang w:eastAsia="zh-CN"/>
        </w:rPr>
        <w:t>月1日起至20</w:t>
      </w:r>
      <w:r>
        <w:rPr>
          <w:rFonts w:hint="eastAsia" w:ascii="楷体" w:hAnsi="楷体" w:eastAsia="楷体" w:cs="楷体"/>
          <w:sz w:val="24"/>
          <w:szCs w:val="32"/>
          <w:lang w:val="en-US" w:eastAsia="zh-CN"/>
        </w:rPr>
        <w:t>25</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12</w:t>
      </w:r>
      <w:r>
        <w:rPr>
          <w:rFonts w:hint="eastAsia" w:ascii="楷体" w:hAnsi="楷体" w:eastAsia="楷体" w:cs="楷体"/>
          <w:sz w:val="24"/>
          <w:szCs w:val="32"/>
          <w:lang w:eastAsia="zh-CN"/>
        </w:rPr>
        <w:t>月</w:t>
      </w:r>
      <w:r>
        <w:rPr>
          <w:rFonts w:hint="eastAsia" w:ascii="楷体" w:hAnsi="楷体" w:eastAsia="楷体" w:cs="楷体"/>
          <w:sz w:val="24"/>
          <w:szCs w:val="32"/>
          <w:lang w:val="en-US" w:eastAsia="zh-CN"/>
        </w:rPr>
        <w:t>31</w:t>
      </w:r>
      <w:r>
        <w:rPr>
          <w:rFonts w:hint="eastAsia" w:ascii="楷体" w:hAnsi="楷体" w:eastAsia="楷体" w:cs="楷体"/>
          <w:sz w:val="24"/>
          <w:szCs w:val="32"/>
          <w:lang w:eastAsia="zh-CN"/>
        </w:rPr>
        <w:t>日止。</w:t>
      </w:r>
    </w:p>
    <w:p w14:paraId="64AA95EF">
      <w:pPr>
        <w:pStyle w:val="15"/>
        <w:numPr>
          <w:ilvl w:val="0"/>
          <w:numId w:val="0"/>
        </w:numPr>
        <w:spacing w:after="0" w:line="360" w:lineRule="auto"/>
        <w:ind w:firstLine="960" w:firstLineChars="400"/>
        <w:rPr>
          <w:rFonts w:hint="eastAsia" w:ascii="楷体" w:hAnsi="楷体" w:eastAsia="楷体" w:cs="楷体"/>
          <w:sz w:val="24"/>
          <w:szCs w:val="24"/>
        </w:rPr>
      </w:pPr>
      <w:r>
        <w:rPr>
          <w:rFonts w:hint="eastAsia" w:ascii="楷体" w:hAnsi="楷体" w:eastAsia="楷体" w:cs="楷体"/>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14:paraId="0FB9CF6F">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甲方(盖章)：</w:t>
      </w:r>
      <w:r>
        <w:rPr>
          <w:rFonts w:hint="eastAsia" w:ascii="楷体" w:hAnsi="楷体" w:eastAsia="楷体" w:cs="楷体"/>
          <w:b w:val="0"/>
          <w:bCs/>
          <w:sz w:val="24"/>
          <w:szCs w:val="24"/>
          <w:lang w:eastAsia="zh-CN"/>
        </w:rPr>
        <w:t>潍坊光华荣昌汽车技术有限公司</w:t>
      </w:r>
      <w:r>
        <w:rPr>
          <w:rFonts w:hint="eastAsia" w:ascii="楷体" w:hAnsi="楷体" w:eastAsia="楷体" w:cs="楷体"/>
          <w:b w:val="0"/>
          <w:bCs/>
          <w:sz w:val="24"/>
          <w:szCs w:val="24"/>
          <w:lang w:val="en-US" w:eastAsia="zh-CN"/>
        </w:rPr>
        <w:t xml:space="preserve"> </w:t>
      </w:r>
      <w:r>
        <w:rPr>
          <w:rFonts w:hint="eastAsia" w:ascii="楷体" w:hAnsi="楷体" w:eastAsia="楷体" w:cs="楷体"/>
          <w:b/>
          <w:bCs/>
          <w:sz w:val="24"/>
          <w:szCs w:val="24"/>
        </w:rPr>
        <w:t>乙方(盖章)：</w:t>
      </w:r>
      <w:r>
        <w:rPr>
          <w:rFonts w:hint="eastAsia" w:ascii="楷体" w:hAnsi="楷体" w:eastAsia="楷体" w:cs="楷体"/>
          <w:b w:val="0"/>
          <w:bCs w:val="0"/>
          <w:sz w:val="24"/>
          <w:szCs w:val="24"/>
        </w:rPr>
        <w:t>诸城市新汇众物流有限公司</w:t>
      </w:r>
    </w:p>
    <w:p w14:paraId="11FB19D7">
      <w:pPr>
        <w:spacing w:line="360" w:lineRule="auto"/>
        <w:rPr>
          <w:rFonts w:hint="eastAsia" w:ascii="楷体" w:hAnsi="楷体" w:eastAsia="楷体" w:cs="楷体"/>
          <w:b/>
          <w:bCs/>
          <w:sz w:val="24"/>
          <w:szCs w:val="24"/>
        </w:rPr>
      </w:pPr>
    </w:p>
    <w:p w14:paraId="5E17250D">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法定代表人：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法定代表人：</w:t>
      </w:r>
    </w:p>
    <w:p w14:paraId="6D88794C">
      <w:pPr>
        <w:spacing w:line="360" w:lineRule="auto"/>
        <w:rPr>
          <w:rFonts w:hint="eastAsia" w:ascii="楷体" w:hAnsi="楷体" w:eastAsia="楷体" w:cs="楷体"/>
          <w:b/>
          <w:bCs/>
          <w:sz w:val="24"/>
          <w:szCs w:val="24"/>
        </w:rPr>
      </w:pPr>
    </w:p>
    <w:p w14:paraId="114FAC18">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委托代理人：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委托代理人：</w:t>
      </w:r>
    </w:p>
    <w:p w14:paraId="57C2F375">
      <w:pPr>
        <w:spacing w:line="360" w:lineRule="auto"/>
        <w:rPr>
          <w:rFonts w:hint="eastAsia" w:ascii="楷体" w:hAnsi="楷体" w:eastAsia="楷体" w:cs="楷体"/>
          <w:b/>
          <w:bCs/>
          <w:sz w:val="24"/>
          <w:szCs w:val="24"/>
        </w:rPr>
      </w:pPr>
    </w:p>
    <w:p w14:paraId="5D97D02A">
      <w:pPr>
        <w:spacing w:line="360" w:lineRule="auto"/>
        <w:ind w:left="240" w:hanging="241" w:hangingChars="100"/>
        <w:rPr>
          <w:rFonts w:hint="eastAsia" w:ascii="楷体" w:hAnsi="楷体" w:eastAsia="楷体" w:cs="楷体"/>
          <w:color w:val="000000"/>
          <w:kern w:val="0"/>
          <w:sz w:val="24"/>
          <w:szCs w:val="24"/>
        </w:rPr>
      </w:pP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5</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 7</w:t>
      </w:r>
      <w:r>
        <w:rPr>
          <w:rFonts w:hint="eastAsia" w:ascii="楷体" w:hAnsi="楷体" w:eastAsia="楷体" w:cs="楷体"/>
          <w:sz w:val="24"/>
          <w:szCs w:val="24"/>
        </w:rPr>
        <w:t>月</w:t>
      </w:r>
      <w:r>
        <w:rPr>
          <w:rFonts w:hint="eastAsia" w:ascii="楷体" w:hAnsi="楷体" w:eastAsia="楷体" w:cs="楷体"/>
          <w:sz w:val="24"/>
          <w:szCs w:val="24"/>
          <w:lang w:val="en-US" w:eastAsia="zh-CN"/>
        </w:rPr>
        <w:t xml:space="preserve">  1 </w:t>
      </w:r>
      <w:r>
        <w:rPr>
          <w:rFonts w:hint="eastAsia" w:ascii="楷体" w:hAnsi="楷体" w:eastAsia="楷体" w:cs="楷体"/>
          <w:sz w:val="24"/>
          <w:szCs w:val="24"/>
        </w:rPr>
        <w:t>日</w:t>
      </w:r>
      <w:r>
        <w:rPr>
          <w:rFonts w:hint="eastAsia" w:ascii="楷体" w:hAnsi="楷体" w:eastAsia="楷体" w:cs="楷体"/>
          <w:sz w:val="24"/>
          <w:szCs w:val="24"/>
          <w:lang w:val="en-US" w:eastAsia="zh-CN"/>
        </w:rPr>
        <w:t xml:space="preserve">              </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日    期：</w:t>
      </w:r>
      <w:r>
        <w:rPr>
          <w:rFonts w:hint="eastAsia" w:ascii="楷体" w:hAnsi="楷体" w:eastAsia="楷体" w:cs="楷体"/>
          <w:sz w:val="24"/>
          <w:szCs w:val="24"/>
          <w:u w:val="single"/>
        </w:rPr>
        <w:t>202</w:t>
      </w:r>
      <w:r>
        <w:rPr>
          <w:rFonts w:hint="eastAsia" w:ascii="楷体" w:hAnsi="楷体" w:eastAsia="楷体" w:cs="楷体"/>
          <w:sz w:val="24"/>
          <w:szCs w:val="24"/>
          <w:u w:val="single"/>
          <w:lang w:val="en-US" w:eastAsia="zh-CN"/>
        </w:rPr>
        <w:t>5</w:t>
      </w:r>
      <w:r>
        <w:rPr>
          <w:rFonts w:hint="eastAsia" w:ascii="楷体" w:hAnsi="楷体" w:eastAsia="楷体" w:cs="楷体"/>
          <w:sz w:val="24"/>
          <w:szCs w:val="24"/>
        </w:rPr>
        <w:t xml:space="preserve">年 </w:t>
      </w:r>
      <w:r>
        <w:rPr>
          <w:rFonts w:hint="eastAsia" w:ascii="楷体" w:hAnsi="楷体" w:eastAsia="楷体" w:cs="楷体"/>
          <w:sz w:val="24"/>
          <w:szCs w:val="24"/>
          <w:lang w:val="en-US" w:eastAsia="zh-CN"/>
        </w:rPr>
        <w:t xml:space="preserve">7 </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w:t>
      </w:r>
    </w:p>
    <w:p w14:paraId="58AC6C80">
      <w:pPr>
        <w:widowControl/>
        <w:spacing w:line="360" w:lineRule="auto"/>
        <w:rPr>
          <w:rFonts w:hint="eastAsia" w:ascii="楷体" w:hAnsi="楷体" w:eastAsia="楷体" w:cs="楷体"/>
          <w:color w:val="000000"/>
          <w:kern w:val="0"/>
          <w:sz w:val="24"/>
          <w:szCs w:val="24"/>
        </w:rPr>
      </w:pPr>
    </w:p>
    <w:p w14:paraId="0F23BFFB">
      <w:pPr>
        <w:widowControl/>
        <w:spacing w:line="360" w:lineRule="auto"/>
        <w:rPr>
          <w:rFonts w:hint="eastAsia" w:ascii="楷体" w:hAnsi="楷体" w:eastAsia="楷体" w:cs="楷体"/>
          <w:sz w:val="21"/>
          <w:szCs w:val="24"/>
          <w:lang w:eastAsia="zh-CN"/>
        </w:rPr>
      </w:pPr>
      <w:r>
        <w:rPr>
          <w:rFonts w:hint="eastAsia" w:ascii="楷体" w:hAnsi="楷体" w:eastAsia="楷体" w:cs="楷体"/>
          <w:color w:val="000000"/>
          <w:kern w:val="0"/>
          <w:sz w:val="24"/>
          <w:szCs w:val="24"/>
        </w:rPr>
        <w:t>本合同签订地点：</w:t>
      </w:r>
      <w:bookmarkEnd w:id="0"/>
      <w:r>
        <w:rPr>
          <w:rFonts w:hint="eastAsia" w:ascii="楷体" w:hAnsi="楷体" w:eastAsia="楷体" w:cs="楷体"/>
          <w:color w:val="000000"/>
          <w:kern w:val="0"/>
          <w:sz w:val="24"/>
          <w:szCs w:val="24"/>
          <w:lang w:eastAsia="zh-CN"/>
        </w:rPr>
        <w:t>潍坊</w:t>
      </w:r>
      <w:bookmarkStart w:id="1" w:name="_GoBack"/>
      <w:bookmarkEnd w:id="1"/>
    </w:p>
    <w:sectPr>
      <w:headerReference r:id="rId5" w:type="first"/>
      <w:footerReference r:id="rId7" w:type="first"/>
      <w:headerReference r:id="rId3" w:type="default"/>
      <w:headerReference r:id="rId4" w:type="even"/>
      <w:footerReference r:id="rId6" w:type="even"/>
      <w:pgSz w:w="11906" w:h="16838"/>
      <w:pgMar w:top="126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92F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070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B2E4">
    <w:pPr>
      <w:pStyle w:val="5"/>
    </w:pPr>
  </w:p>
  <w:p w14:paraId="06FA4FB5">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71E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A2F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453F0"/>
    <w:multiLevelType w:val="singleLevel"/>
    <w:tmpl w:val="8C2453F0"/>
    <w:lvl w:ilvl="0" w:tentative="0">
      <w:start w:val="1"/>
      <w:numFmt w:val="chineseCounting"/>
      <w:suff w:val="space"/>
      <w:lvlText w:val="第%1条"/>
      <w:lvlJc w:val="left"/>
      <w:rPr>
        <w:rFonts w:hint="eastAsia"/>
      </w:rPr>
    </w:lvl>
  </w:abstractNum>
  <w:abstractNum w:abstractNumId="1">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2">
    <w:nsid w:val="FA43D6AE"/>
    <w:multiLevelType w:val="singleLevel"/>
    <w:tmpl w:val="FA43D6AE"/>
    <w:lvl w:ilvl="0" w:tentative="0">
      <w:start w:val="1"/>
      <w:numFmt w:val="decimal"/>
      <w:suff w:val="nothing"/>
      <w:lvlText w:val="%1、"/>
      <w:lvlJc w:val="left"/>
      <w:pPr>
        <w:ind w:left="843"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019E017D"/>
    <w:rsid w:val="01F73215"/>
    <w:rsid w:val="121E3DC1"/>
    <w:rsid w:val="1268135E"/>
    <w:rsid w:val="16624B52"/>
    <w:rsid w:val="17746544"/>
    <w:rsid w:val="1A3A2F9C"/>
    <w:rsid w:val="1B572444"/>
    <w:rsid w:val="1D2961E3"/>
    <w:rsid w:val="237050B3"/>
    <w:rsid w:val="239436FF"/>
    <w:rsid w:val="2BDD2D89"/>
    <w:rsid w:val="2BDF6A02"/>
    <w:rsid w:val="311C21CB"/>
    <w:rsid w:val="38E05844"/>
    <w:rsid w:val="3A89420B"/>
    <w:rsid w:val="3C504727"/>
    <w:rsid w:val="3E051695"/>
    <w:rsid w:val="487369AB"/>
    <w:rsid w:val="532F3114"/>
    <w:rsid w:val="5ED10B51"/>
    <w:rsid w:val="627B6844"/>
    <w:rsid w:val="6F363A14"/>
    <w:rsid w:val="7715608F"/>
    <w:rsid w:val="77807954"/>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1243</Words>
  <Characters>1315</Characters>
  <Lines>7</Lines>
  <Paragraphs>2</Paragraphs>
  <TotalTime>2</TotalTime>
  <ScaleCrop>false</ScaleCrop>
  <LinksUpToDate>false</LinksUpToDate>
  <CharactersWithSpaces>1498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 寿ω寿༻</cp:lastModifiedBy>
  <cp:lastPrinted>2025-02-04T09:02:00Z</cp:lastPrinted>
  <dcterms:modified xsi:type="dcterms:W3CDTF">2025-09-17T09:35:26Z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89EBA407D5EF41BDAA5D4181A5D797E6_12</vt:lpwstr>
  </property>
  <property fmtid="{D5CDD505-2E9C-101B-9397-08002B2CF9AE}" pid="4" name="KSOTemplateDocerSaveRecord">
    <vt:lpwstr>eyJoZGlkIjoiM2I2MmU1MWI4MDY3MDA0MDVlMzhiNTFmM2M0OTZkMmQiLCJ1c2VySWQiOiIxNDMxODU2NDMwIn0=</vt:lpwstr>
  </property>
</Properties>
</file>