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1E41A">
      <w:pPr>
        <w:spacing w:line="480" w:lineRule="auto"/>
        <w:rPr>
          <w:rFonts w:hint="eastAsia" w:ascii="黑体" w:hAnsi="黑体" w:eastAsia="黑体"/>
          <w:b/>
          <w:sz w:val="44"/>
          <w:szCs w:val="44"/>
        </w:rPr>
      </w:pPr>
    </w:p>
    <w:p w14:paraId="4CF4AF96">
      <w:pPr>
        <w:spacing w:line="480" w:lineRule="auto"/>
        <w:jc w:val="center"/>
        <w:rPr>
          <w:rFonts w:hint="eastAsia" w:ascii="黑体" w:hAnsi="黑体" w:eastAsia="黑体"/>
          <w:b/>
          <w:sz w:val="44"/>
          <w:szCs w:val="44"/>
          <w:lang w:val="en-US" w:eastAsia="zh-CN"/>
        </w:rPr>
      </w:pPr>
      <w:r>
        <w:rPr>
          <w:rFonts w:hint="eastAsia" w:ascii="黑体" w:hAnsi="黑体" w:eastAsia="黑体"/>
          <w:b/>
          <w:sz w:val="44"/>
          <w:szCs w:val="44"/>
        </w:rPr>
        <w:t>仓储物流服务合同</w:t>
      </w:r>
    </w:p>
    <w:p w14:paraId="3086C0A7">
      <w:pPr>
        <w:spacing w:line="480" w:lineRule="exact"/>
        <w:jc w:val="center"/>
        <w:rPr>
          <w:rFonts w:ascii="仿宋" w:hAnsi="仿宋" w:eastAsia="仿宋"/>
          <w:b/>
          <w:sz w:val="24"/>
          <w:szCs w:val="24"/>
        </w:rPr>
      </w:pPr>
      <w:r>
        <w:rPr>
          <w:rFonts w:hint="eastAsia" w:ascii="仿宋" w:hAnsi="仿宋" w:eastAsia="仿宋"/>
          <w:b/>
          <w:sz w:val="30"/>
          <w:szCs w:val="30"/>
        </w:rPr>
        <w:t xml:space="preserve">        </w:t>
      </w:r>
      <w:r>
        <w:rPr>
          <w:rFonts w:hint="eastAsia" w:ascii="仿宋" w:hAnsi="仿宋" w:eastAsia="仿宋"/>
          <w:b/>
          <w:sz w:val="24"/>
          <w:szCs w:val="24"/>
        </w:rPr>
        <w:t xml:space="preserve"> </w:t>
      </w:r>
      <w:r>
        <w:rPr>
          <w:rFonts w:hint="eastAsia" w:ascii="仿宋" w:hAnsi="仿宋" w:eastAsia="仿宋"/>
          <w:b/>
          <w:sz w:val="24"/>
          <w:szCs w:val="24"/>
          <w:lang w:val="en-US" w:eastAsia="zh-CN"/>
        </w:rPr>
        <w:t xml:space="preserve">  </w:t>
      </w:r>
      <w:r>
        <w:rPr>
          <w:rFonts w:hint="eastAsia" w:ascii="仿宋" w:hAnsi="仿宋" w:eastAsia="仿宋"/>
          <w:b/>
          <w:sz w:val="24"/>
          <w:szCs w:val="24"/>
        </w:rPr>
        <w:t>合同编号：</w:t>
      </w:r>
    </w:p>
    <w:p w14:paraId="1264517E">
      <w:pPr>
        <w:spacing w:line="480" w:lineRule="exact"/>
        <w:ind w:left="4836" w:leftChars="342" w:hanging="4118" w:hangingChars="1709"/>
        <w:jc w:val="left"/>
        <w:rPr>
          <w:rFonts w:ascii="仿宋" w:hAnsi="仿宋" w:eastAsia="仿宋"/>
          <w:sz w:val="28"/>
          <w:szCs w:val="28"/>
          <w:highlight w:val="none"/>
        </w:rPr>
      </w:pPr>
      <w:r>
        <w:rPr>
          <w:rFonts w:hint="eastAsia" w:ascii="仿宋" w:hAnsi="仿宋" w:eastAsia="仿宋"/>
          <w:b/>
          <w:sz w:val="24"/>
          <w:szCs w:val="24"/>
        </w:rPr>
        <w:t xml:space="preserve">                                 </w:t>
      </w:r>
      <w:r>
        <w:rPr>
          <w:rFonts w:hint="eastAsia" w:ascii="仿宋" w:hAnsi="仿宋" w:eastAsia="仿宋"/>
          <w:b/>
          <w:sz w:val="24"/>
          <w:szCs w:val="24"/>
          <w:lang w:val="en-US" w:eastAsia="zh-CN"/>
        </w:rPr>
        <w:t xml:space="preserve"> </w:t>
      </w:r>
      <w:r>
        <w:rPr>
          <w:rFonts w:hint="eastAsia" w:ascii="仿宋" w:hAnsi="仿宋" w:eastAsia="仿宋"/>
          <w:b/>
          <w:sz w:val="24"/>
          <w:szCs w:val="24"/>
          <w:highlight w:val="none"/>
        </w:rPr>
        <w:t>合同签订日期：</w:t>
      </w:r>
      <w:r>
        <w:rPr>
          <w:rFonts w:hint="eastAsia" w:ascii="仿宋" w:hAnsi="仿宋" w:eastAsia="仿宋"/>
          <w:b/>
          <w:sz w:val="24"/>
          <w:szCs w:val="24"/>
          <w:highlight w:val="none"/>
          <w:lang w:val="en-US" w:eastAsia="zh-CN"/>
        </w:rPr>
        <w:t>2025</w:t>
      </w:r>
      <w:r>
        <w:rPr>
          <w:rFonts w:hint="eastAsia" w:ascii="仿宋" w:hAnsi="仿宋" w:eastAsia="仿宋"/>
          <w:b/>
          <w:sz w:val="24"/>
          <w:szCs w:val="24"/>
          <w:highlight w:val="none"/>
        </w:rPr>
        <w:t>年</w:t>
      </w:r>
      <w:r>
        <w:rPr>
          <w:rFonts w:hint="eastAsia" w:ascii="仿宋" w:hAnsi="仿宋" w:eastAsia="仿宋"/>
          <w:b/>
          <w:sz w:val="24"/>
          <w:szCs w:val="24"/>
          <w:highlight w:val="none"/>
          <w:lang w:val="en-US" w:eastAsia="zh-CN"/>
        </w:rPr>
        <w:t>9</w:t>
      </w:r>
      <w:r>
        <w:rPr>
          <w:rFonts w:hint="eastAsia" w:ascii="仿宋" w:hAnsi="仿宋" w:eastAsia="仿宋"/>
          <w:b/>
          <w:sz w:val="24"/>
          <w:szCs w:val="24"/>
          <w:highlight w:val="none"/>
        </w:rPr>
        <w:t>月</w:t>
      </w:r>
      <w:r>
        <w:rPr>
          <w:rFonts w:hint="eastAsia" w:ascii="仿宋" w:hAnsi="仿宋" w:eastAsia="仿宋"/>
          <w:b/>
          <w:sz w:val="24"/>
          <w:szCs w:val="24"/>
          <w:highlight w:val="none"/>
          <w:lang w:val="en-US" w:eastAsia="zh-CN"/>
        </w:rPr>
        <w:t xml:space="preserve">17 </w:t>
      </w:r>
      <w:r>
        <w:rPr>
          <w:rFonts w:hint="eastAsia" w:ascii="仿宋" w:hAnsi="仿宋" w:eastAsia="仿宋"/>
          <w:b/>
          <w:sz w:val="24"/>
          <w:szCs w:val="24"/>
          <w:highlight w:val="none"/>
        </w:rPr>
        <w:t>日                                   合同签订地点：徐州</w:t>
      </w:r>
      <w:r>
        <w:rPr>
          <w:rFonts w:hint="eastAsia" w:ascii="仿宋" w:hAnsi="仿宋" w:eastAsia="仿宋"/>
          <w:b/>
          <w:color w:val="000000" w:themeColor="text1"/>
          <w:sz w:val="24"/>
          <w:szCs w:val="24"/>
          <w:highlight w:val="none"/>
          <w14:textFill>
            <w14:solidFill>
              <w14:schemeClr w14:val="tx1"/>
            </w14:solidFill>
          </w14:textFill>
        </w:rPr>
        <w:t>市</w:t>
      </w:r>
      <w:r>
        <w:rPr>
          <w:rFonts w:hint="eastAsia" w:ascii="仿宋" w:hAnsi="仿宋" w:eastAsia="仿宋"/>
          <w:b/>
          <w:color w:val="000000" w:themeColor="text1"/>
          <w:sz w:val="24"/>
          <w:szCs w:val="24"/>
          <w:highlight w:val="none"/>
          <w:lang w:val="en-US" w:eastAsia="zh-CN"/>
          <w14:textFill>
            <w14:solidFill>
              <w14:schemeClr w14:val="tx1"/>
            </w14:solidFill>
          </w14:textFill>
        </w:rPr>
        <w:t>经济技术开发区</w:t>
      </w:r>
    </w:p>
    <w:p w14:paraId="203CE3C2">
      <w:pPr>
        <w:spacing w:line="410" w:lineRule="exact"/>
        <w:jc w:val="left"/>
        <w:rPr>
          <w:rFonts w:ascii="仿宋" w:hAnsi="仿宋" w:eastAsia="仿宋"/>
          <w:sz w:val="28"/>
          <w:szCs w:val="28"/>
          <w:highlight w:val="none"/>
        </w:rPr>
      </w:pPr>
      <w:r>
        <w:rPr>
          <w:rFonts w:hint="eastAsia" w:ascii="仿宋" w:hAnsi="仿宋" w:eastAsia="仿宋"/>
          <w:sz w:val="28"/>
          <w:szCs w:val="28"/>
          <w:highlight w:val="none"/>
        </w:rPr>
        <w:t>甲方：</w:t>
      </w:r>
      <w:r>
        <w:rPr>
          <w:rFonts w:hint="eastAsia" w:ascii="仿宋" w:hAnsi="仿宋" w:eastAsia="仿宋"/>
          <w:sz w:val="28"/>
          <w:szCs w:val="28"/>
          <w:highlight w:val="none"/>
          <w:u w:val="single"/>
          <w:lang w:val="en-US" w:eastAsia="zh-CN"/>
        </w:rPr>
        <w:t xml:space="preserve">北京光华荣昌汽车部件有限公司 </w:t>
      </w:r>
      <w:r>
        <w:rPr>
          <w:rFonts w:hint="eastAsia" w:ascii="仿宋" w:hAnsi="仿宋" w:eastAsia="仿宋"/>
          <w:sz w:val="28"/>
          <w:szCs w:val="28"/>
          <w:highlight w:val="none"/>
        </w:rPr>
        <w:t>（委托方）</w:t>
      </w:r>
    </w:p>
    <w:p w14:paraId="58AC2183">
      <w:pPr>
        <w:spacing w:line="410" w:lineRule="exact"/>
        <w:rPr>
          <w:rFonts w:ascii="仿宋" w:hAnsi="仿宋" w:eastAsia="仿宋"/>
          <w:sz w:val="28"/>
          <w:szCs w:val="28"/>
          <w:highlight w:val="none"/>
        </w:rPr>
      </w:pPr>
      <w:r>
        <w:rPr>
          <w:rFonts w:hint="eastAsia" w:ascii="仿宋" w:hAnsi="仿宋" w:eastAsia="仿宋"/>
          <w:sz w:val="28"/>
          <w:szCs w:val="28"/>
          <w:highlight w:val="none"/>
        </w:rPr>
        <w:t>乙方：</w:t>
      </w:r>
      <w:r>
        <w:rPr>
          <w:rFonts w:hint="eastAsia" w:ascii="仿宋" w:hAnsi="仿宋" w:eastAsia="仿宋" w:cs="仿宋"/>
          <w:sz w:val="28"/>
          <w:szCs w:val="28"/>
          <w:u w:val="single"/>
        </w:rPr>
        <w:t>中物流（徐州）物流有限公司</w:t>
      </w:r>
      <w:r>
        <w:rPr>
          <w:rFonts w:hint="eastAsia" w:ascii="仿宋" w:hAnsi="仿宋" w:eastAsia="仿宋"/>
          <w:sz w:val="28"/>
          <w:szCs w:val="28"/>
          <w:highlight w:val="none"/>
        </w:rPr>
        <w:t>（物流服务方）</w:t>
      </w:r>
    </w:p>
    <w:p w14:paraId="2487B1C3">
      <w:pPr>
        <w:spacing w:line="410" w:lineRule="exact"/>
        <w:rPr>
          <w:rFonts w:ascii="仿宋" w:hAnsi="仿宋" w:eastAsia="仿宋"/>
          <w:sz w:val="28"/>
          <w:szCs w:val="28"/>
          <w:highlight w:val="none"/>
        </w:rPr>
      </w:pPr>
    </w:p>
    <w:p w14:paraId="3D81BDC5">
      <w:pPr>
        <w:spacing w:line="410" w:lineRule="exact"/>
        <w:rPr>
          <w:rFonts w:ascii="黑体" w:hAnsi="黑体" w:eastAsia="黑体"/>
          <w:sz w:val="28"/>
          <w:szCs w:val="28"/>
          <w:highlight w:val="none"/>
        </w:rPr>
      </w:pPr>
      <w:r>
        <w:rPr>
          <w:rFonts w:hint="eastAsia" w:ascii="黑体" w:hAnsi="黑体" w:eastAsia="黑体"/>
          <w:sz w:val="28"/>
          <w:szCs w:val="28"/>
          <w:highlight w:val="none"/>
        </w:rPr>
        <w:t>序言：</w:t>
      </w:r>
    </w:p>
    <w:p w14:paraId="3EDC12CC">
      <w:pPr>
        <w:spacing w:line="41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甲、乙双方本着自愿、平等、互惠的精神，通过友好协商，</w:t>
      </w:r>
      <w:r>
        <w:rPr>
          <w:rFonts w:hint="eastAsia" w:ascii="仿宋" w:hAnsi="仿宋" w:eastAsia="仿宋" w:cs="仿宋"/>
          <w:sz w:val="28"/>
          <w:szCs w:val="28"/>
          <w:highlight w:val="none"/>
        </w:rPr>
        <w:t>甲方指定乙方为其服务方，为</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rPr>
        <w:t>提供仓储物流服务，</w:t>
      </w:r>
      <w:r>
        <w:rPr>
          <w:rFonts w:hint="eastAsia" w:ascii="仿宋" w:hAnsi="仿宋" w:eastAsia="仿宋"/>
          <w:sz w:val="28"/>
          <w:szCs w:val="28"/>
          <w:highlight w:val="none"/>
        </w:rPr>
        <w:t>双方就</w:t>
      </w:r>
      <w:r>
        <w:rPr>
          <w:rFonts w:hint="eastAsia" w:ascii="仿宋" w:hAnsi="仿宋" w:eastAsia="仿宋"/>
          <w:sz w:val="28"/>
          <w:szCs w:val="28"/>
          <w:highlight w:val="none"/>
          <w:lang w:val="en-US" w:eastAsia="zh-CN"/>
        </w:rPr>
        <w:t>此</w:t>
      </w:r>
      <w:r>
        <w:rPr>
          <w:rFonts w:hint="eastAsia" w:ascii="仿宋" w:hAnsi="仿宋" w:eastAsia="仿宋"/>
          <w:sz w:val="28"/>
          <w:szCs w:val="28"/>
          <w:highlight w:val="none"/>
        </w:rPr>
        <w:t>达成如下协议：</w:t>
      </w:r>
    </w:p>
    <w:p w14:paraId="54880405">
      <w:pPr>
        <w:spacing w:line="410" w:lineRule="exact"/>
        <w:rPr>
          <w:rFonts w:ascii="仿宋" w:hAnsi="仿宋" w:eastAsia="仿宋"/>
          <w:sz w:val="28"/>
          <w:szCs w:val="28"/>
          <w:highlight w:val="none"/>
        </w:rPr>
      </w:pPr>
    </w:p>
    <w:p w14:paraId="0C2EE5D8">
      <w:pPr>
        <w:spacing w:line="410" w:lineRule="exact"/>
        <w:rPr>
          <w:rFonts w:ascii="黑体" w:hAnsi="黑体" w:eastAsia="黑体"/>
          <w:sz w:val="28"/>
          <w:szCs w:val="28"/>
          <w:highlight w:val="none"/>
        </w:rPr>
      </w:pPr>
      <w:r>
        <w:rPr>
          <w:rFonts w:hint="eastAsia" w:ascii="黑体" w:hAnsi="黑体" w:eastAsia="黑体"/>
          <w:sz w:val="28"/>
          <w:szCs w:val="28"/>
          <w:highlight w:val="none"/>
        </w:rPr>
        <w:t>合同条款：</w:t>
      </w:r>
    </w:p>
    <w:p w14:paraId="3F7C6AA7">
      <w:pPr>
        <w:spacing w:line="410" w:lineRule="exact"/>
        <w:ind w:firstLine="562" w:firstLineChars="200"/>
        <w:rPr>
          <w:rFonts w:ascii="仿宋" w:hAnsi="仿宋" w:eastAsia="仿宋"/>
          <w:b/>
          <w:color w:val="auto"/>
          <w:sz w:val="28"/>
          <w:szCs w:val="28"/>
          <w:highlight w:val="none"/>
        </w:rPr>
      </w:pPr>
      <w:r>
        <w:rPr>
          <w:rFonts w:ascii="仿宋" w:hAnsi="仿宋" w:eastAsia="仿宋"/>
          <w:b/>
          <w:color w:val="auto"/>
          <w:sz w:val="28"/>
          <w:szCs w:val="28"/>
          <w:highlight w:val="none"/>
        </w:rPr>
        <w:t>1</w:t>
      </w:r>
      <w:r>
        <w:rPr>
          <w:rFonts w:hint="eastAsia" w:ascii="仿宋" w:hAnsi="仿宋" w:eastAsia="仿宋"/>
          <w:b/>
          <w:color w:val="auto"/>
          <w:sz w:val="28"/>
          <w:szCs w:val="28"/>
          <w:highlight w:val="none"/>
        </w:rPr>
        <w:t>、合同期限</w:t>
      </w:r>
    </w:p>
    <w:p w14:paraId="41846C60">
      <w:pPr>
        <w:spacing w:line="400" w:lineRule="exact"/>
        <w:ind w:firstLine="560" w:firstLineChars="200"/>
        <w:rPr>
          <w:rFonts w:ascii="仿宋" w:hAnsi="仿宋" w:eastAsia="仿宋" w:cs="仿宋"/>
          <w:color w:val="auto"/>
          <w:sz w:val="28"/>
          <w:szCs w:val="28"/>
          <w:highlight w:val="none"/>
        </w:rPr>
      </w:pPr>
      <w:r>
        <w:rPr>
          <w:rFonts w:hint="eastAsia" w:ascii="仿宋" w:hAnsi="仿宋" w:eastAsia="仿宋"/>
          <w:color w:val="auto"/>
          <w:sz w:val="28"/>
          <w:szCs w:val="28"/>
          <w:highlight w:val="none"/>
        </w:rPr>
        <w:t>本合同自签订之日起生效，</w:t>
      </w:r>
      <w:r>
        <w:rPr>
          <w:rFonts w:hint="eastAsia" w:ascii="仿宋" w:hAnsi="仿宋" w:eastAsia="仿宋"/>
          <w:sz w:val="28"/>
          <w:szCs w:val="28"/>
          <w:highlight w:val="none"/>
        </w:rPr>
        <w:t>履行期限自</w:t>
      </w:r>
      <w:r>
        <w:rPr>
          <w:rFonts w:hint="eastAsia" w:ascii="仿宋" w:hAnsi="仿宋" w:eastAsia="仿宋"/>
          <w:sz w:val="28"/>
          <w:szCs w:val="28"/>
          <w:highlight w:val="none"/>
          <w:u w:val="single"/>
          <w:lang w:val="en-US" w:eastAsia="zh-CN"/>
        </w:rPr>
        <w:t xml:space="preserve"> 2025 </w:t>
      </w:r>
      <w:r>
        <w:rPr>
          <w:rFonts w:hint="eastAsia" w:ascii="仿宋" w:hAnsi="仿宋" w:eastAsia="仿宋"/>
          <w:sz w:val="28"/>
          <w:szCs w:val="28"/>
          <w:highlight w:val="none"/>
        </w:rPr>
        <w:t>年</w:t>
      </w:r>
      <w:r>
        <w:rPr>
          <w:rFonts w:hint="eastAsia" w:ascii="仿宋" w:hAnsi="仿宋" w:eastAsia="仿宋"/>
          <w:sz w:val="28"/>
          <w:szCs w:val="28"/>
          <w:highlight w:val="none"/>
          <w:u w:val="single"/>
          <w:lang w:val="en-US" w:eastAsia="zh-CN"/>
        </w:rPr>
        <w:t xml:space="preserve"> 9 </w:t>
      </w:r>
      <w:r>
        <w:rPr>
          <w:rFonts w:hint="eastAsia" w:ascii="仿宋" w:hAnsi="仿宋" w:eastAsia="仿宋"/>
          <w:sz w:val="28"/>
          <w:szCs w:val="28"/>
          <w:highlight w:val="none"/>
        </w:rPr>
        <w:t>月</w:t>
      </w:r>
      <w:r>
        <w:rPr>
          <w:rFonts w:hint="eastAsia" w:ascii="仿宋" w:hAnsi="仿宋" w:eastAsia="仿宋"/>
          <w:sz w:val="28"/>
          <w:szCs w:val="28"/>
          <w:highlight w:val="none"/>
          <w:u w:val="single"/>
          <w:lang w:val="en-US" w:eastAsia="zh-CN"/>
        </w:rPr>
        <w:t xml:space="preserve"> 17 </w:t>
      </w:r>
      <w:r>
        <w:rPr>
          <w:rFonts w:hint="eastAsia" w:ascii="仿宋" w:hAnsi="仿宋" w:eastAsia="仿宋"/>
          <w:sz w:val="28"/>
          <w:szCs w:val="28"/>
          <w:highlight w:val="none"/>
        </w:rPr>
        <w:t>日至</w:t>
      </w:r>
      <w:r>
        <w:rPr>
          <w:rFonts w:hint="eastAsia" w:ascii="仿宋" w:hAnsi="仿宋" w:eastAsia="仿宋"/>
          <w:sz w:val="28"/>
          <w:szCs w:val="28"/>
          <w:highlight w:val="none"/>
          <w:u w:val="single"/>
          <w:lang w:val="en-US" w:eastAsia="zh-CN"/>
        </w:rPr>
        <w:t xml:space="preserve">  2025</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年</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12</w:t>
      </w:r>
      <w:r>
        <w:rPr>
          <w:rFonts w:hint="eastAsia" w:ascii="仿宋" w:hAnsi="仿宋" w:eastAsia="仿宋"/>
          <w:sz w:val="28"/>
          <w:szCs w:val="28"/>
          <w:highlight w:val="none"/>
        </w:rPr>
        <w:t>月</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31</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日。</w:t>
      </w:r>
      <w:r>
        <w:rPr>
          <w:rFonts w:hint="eastAsia" w:ascii="仿宋" w:hAnsi="仿宋" w:eastAsia="仿宋" w:cs="仿宋"/>
          <w:color w:val="auto"/>
          <w:sz w:val="28"/>
          <w:szCs w:val="28"/>
          <w:highlight w:val="none"/>
        </w:rPr>
        <w:t xml:space="preserve">如本合同签署时间晚于履行期限的初始时间，本合同签署前已履行的业务按照本合同执行。    </w:t>
      </w:r>
    </w:p>
    <w:p w14:paraId="41711E0E">
      <w:pPr>
        <w:spacing w:line="410" w:lineRule="exact"/>
        <w:ind w:firstLine="560" w:firstLineChars="200"/>
        <w:rPr>
          <w:rFonts w:ascii="仿宋" w:hAnsi="仿宋" w:eastAsia="仿宋"/>
          <w:color w:val="auto"/>
          <w:sz w:val="28"/>
          <w:szCs w:val="28"/>
          <w:highlight w:val="none"/>
        </w:rPr>
      </w:pPr>
    </w:p>
    <w:p w14:paraId="07FFED56">
      <w:pPr>
        <w:spacing w:line="410" w:lineRule="exact"/>
        <w:ind w:firstLine="562" w:firstLineChars="200"/>
        <w:rPr>
          <w:rFonts w:ascii="仿宋" w:hAnsi="仿宋" w:eastAsia="仿宋"/>
          <w:b/>
          <w:color w:val="auto"/>
          <w:sz w:val="28"/>
          <w:szCs w:val="28"/>
          <w:highlight w:val="none"/>
        </w:rPr>
      </w:pPr>
      <w:r>
        <w:rPr>
          <w:rFonts w:ascii="仿宋" w:hAnsi="仿宋" w:eastAsia="仿宋"/>
          <w:b/>
          <w:color w:val="auto"/>
          <w:sz w:val="28"/>
          <w:szCs w:val="28"/>
          <w:highlight w:val="none"/>
        </w:rPr>
        <w:t>2</w:t>
      </w:r>
      <w:r>
        <w:rPr>
          <w:rFonts w:hint="eastAsia" w:ascii="仿宋" w:hAnsi="仿宋" w:eastAsia="仿宋"/>
          <w:b/>
          <w:color w:val="auto"/>
          <w:sz w:val="28"/>
          <w:szCs w:val="28"/>
          <w:highlight w:val="none"/>
        </w:rPr>
        <w:t>、服务范围</w:t>
      </w:r>
    </w:p>
    <w:p w14:paraId="1FC464F3">
      <w:pPr>
        <w:spacing w:line="410" w:lineRule="exact"/>
        <w:ind w:firstLine="562" w:firstLineChars="200"/>
        <w:rPr>
          <w:rFonts w:ascii="仿宋" w:hAnsi="仿宋" w:eastAsia="仿宋"/>
          <w:b/>
          <w:color w:val="auto"/>
          <w:sz w:val="28"/>
          <w:szCs w:val="28"/>
          <w:highlight w:val="none"/>
          <w:u w:val="single"/>
        </w:rPr>
      </w:pPr>
      <w:r>
        <w:rPr>
          <w:rFonts w:hint="eastAsia" w:ascii="仿宋" w:hAnsi="仿宋" w:eastAsia="仿宋"/>
          <w:b/>
          <w:color w:val="auto"/>
          <w:sz w:val="28"/>
          <w:szCs w:val="28"/>
          <w:highlight w:val="none"/>
        </w:rPr>
        <w:t xml:space="preserve">甲方委托乙方的服务范围为以下中的 </w:t>
      </w:r>
      <w:r>
        <w:rPr>
          <w:rFonts w:ascii="仿宋" w:hAnsi="仿宋" w:eastAsia="仿宋"/>
          <w:color w:val="auto"/>
          <w:sz w:val="28"/>
          <w:szCs w:val="28"/>
          <w:highlight w:val="none"/>
          <w:u w:val="single"/>
        </w:rPr>
        <w:t>2.</w:t>
      </w:r>
      <w:r>
        <w:rPr>
          <w:rFonts w:hint="eastAsia" w:ascii="仿宋" w:hAnsi="仿宋" w:eastAsia="仿宋"/>
          <w:color w:val="auto"/>
          <w:sz w:val="28"/>
          <w:szCs w:val="28"/>
          <w:highlight w:val="none"/>
          <w:u w:val="single"/>
        </w:rPr>
        <w:t>1</w:t>
      </w:r>
      <w:r>
        <w:rPr>
          <w:rFonts w:hint="eastAsia" w:ascii="仿宋" w:hAnsi="仿宋" w:eastAsia="仿宋"/>
          <w:color w:val="auto"/>
          <w:sz w:val="28"/>
          <w:szCs w:val="28"/>
          <w:highlight w:val="none"/>
          <w:u w:val="single"/>
          <w:lang w:val="en-US" w:eastAsia="zh-CN"/>
        </w:rPr>
        <w:t>-</w:t>
      </w:r>
      <w:r>
        <w:rPr>
          <w:rFonts w:hint="eastAsia" w:ascii="仿宋" w:hAnsi="仿宋" w:eastAsia="仿宋"/>
          <w:b/>
          <w:color w:val="auto"/>
          <w:sz w:val="28"/>
          <w:szCs w:val="28"/>
          <w:highlight w:val="none"/>
          <w:u w:val="single"/>
        </w:rPr>
        <w:t xml:space="preserve"> </w:t>
      </w:r>
      <w:r>
        <w:rPr>
          <w:rFonts w:ascii="仿宋" w:hAnsi="仿宋" w:eastAsia="仿宋"/>
          <w:color w:val="auto"/>
          <w:sz w:val="28"/>
          <w:szCs w:val="28"/>
          <w:highlight w:val="none"/>
          <w:u w:val="single"/>
        </w:rPr>
        <w:t>2.</w:t>
      </w:r>
      <w:r>
        <w:rPr>
          <w:rFonts w:hint="eastAsia" w:ascii="仿宋" w:hAnsi="仿宋" w:eastAsia="仿宋"/>
          <w:color w:val="auto"/>
          <w:sz w:val="28"/>
          <w:szCs w:val="28"/>
          <w:highlight w:val="none"/>
          <w:u w:val="single"/>
        </w:rPr>
        <w:t>4</w:t>
      </w:r>
      <w:r>
        <w:rPr>
          <w:rFonts w:hint="eastAsia" w:ascii="仿宋" w:hAnsi="仿宋" w:eastAsia="仿宋"/>
          <w:b/>
          <w:color w:val="auto"/>
          <w:sz w:val="28"/>
          <w:szCs w:val="28"/>
          <w:highlight w:val="none"/>
          <w:u w:val="single"/>
          <w:lang w:val="en-US" w:eastAsia="zh-CN"/>
        </w:rPr>
        <w:t xml:space="preserve"> </w:t>
      </w:r>
    </w:p>
    <w:p w14:paraId="57DEF634">
      <w:pPr>
        <w:spacing w:line="41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1仓储服务（物料为被列入《危险化学品目录》《特别管控危险化学品目录》的除外）。</w:t>
      </w:r>
    </w:p>
    <w:p w14:paraId="480C0CF7">
      <w:pPr>
        <w:spacing w:line="41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2.2配送服务</w:t>
      </w:r>
    </w:p>
    <w:p w14:paraId="7D495A99">
      <w:pPr>
        <w:spacing w:line="41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2.3</w:t>
      </w:r>
      <w:r>
        <w:rPr>
          <w:rFonts w:hint="eastAsia" w:ascii="仿宋" w:hAnsi="仿宋" w:eastAsia="仿宋"/>
          <w:color w:val="auto"/>
          <w:sz w:val="28"/>
          <w:szCs w:val="28"/>
          <w:highlight w:val="none"/>
          <w:lang w:val="en-US" w:eastAsia="zh-CN"/>
        </w:rPr>
        <w:t>增值</w:t>
      </w:r>
      <w:r>
        <w:rPr>
          <w:rFonts w:hint="eastAsia" w:ascii="仿宋" w:hAnsi="仿宋" w:eastAsia="仿宋"/>
          <w:color w:val="auto"/>
          <w:sz w:val="28"/>
          <w:szCs w:val="28"/>
          <w:highlight w:val="none"/>
        </w:rPr>
        <w:t>服务</w:t>
      </w:r>
    </w:p>
    <w:p w14:paraId="5A1C16EF">
      <w:pPr>
        <w:spacing w:line="410" w:lineRule="exact"/>
        <w:ind w:firstLine="560" w:firstLineChars="200"/>
        <w:rPr>
          <w:rFonts w:ascii="仿宋" w:hAnsi="仿宋" w:eastAsia="仿宋" w:cs="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4</w:t>
      </w:r>
      <w:r>
        <w:rPr>
          <w:rFonts w:hint="eastAsia" w:ascii="仿宋" w:hAnsi="仿宋" w:eastAsia="仿宋" w:cs="仿宋"/>
          <w:color w:val="auto"/>
          <w:spacing w:val="-1"/>
          <w:sz w:val="28"/>
          <w:szCs w:val="28"/>
          <w:highlight w:val="none"/>
        </w:rPr>
        <w:t>超出上述服务范围的以签订</w:t>
      </w:r>
      <w:r>
        <w:rPr>
          <w:rFonts w:hint="eastAsia" w:ascii="仿宋" w:hAnsi="仿宋" w:eastAsia="仿宋" w:cs="仿宋"/>
          <w:color w:val="auto"/>
          <w:spacing w:val="-1"/>
          <w:sz w:val="28"/>
          <w:szCs w:val="28"/>
          <w:highlight w:val="none"/>
          <w:lang w:val="en-US" w:eastAsia="zh-CN"/>
        </w:rPr>
        <w:t>的</w:t>
      </w:r>
      <w:r>
        <w:rPr>
          <w:rFonts w:hint="eastAsia" w:ascii="仿宋" w:hAnsi="仿宋" w:eastAsia="仿宋" w:cs="仿宋"/>
          <w:color w:val="auto"/>
          <w:spacing w:val="-1"/>
          <w:sz w:val="28"/>
          <w:szCs w:val="28"/>
          <w:highlight w:val="none"/>
        </w:rPr>
        <w:t>补充协议为准</w:t>
      </w:r>
    </w:p>
    <w:p w14:paraId="14001C48">
      <w:pPr>
        <w:spacing w:line="410" w:lineRule="exact"/>
        <w:ind w:firstLine="562" w:firstLineChars="200"/>
        <w:rPr>
          <w:rFonts w:ascii="仿宋" w:hAnsi="仿宋" w:eastAsia="仿宋"/>
          <w:b/>
          <w:color w:val="auto"/>
          <w:sz w:val="28"/>
          <w:szCs w:val="28"/>
          <w:highlight w:val="none"/>
        </w:rPr>
      </w:pPr>
    </w:p>
    <w:p w14:paraId="5F8F4AE3">
      <w:pPr>
        <w:spacing w:line="410" w:lineRule="exact"/>
        <w:ind w:firstLine="562" w:firstLineChars="200"/>
        <w:rPr>
          <w:rFonts w:ascii="仿宋" w:hAnsi="仿宋" w:eastAsia="仿宋"/>
          <w:b/>
          <w:color w:val="auto"/>
          <w:sz w:val="28"/>
          <w:szCs w:val="28"/>
          <w:highlight w:val="none"/>
        </w:rPr>
      </w:pPr>
      <w:r>
        <w:rPr>
          <w:rFonts w:ascii="仿宋" w:hAnsi="仿宋" w:eastAsia="仿宋"/>
          <w:b/>
          <w:color w:val="auto"/>
          <w:sz w:val="28"/>
          <w:szCs w:val="28"/>
          <w:highlight w:val="none"/>
        </w:rPr>
        <w:t>3</w:t>
      </w:r>
      <w:r>
        <w:rPr>
          <w:rFonts w:hint="eastAsia" w:ascii="仿宋" w:hAnsi="仿宋" w:eastAsia="仿宋"/>
          <w:b/>
          <w:color w:val="auto"/>
          <w:sz w:val="28"/>
          <w:szCs w:val="28"/>
          <w:highlight w:val="none"/>
        </w:rPr>
        <w:t>、服务价格及服务时间</w:t>
      </w:r>
    </w:p>
    <w:p w14:paraId="3148793A">
      <w:pPr>
        <w:spacing w:line="410" w:lineRule="exact"/>
        <w:ind w:firstLine="560" w:firstLineChars="2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3.1甲乙双方协商一致按照附件一的标准</w:t>
      </w:r>
      <w:r>
        <w:rPr>
          <w:rFonts w:hint="eastAsia" w:ascii="仿宋" w:hAnsi="仿宋" w:eastAsia="仿宋"/>
          <w:color w:val="auto"/>
          <w:sz w:val="28"/>
          <w:szCs w:val="28"/>
          <w:highlight w:val="none"/>
          <w:lang w:val="en-US" w:eastAsia="zh-CN"/>
        </w:rPr>
        <w:t>确定乙方</w:t>
      </w:r>
      <w:r>
        <w:rPr>
          <w:rFonts w:hint="eastAsia" w:ascii="仿宋" w:hAnsi="仿宋" w:eastAsia="仿宋"/>
          <w:color w:val="auto"/>
          <w:sz w:val="28"/>
          <w:szCs w:val="28"/>
          <w:highlight w:val="none"/>
        </w:rPr>
        <w:t>服务</w:t>
      </w:r>
      <w:r>
        <w:rPr>
          <w:rFonts w:hint="eastAsia" w:ascii="仿宋" w:hAnsi="仿宋" w:eastAsia="仿宋"/>
          <w:color w:val="auto"/>
          <w:sz w:val="28"/>
          <w:szCs w:val="28"/>
          <w:highlight w:val="none"/>
          <w:lang w:val="en-US" w:eastAsia="zh-CN"/>
        </w:rPr>
        <w:t>价格</w:t>
      </w:r>
      <w:r>
        <w:rPr>
          <w:rFonts w:hint="eastAsia" w:ascii="仿宋" w:hAnsi="仿宋" w:eastAsia="仿宋"/>
          <w:color w:val="auto"/>
          <w:sz w:val="28"/>
          <w:szCs w:val="28"/>
          <w:highlight w:val="none"/>
          <w:lang w:eastAsia="zh-CN"/>
        </w:rPr>
        <w:t>。</w:t>
      </w:r>
    </w:p>
    <w:p w14:paraId="607CF2D3">
      <w:pPr>
        <w:pStyle w:val="39"/>
        <w:tabs>
          <w:tab w:val="left" w:pos="1376"/>
        </w:tabs>
        <w:spacing w:line="410" w:lineRule="exact"/>
        <w:ind w:left="0" w:right="0" w:firstLineChars="200"/>
        <w:rPr>
          <w:rFonts w:ascii="仿宋" w:hAnsi="仿宋" w:eastAsia="仿宋" w:cs="仿宋"/>
          <w:color w:val="auto"/>
          <w:sz w:val="28"/>
          <w:szCs w:val="28"/>
          <w:highlight w:val="none"/>
        </w:rPr>
      </w:pPr>
      <w:r>
        <w:rPr>
          <w:rFonts w:hint="eastAsia" w:ascii="仿宋" w:hAnsi="仿宋" w:eastAsia="仿宋"/>
          <w:color w:val="auto"/>
          <w:sz w:val="28"/>
          <w:szCs w:val="28"/>
          <w:highlight w:val="none"/>
        </w:rPr>
        <w:t>3.2乙方服务时间为</w:t>
      </w:r>
      <w:r>
        <w:rPr>
          <w:rFonts w:hint="eastAsia" w:ascii="仿宋" w:hAnsi="仿宋" w:eastAsia="仿宋" w:cs="仿宋"/>
          <w:color w:val="auto"/>
          <w:sz w:val="28"/>
          <w:szCs w:val="28"/>
          <w:highlight w:val="none"/>
        </w:rPr>
        <w:t>每周6天（法定节假日除外），每天8小时，根据冬夏令时不同适当调整。</w:t>
      </w:r>
    </w:p>
    <w:p w14:paraId="17B5821E">
      <w:pPr>
        <w:pStyle w:val="39"/>
        <w:tabs>
          <w:tab w:val="left" w:pos="1376"/>
        </w:tabs>
        <w:spacing w:line="410" w:lineRule="exact"/>
        <w:ind w:left="0" w:right="0" w:firstLineChars="200"/>
        <w:rPr>
          <w:rFonts w:ascii="仿宋" w:hAnsi="仿宋" w:eastAsia="仿宋" w:cs="仿宋"/>
          <w:color w:val="auto"/>
          <w:sz w:val="28"/>
          <w:szCs w:val="28"/>
          <w:highlight w:val="none"/>
        </w:rPr>
      </w:pPr>
    </w:p>
    <w:p w14:paraId="0DB5921E">
      <w:pPr>
        <w:spacing w:line="410" w:lineRule="exact"/>
        <w:ind w:firstLine="562" w:firstLineChars="200"/>
        <w:rPr>
          <w:rFonts w:ascii="仿宋" w:hAnsi="仿宋" w:eastAsia="仿宋"/>
          <w:b/>
          <w:color w:val="auto"/>
          <w:sz w:val="28"/>
          <w:szCs w:val="28"/>
          <w:highlight w:val="none"/>
        </w:rPr>
      </w:pPr>
      <w:r>
        <w:rPr>
          <w:rFonts w:ascii="仿宋" w:hAnsi="仿宋" w:eastAsia="仿宋"/>
          <w:b/>
          <w:color w:val="auto"/>
          <w:sz w:val="28"/>
          <w:szCs w:val="28"/>
          <w:highlight w:val="none"/>
        </w:rPr>
        <w:t>4</w:t>
      </w:r>
      <w:r>
        <w:rPr>
          <w:rFonts w:hint="eastAsia" w:ascii="仿宋" w:hAnsi="仿宋" w:eastAsia="仿宋"/>
          <w:b/>
          <w:color w:val="auto"/>
          <w:sz w:val="28"/>
          <w:szCs w:val="28"/>
          <w:highlight w:val="none"/>
        </w:rPr>
        <w:t>、服务内容</w:t>
      </w:r>
    </w:p>
    <w:p w14:paraId="21D4464F">
      <w:pPr>
        <w:spacing w:line="410" w:lineRule="exact"/>
        <w:ind w:firstLine="562" w:firstLineChars="200"/>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4.1仓储服务 </w:t>
      </w:r>
    </w:p>
    <w:p w14:paraId="7D9A6DC7">
      <w:pPr>
        <w:spacing w:line="410" w:lineRule="exact"/>
        <w:ind w:firstLine="560" w:firstLineChars="200"/>
        <w:rPr>
          <w:rFonts w:hint="default"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lang w:val="en-US" w:eastAsia="zh-CN"/>
        </w:rPr>
        <w:t>乙方为甲方提供存储空间用于甲方物料存放,并对甲方物料进行管理。</w:t>
      </w:r>
    </w:p>
    <w:p w14:paraId="68783AFA">
      <w:pPr>
        <w:spacing w:line="410" w:lineRule="exact"/>
        <w:ind w:left="0" w:leftChars="0"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甲方物料存储</w:t>
      </w:r>
      <w:r>
        <w:rPr>
          <w:rFonts w:hint="eastAsia" w:ascii="仿宋" w:hAnsi="仿宋" w:eastAsia="仿宋"/>
          <w:color w:val="auto"/>
          <w:sz w:val="28"/>
          <w:szCs w:val="28"/>
          <w:highlight w:val="none"/>
        </w:rPr>
        <w:t>计费面积</w:t>
      </w:r>
      <w:r>
        <w:rPr>
          <w:rFonts w:hint="eastAsia" w:ascii="仿宋" w:hAnsi="仿宋" w:eastAsia="仿宋"/>
          <w:color w:val="auto"/>
          <w:sz w:val="28"/>
          <w:szCs w:val="28"/>
          <w:highlight w:val="none"/>
          <w:lang w:val="en-US" w:eastAsia="zh-CN"/>
        </w:rPr>
        <w:t>为：</w:t>
      </w:r>
    </w:p>
    <w:p w14:paraId="328C5650">
      <w:pPr>
        <w:spacing w:line="410" w:lineRule="exact"/>
        <w:ind w:left="279" w:leftChars="133" w:firstLine="280" w:firstLineChars="100"/>
        <w:rPr>
          <w:rFonts w:hint="default" w:ascii="仿宋" w:hAnsi="仿宋" w:eastAsia="仿宋"/>
          <w:color w:val="auto"/>
          <w:sz w:val="28"/>
          <w:szCs w:val="28"/>
          <w:highlight w:val="none"/>
          <w:u w:val="single"/>
          <w:lang w:val="en-US" w:eastAsia="zh-CN"/>
        </w:rPr>
      </w:pPr>
      <w:r>
        <w:rPr>
          <w:rFonts w:ascii="仿宋" w:hAnsi="仿宋" w:eastAsia="仿宋"/>
          <w:color w:val="auto"/>
          <w:sz w:val="28"/>
          <w:szCs w:val="28"/>
          <w:highlight w:val="none"/>
        </w:rPr>
        <w:t>a.</w:t>
      </w:r>
      <w:r>
        <w:rPr>
          <w:rFonts w:hint="eastAsia" w:ascii="仿宋" w:hAnsi="仿宋" w:eastAsia="仿宋"/>
          <w:color w:val="auto"/>
          <w:sz w:val="28"/>
          <w:szCs w:val="28"/>
          <w:highlight w:val="none"/>
        </w:rPr>
        <w:t>室内</w:t>
      </w:r>
      <w:r>
        <w:rPr>
          <w:rFonts w:hint="eastAsia" w:ascii="仿宋" w:hAnsi="仿宋" w:eastAsia="仿宋"/>
          <w:color w:val="auto"/>
          <w:sz w:val="28"/>
          <w:szCs w:val="28"/>
          <w:highlight w:val="none"/>
          <w:lang w:val="en-US" w:eastAsia="zh-CN"/>
        </w:rPr>
        <w:t>存储</w:t>
      </w:r>
    </w:p>
    <w:p w14:paraId="3008C33D">
      <w:pPr>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计费</w:t>
      </w:r>
      <w:r>
        <w:rPr>
          <w:rFonts w:ascii="仿宋" w:hAnsi="仿宋" w:eastAsia="仿宋" w:cs="仿宋"/>
          <w:color w:val="auto"/>
          <w:sz w:val="28"/>
          <w:szCs w:val="28"/>
          <w:highlight w:val="none"/>
        </w:rPr>
        <w:t>面积=仓储面积+公摊面积。</w:t>
      </w:r>
    </w:p>
    <w:p w14:paraId="00AE56D2">
      <w:pPr>
        <w:spacing w:line="41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仓储</w:t>
      </w:r>
      <w:r>
        <w:rPr>
          <w:rFonts w:ascii="仿宋" w:hAnsi="仿宋" w:eastAsia="仿宋"/>
          <w:color w:val="auto"/>
          <w:sz w:val="28"/>
          <w:szCs w:val="28"/>
          <w:highlight w:val="none"/>
        </w:rPr>
        <w:t>面积为甲方物料存储</w:t>
      </w:r>
      <w:r>
        <w:rPr>
          <w:rFonts w:hint="eastAsia" w:ascii="仿宋" w:hAnsi="仿宋" w:eastAsia="仿宋"/>
          <w:color w:val="auto"/>
          <w:sz w:val="28"/>
          <w:szCs w:val="28"/>
          <w:highlight w:val="none"/>
        </w:rPr>
        <w:t>需求</w:t>
      </w:r>
      <w:r>
        <w:rPr>
          <w:rFonts w:ascii="仿宋" w:hAnsi="仿宋" w:eastAsia="仿宋"/>
          <w:color w:val="auto"/>
          <w:sz w:val="28"/>
          <w:szCs w:val="28"/>
          <w:highlight w:val="none"/>
        </w:rPr>
        <w:t>面积</w:t>
      </w:r>
      <w:r>
        <w:rPr>
          <w:rFonts w:hint="eastAsia" w:ascii="仿宋" w:hAnsi="仿宋" w:eastAsia="仿宋"/>
          <w:color w:val="auto"/>
          <w:sz w:val="28"/>
          <w:szCs w:val="28"/>
          <w:highlight w:val="none"/>
        </w:rPr>
        <w:t>共计为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65</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含公摊</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w:t>
      </w:r>
      <w:r>
        <w:rPr>
          <w:rFonts w:hint="eastAsia" w:ascii="仿宋" w:hAnsi="仿宋" w:eastAsia="仿宋" w:cs="仿宋"/>
          <w:color w:val="auto"/>
          <w:sz w:val="28"/>
          <w:szCs w:val="28"/>
          <w:highlight w:val="none"/>
        </w:rPr>
        <w:t>仓储</w:t>
      </w:r>
      <w:r>
        <w:rPr>
          <w:rFonts w:ascii="仿宋" w:hAnsi="仿宋" w:eastAsia="仿宋" w:cs="仿宋"/>
          <w:color w:val="auto"/>
          <w:sz w:val="28"/>
          <w:szCs w:val="28"/>
          <w:highlight w:val="none"/>
        </w:rPr>
        <w:t>面积</w:t>
      </w:r>
      <w:r>
        <w:rPr>
          <w:rFonts w:hint="eastAsia" w:ascii="仿宋" w:hAnsi="仿宋" w:eastAsia="仿宋" w:cs="仿宋"/>
          <w:color w:val="auto"/>
          <w:sz w:val="28"/>
          <w:szCs w:val="28"/>
          <w:highlight w:val="none"/>
          <w:lang w:val="en-US" w:eastAsia="zh-CN"/>
        </w:rPr>
        <w:t>的确认依据</w:t>
      </w:r>
      <w:r>
        <w:rPr>
          <w:rFonts w:ascii="仿宋" w:hAnsi="仿宋" w:eastAsia="仿宋" w:cs="仿宋"/>
          <w:color w:val="auto"/>
          <w:sz w:val="28"/>
          <w:szCs w:val="28"/>
          <w:highlight w:val="none"/>
        </w:rPr>
        <w:t>双方</w:t>
      </w:r>
      <w:r>
        <w:rPr>
          <w:rFonts w:hint="eastAsia" w:ascii="仿宋" w:hAnsi="仿宋" w:eastAsia="仿宋" w:cs="仿宋"/>
          <w:color w:val="auto"/>
          <w:sz w:val="28"/>
          <w:szCs w:val="28"/>
          <w:highlight w:val="none"/>
          <w:lang w:val="en-US" w:eastAsia="zh-CN"/>
        </w:rPr>
        <w:t>认可</w:t>
      </w:r>
      <w:r>
        <w:rPr>
          <w:rFonts w:ascii="仿宋" w:hAnsi="仿宋" w:eastAsia="仿宋" w:cs="仿宋"/>
          <w:color w:val="auto"/>
          <w:sz w:val="28"/>
          <w:szCs w:val="28"/>
          <w:highlight w:val="none"/>
        </w:rPr>
        <w:t>的物料摆放</w:t>
      </w:r>
      <w:r>
        <w:rPr>
          <w:rFonts w:hint="eastAsia" w:ascii="仿宋" w:hAnsi="仿宋" w:eastAsia="仿宋" w:cs="仿宋"/>
          <w:color w:val="auto"/>
          <w:sz w:val="28"/>
          <w:szCs w:val="28"/>
          <w:highlight w:val="none"/>
          <w:lang w:val="en-US" w:eastAsia="zh-CN"/>
        </w:rPr>
        <w:t>形式</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需考虑</w:t>
      </w:r>
      <w:r>
        <w:rPr>
          <w:rFonts w:hint="eastAsia" w:ascii="仿宋" w:hAnsi="仿宋" w:eastAsia="仿宋"/>
          <w:color w:val="auto"/>
          <w:sz w:val="28"/>
          <w:szCs w:val="28"/>
          <w:highlight w:val="none"/>
        </w:rPr>
        <w:t>物料特性、作业安全性等因素</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w:t>
      </w:r>
    </w:p>
    <w:p w14:paraId="3B068219">
      <w:pPr>
        <w:spacing w:line="41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公摊</w:t>
      </w:r>
      <w:r>
        <w:rPr>
          <w:rFonts w:ascii="仿宋" w:hAnsi="仿宋" w:eastAsia="仿宋" w:cs="仿宋"/>
          <w:color w:val="auto"/>
          <w:sz w:val="28"/>
          <w:szCs w:val="28"/>
          <w:highlight w:val="none"/>
        </w:rPr>
        <w:t>面积</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库区公共使用区域（含</w:t>
      </w:r>
      <w:r>
        <w:rPr>
          <w:rFonts w:hint="eastAsia" w:ascii="仿宋" w:hAnsi="仿宋" w:eastAsia="仿宋" w:cs="仿宋"/>
          <w:color w:val="auto"/>
          <w:sz w:val="28"/>
          <w:szCs w:val="28"/>
          <w:highlight w:val="none"/>
        </w:rPr>
        <w:t>存取</w:t>
      </w:r>
      <w:r>
        <w:rPr>
          <w:rFonts w:ascii="仿宋" w:hAnsi="仿宋" w:eastAsia="仿宋" w:cs="仿宋"/>
          <w:color w:val="auto"/>
          <w:sz w:val="28"/>
          <w:szCs w:val="28"/>
          <w:highlight w:val="none"/>
        </w:rPr>
        <w:t>通道、拆包区、</w:t>
      </w:r>
      <w:r>
        <w:rPr>
          <w:rFonts w:hint="eastAsia" w:ascii="仿宋" w:hAnsi="仿宋" w:eastAsia="仿宋" w:cs="仿宋"/>
          <w:color w:val="auto"/>
          <w:sz w:val="28"/>
          <w:szCs w:val="28"/>
          <w:highlight w:val="none"/>
        </w:rPr>
        <w:t>待</w:t>
      </w:r>
      <w:r>
        <w:rPr>
          <w:rFonts w:ascii="仿宋" w:hAnsi="仿宋" w:eastAsia="仿宋" w:cs="仿宋"/>
          <w:color w:val="auto"/>
          <w:sz w:val="28"/>
          <w:szCs w:val="28"/>
          <w:highlight w:val="none"/>
        </w:rPr>
        <w:t>发区等</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计算方式为仓储面积*</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30</w:t>
      </w:r>
      <w:r>
        <w:rPr>
          <w:rFonts w:ascii="仿宋" w:hAnsi="仿宋" w:eastAsia="仿宋" w:cs="仿宋"/>
          <w:color w:val="auto"/>
          <w:sz w:val="28"/>
          <w:szCs w:val="28"/>
          <w:highlight w:val="none"/>
          <w:u w:val="single"/>
        </w:rPr>
        <w:t xml:space="preserve"> </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ab/>
      </w:r>
    </w:p>
    <w:p w14:paraId="0096665C">
      <w:pPr>
        <w:spacing w:line="410" w:lineRule="exact"/>
        <w:ind w:firstLine="560" w:firstLineChars="200"/>
        <w:rPr>
          <w:rFonts w:hint="default" w:ascii="仿宋" w:hAnsi="仿宋" w:eastAsia="仿宋" w:cs="仿宋"/>
          <w:color w:val="auto"/>
          <w:sz w:val="28"/>
          <w:szCs w:val="28"/>
          <w:highlight w:val="none"/>
          <w:lang w:val="en-US" w:eastAsia="zh-CN"/>
        </w:rPr>
      </w:pPr>
      <w:r>
        <w:rPr>
          <w:rFonts w:ascii="仿宋" w:hAnsi="仿宋" w:eastAsia="仿宋" w:cs="仿宋"/>
          <w:color w:val="auto"/>
          <w:sz w:val="28"/>
          <w:szCs w:val="28"/>
          <w:highlight w:val="none"/>
        </w:rPr>
        <w:t>b.</w:t>
      </w:r>
      <w:r>
        <w:rPr>
          <w:rFonts w:hint="eastAsia" w:ascii="仿宋" w:hAnsi="仿宋" w:eastAsia="仿宋" w:cs="仿宋"/>
          <w:color w:val="auto"/>
          <w:sz w:val="28"/>
          <w:szCs w:val="28"/>
          <w:highlight w:val="none"/>
        </w:rPr>
        <w:t>室外</w:t>
      </w:r>
      <w:r>
        <w:rPr>
          <w:rFonts w:hint="eastAsia" w:ascii="仿宋" w:hAnsi="仿宋" w:eastAsia="仿宋" w:cs="仿宋"/>
          <w:color w:val="auto"/>
          <w:sz w:val="28"/>
          <w:szCs w:val="28"/>
          <w:highlight w:val="none"/>
          <w:lang w:val="en-US" w:eastAsia="zh-CN"/>
        </w:rPr>
        <w:t>存储</w:t>
      </w:r>
    </w:p>
    <w:p w14:paraId="059D1131">
      <w:pPr>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计费面积</w:t>
      </w:r>
      <w:r>
        <w:rPr>
          <w:rFonts w:ascii="仿宋" w:hAnsi="仿宋" w:eastAsia="仿宋" w:cs="仿宋"/>
          <w:color w:val="auto"/>
          <w:sz w:val="28"/>
          <w:szCs w:val="28"/>
          <w:highlight w:val="none"/>
        </w:rPr>
        <w:t>=仓储面积</w:t>
      </w:r>
    </w:p>
    <w:p w14:paraId="2AE72F12">
      <w:pPr>
        <w:spacing w:line="41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仓储</w:t>
      </w:r>
      <w:r>
        <w:rPr>
          <w:rFonts w:ascii="仿宋" w:hAnsi="仿宋" w:eastAsia="仿宋"/>
          <w:color w:val="auto"/>
          <w:sz w:val="28"/>
          <w:szCs w:val="28"/>
          <w:highlight w:val="none"/>
        </w:rPr>
        <w:t>面积为甲方物料存储</w:t>
      </w:r>
      <w:r>
        <w:rPr>
          <w:rFonts w:hint="eastAsia" w:ascii="仿宋" w:hAnsi="仿宋" w:eastAsia="仿宋"/>
          <w:color w:val="auto"/>
          <w:sz w:val="28"/>
          <w:szCs w:val="28"/>
          <w:highlight w:val="none"/>
        </w:rPr>
        <w:t>需求</w:t>
      </w:r>
      <w:r>
        <w:rPr>
          <w:rFonts w:ascii="仿宋" w:hAnsi="仿宋" w:eastAsia="仿宋"/>
          <w:color w:val="auto"/>
          <w:sz w:val="28"/>
          <w:szCs w:val="28"/>
          <w:highlight w:val="none"/>
        </w:rPr>
        <w:t>面积</w:t>
      </w:r>
      <w:r>
        <w:rPr>
          <w:rFonts w:hint="eastAsia" w:ascii="仿宋" w:hAnsi="仿宋" w:eastAsia="仿宋"/>
          <w:color w:val="auto"/>
          <w:sz w:val="28"/>
          <w:szCs w:val="28"/>
          <w:highlight w:val="none"/>
        </w:rPr>
        <w:t>共计为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w:t>
      </w:r>
      <w:r>
        <w:rPr>
          <w:rFonts w:hint="eastAsia" w:ascii="仿宋" w:hAnsi="仿宋" w:eastAsia="仿宋" w:cs="仿宋"/>
          <w:color w:val="auto"/>
          <w:sz w:val="28"/>
          <w:szCs w:val="28"/>
          <w:highlight w:val="none"/>
        </w:rPr>
        <w:t>仓储</w:t>
      </w:r>
      <w:r>
        <w:rPr>
          <w:rFonts w:ascii="仿宋" w:hAnsi="仿宋" w:eastAsia="仿宋" w:cs="仿宋"/>
          <w:color w:val="auto"/>
          <w:sz w:val="28"/>
          <w:szCs w:val="28"/>
          <w:highlight w:val="none"/>
        </w:rPr>
        <w:t>面积</w:t>
      </w:r>
      <w:r>
        <w:rPr>
          <w:rFonts w:hint="eastAsia" w:ascii="仿宋" w:hAnsi="仿宋" w:eastAsia="仿宋" w:cs="仿宋"/>
          <w:color w:val="auto"/>
          <w:sz w:val="28"/>
          <w:szCs w:val="28"/>
          <w:highlight w:val="none"/>
          <w:lang w:val="en-US" w:eastAsia="zh-CN"/>
        </w:rPr>
        <w:t>的确认依据</w:t>
      </w:r>
      <w:r>
        <w:rPr>
          <w:rFonts w:ascii="仿宋" w:hAnsi="仿宋" w:eastAsia="仿宋" w:cs="仿宋"/>
          <w:color w:val="auto"/>
          <w:sz w:val="28"/>
          <w:szCs w:val="28"/>
          <w:highlight w:val="none"/>
        </w:rPr>
        <w:t>双方</w:t>
      </w:r>
      <w:r>
        <w:rPr>
          <w:rFonts w:hint="eastAsia" w:ascii="仿宋" w:hAnsi="仿宋" w:eastAsia="仿宋" w:cs="仿宋"/>
          <w:color w:val="auto"/>
          <w:sz w:val="28"/>
          <w:szCs w:val="28"/>
          <w:highlight w:val="none"/>
          <w:lang w:val="en-US" w:eastAsia="zh-CN"/>
        </w:rPr>
        <w:t>认可</w:t>
      </w:r>
      <w:r>
        <w:rPr>
          <w:rFonts w:ascii="仿宋" w:hAnsi="仿宋" w:eastAsia="仿宋" w:cs="仿宋"/>
          <w:color w:val="auto"/>
          <w:sz w:val="28"/>
          <w:szCs w:val="28"/>
          <w:highlight w:val="none"/>
        </w:rPr>
        <w:t>的物料摆放</w:t>
      </w:r>
      <w:r>
        <w:rPr>
          <w:rFonts w:hint="eastAsia" w:ascii="仿宋" w:hAnsi="仿宋" w:eastAsia="仿宋" w:cs="仿宋"/>
          <w:color w:val="auto"/>
          <w:sz w:val="28"/>
          <w:szCs w:val="28"/>
          <w:highlight w:val="none"/>
          <w:lang w:val="en-US" w:eastAsia="zh-CN"/>
        </w:rPr>
        <w:t>形式</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需考虑</w:t>
      </w:r>
      <w:r>
        <w:rPr>
          <w:rFonts w:hint="eastAsia" w:ascii="仿宋" w:hAnsi="仿宋" w:eastAsia="仿宋"/>
          <w:color w:val="auto"/>
          <w:sz w:val="28"/>
          <w:szCs w:val="28"/>
          <w:highlight w:val="none"/>
        </w:rPr>
        <w:t>物料特性、作业安全性等因素</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w:t>
      </w:r>
    </w:p>
    <w:p w14:paraId="79E50BAE">
      <w:pPr>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乙方每月测量甲方实际使用仓储面积，若甲方当月实际使用面积超出约定需求面积的，甲方按实际使用面积支付服务费用，若甲方实际使用面积不足约定需求面积的，甲方按约定</w:t>
      </w:r>
      <w:r>
        <w:rPr>
          <w:rFonts w:ascii="仿宋" w:hAnsi="仿宋" w:eastAsia="仿宋" w:cs="仿宋"/>
          <w:b w:val="0"/>
          <w:bCs w:val="0"/>
          <w:color w:val="auto"/>
          <w:sz w:val="28"/>
          <w:szCs w:val="28"/>
          <w:highlight w:val="none"/>
        </w:rPr>
        <w:t>的</w:t>
      </w:r>
      <w:r>
        <w:rPr>
          <w:rFonts w:hint="eastAsia" w:ascii="仿宋" w:hAnsi="仿宋" w:eastAsia="仿宋" w:cs="仿宋"/>
          <w:b w:val="0"/>
          <w:bCs w:val="0"/>
          <w:color w:val="auto"/>
          <w:sz w:val="28"/>
          <w:szCs w:val="28"/>
          <w:highlight w:val="none"/>
        </w:rPr>
        <w:t>需求面积支付服务费用</w:t>
      </w:r>
      <w:r>
        <w:rPr>
          <w:rFonts w:hint="eastAsia" w:ascii="仿宋" w:hAnsi="仿宋" w:eastAsia="仿宋" w:cs="仿宋"/>
          <w:color w:val="auto"/>
          <w:sz w:val="28"/>
          <w:szCs w:val="28"/>
          <w:highlight w:val="none"/>
        </w:rPr>
        <w:t>。</w:t>
      </w:r>
    </w:p>
    <w:p w14:paraId="28A0AC67">
      <w:pPr>
        <w:spacing w:line="41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如乙方库存面积不足或有其他安排时，甲方物料仓储面积以约定</w:t>
      </w:r>
      <w:r>
        <w:rPr>
          <w:rFonts w:ascii="仿宋" w:hAnsi="仿宋" w:eastAsia="仿宋" w:cs="仿宋"/>
          <w:color w:val="auto"/>
          <w:sz w:val="28"/>
          <w:szCs w:val="28"/>
          <w:highlight w:val="none"/>
        </w:rPr>
        <w:t>的</w:t>
      </w:r>
      <w:r>
        <w:rPr>
          <w:rFonts w:hint="eastAsia" w:ascii="仿宋" w:hAnsi="仿宋" w:eastAsia="仿宋" w:cs="仿宋"/>
          <w:color w:val="auto"/>
          <w:sz w:val="28"/>
          <w:szCs w:val="28"/>
          <w:highlight w:val="none"/>
        </w:rPr>
        <w:t>需求面积为限，超过部分乙方有权不予接收。如甲方确有需求的，应按照乙方要求</w:t>
      </w:r>
      <w:r>
        <w:rPr>
          <w:rFonts w:hint="eastAsia" w:ascii="仿宋" w:hAnsi="仿宋" w:eastAsia="仿宋" w:cs="仿宋"/>
          <w:color w:val="auto"/>
          <w:sz w:val="28"/>
          <w:szCs w:val="28"/>
          <w:highlight w:val="none"/>
          <w:lang w:val="en-US" w:eastAsia="zh-CN"/>
        </w:rPr>
        <w:t>提供相关材料（包括但不限于出具签章书面说明等）</w:t>
      </w:r>
      <w:r>
        <w:rPr>
          <w:rFonts w:hint="eastAsia" w:ascii="仿宋" w:hAnsi="仿宋" w:eastAsia="仿宋" w:cs="仿宋"/>
          <w:color w:val="auto"/>
          <w:sz w:val="28"/>
          <w:szCs w:val="28"/>
          <w:highlight w:val="none"/>
        </w:rPr>
        <w:t>，经乙方同意后予以接收。</w:t>
      </w:r>
    </w:p>
    <w:p w14:paraId="30371FD6">
      <w:pPr>
        <w:spacing w:line="410" w:lineRule="exac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4.2配送服务</w:t>
      </w:r>
    </w:p>
    <w:p w14:paraId="14C5E784">
      <w:pPr>
        <w:widowControl/>
        <w:spacing w:line="410" w:lineRule="exact"/>
        <w:ind w:firstLine="560" w:firstLineChars="200"/>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甲方委托乙方</w:t>
      </w:r>
      <w:r>
        <w:rPr>
          <w:rFonts w:hint="eastAsia" w:ascii="仿宋" w:hAnsi="仿宋" w:eastAsia="仿宋"/>
          <w:color w:val="auto"/>
          <w:sz w:val="28"/>
          <w:szCs w:val="28"/>
          <w:highlight w:val="none"/>
          <w:lang w:val="en-US" w:eastAsia="zh-CN"/>
        </w:rPr>
        <w:t>提供</w:t>
      </w:r>
      <w:r>
        <w:rPr>
          <w:rFonts w:ascii="仿宋" w:hAnsi="仿宋" w:eastAsia="仿宋"/>
          <w:color w:val="auto"/>
          <w:sz w:val="28"/>
          <w:szCs w:val="28"/>
          <w:highlight w:val="none"/>
        </w:rPr>
        <w:t>的配送服务为</w:t>
      </w:r>
      <w:r>
        <w:rPr>
          <w:rFonts w:hint="eastAsia" w:ascii="仿宋" w:hAnsi="仿宋" w:eastAsia="仿宋"/>
          <w:color w:val="auto"/>
          <w:sz w:val="28"/>
          <w:szCs w:val="28"/>
          <w:highlight w:val="none"/>
          <w:u w:val="none"/>
          <w:lang w:val="en-US" w:eastAsia="zh-CN"/>
        </w:rPr>
        <w:t>以下中的</w:t>
      </w:r>
      <w:r>
        <w:rPr>
          <w:rFonts w:hint="eastAsia" w:ascii="仿宋" w:hAnsi="仿宋" w:eastAsia="仿宋"/>
          <w:sz w:val="28"/>
          <w:szCs w:val="28"/>
          <w:highlight w:val="none"/>
          <w:u w:val="single"/>
          <w:lang w:val="en-US" w:eastAsia="zh-CN"/>
        </w:rPr>
        <w:t xml:space="preserve"> </w:t>
      </w:r>
      <w:r>
        <w:rPr>
          <w:rFonts w:hint="eastAsia" w:ascii="仿宋" w:hAnsi="仿宋" w:eastAsia="仿宋"/>
          <w:color w:val="auto"/>
          <w:sz w:val="28"/>
          <w:szCs w:val="28"/>
          <w:highlight w:val="none"/>
          <w:u w:val="single"/>
          <w:lang w:val="en-US" w:eastAsia="zh-CN"/>
        </w:rPr>
        <w:t>4.2.1</w:t>
      </w:r>
      <w:r>
        <w:rPr>
          <w:rFonts w:hint="eastAsia" w:ascii="仿宋" w:hAnsi="仿宋" w:eastAsia="仿宋"/>
          <w:sz w:val="28"/>
          <w:szCs w:val="28"/>
          <w:highlight w:val="none"/>
          <w:u w:val="single"/>
          <w:lang w:val="en-US" w:eastAsia="zh-CN"/>
        </w:rPr>
        <w:t xml:space="preserve"> </w:t>
      </w:r>
      <w:r>
        <w:rPr>
          <w:rFonts w:hint="eastAsia" w:ascii="仿宋" w:hAnsi="仿宋" w:eastAsia="仿宋"/>
          <w:color w:val="auto"/>
          <w:sz w:val="28"/>
          <w:szCs w:val="28"/>
          <w:highlight w:val="none"/>
          <w:u w:val="single"/>
          <w:lang w:val="en-US" w:eastAsia="zh-CN"/>
        </w:rPr>
        <w:t>、4.2.2、4.2.3</w:t>
      </w:r>
      <w:r>
        <w:rPr>
          <w:rFonts w:hint="eastAsia" w:ascii="仿宋" w:hAnsi="仿宋" w:eastAsia="仿宋"/>
          <w:sz w:val="28"/>
          <w:szCs w:val="28"/>
          <w:highlight w:val="none"/>
          <w:u w:val="single"/>
          <w:lang w:val="en-US" w:eastAsia="zh-CN"/>
        </w:rPr>
        <w:t xml:space="preserve"> </w:t>
      </w:r>
    </w:p>
    <w:p w14:paraId="758CB164">
      <w:pPr>
        <w:widowControl/>
        <w:spacing w:line="410" w:lineRule="exac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4.2.1生产</w:t>
      </w:r>
      <w:r>
        <w:rPr>
          <w:rFonts w:hint="eastAsia" w:ascii="仿宋" w:hAnsi="仿宋" w:eastAsia="仿宋"/>
          <w:color w:val="auto"/>
          <w:sz w:val="28"/>
          <w:szCs w:val="28"/>
          <w:highlight w:val="none"/>
        </w:rPr>
        <w:t>物料配送服务</w:t>
      </w:r>
      <w:r>
        <w:rPr>
          <w:rFonts w:hint="eastAsia" w:ascii="仿宋" w:hAnsi="仿宋" w:eastAsia="仿宋"/>
          <w:color w:val="auto"/>
          <w:sz w:val="28"/>
          <w:szCs w:val="28"/>
          <w:highlight w:val="none"/>
          <w:lang w:val="en-US" w:eastAsia="zh-CN"/>
        </w:rPr>
        <w:tab/>
      </w:r>
    </w:p>
    <w:p w14:paraId="4E121515">
      <w:pPr>
        <w:widowControl/>
        <w:spacing w:line="41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乙方应</w:t>
      </w:r>
      <w:r>
        <w:rPr>
          <w:rFonts w:hint="eastAsia" w:ascii="仿宋" w:hAnsi="仿宋" w:eastAsia="仿宋" w:cs="仿宋"/>
          <w:color w:val="auto"/>
          <w:sz w:val="28"/>
          <w:szCs w:val="28"/>
          <w:highlight w:val="none"/>
          <w:lang w:val="en-US" w:eastAsia="zh-CN"/>
        </w:rPr>
        <w:t>安全、及时</w:t>
      </w:r>
      <w:r>
        <w:rPr>
          <w:rFonts w:ascii="仿宋" w:hAnsi="仿宋" w:eastAsia="仿宋" w:cs="仿宋"/>
          <w:color w:val="auto"/>
          <w:sz w:val="28"/>
          <w:szCs w:val="28"/>
          <w:highlight w:val="none"/>
        </w:rPr>
        <w:t>的</w:t>
      </w:r>
      <w:r>
        <w:rPr>
          <w:rFonts w:hint="eastAsia" w:ascii="仿宋" w:hAnsi="仿宋" w:eastAsia="仿宋"/>
          <w:color w:val="auto"/>
          <w:sz w:val="28"/>
          <w:szCs w:val="28"/>
          <w:highlight w:val="none"/>
        </w:rPr>
        <w:t>将物料配送至</w:t>
      </w:r>
      <w:r>
        <w:rPr>
          <w:rFonts w:hint="eastAsia" w:ascii="仿宋" w:hAnsi="仿宋" w:eastAsia="仿宋"/>
          <w:color w:val="auto"/>
          <w:sz w:val="28"/>
          <w:szCs w:val="28"/>
          <w:highlight w:val="none"/>
          <w:lang w:val="en-US" w:eastAsia="zh-CN"/>
        </w:rPr>
        <w:t>相应</w:t>
      </w:r>
      <w:r>
        <w:rPr>
          <w:rFonts w:hint="eastAsia" w:ascii="仿宋" w:hAnsi="仿宋" w:eastAsia="仿宋"/>
          <w:color w:val="auto"/>
          <w:sz w:val="28"/>
          <w:szCs w:val="28"/>
          <w:highlight w:val="none"/>
        </w:rPr>
        <w:t>位置，</w:t>
      </w:r>
      <w:r>
        <w:rPr>
          <w:rFonts w:hint="eastAsia" w:ascii="仿宋" w:hAnsi="仿宋" w:eastAsia="仿宋" w:cs="仿宋"/>
          <w:color w:val="auto"/>
          <w:sz w:val="28"/>
          <w:szCs w:val="28"/>
          <w:highlight w:val="none"/>
        </w:rPr>
        <w:t>并办理相关物料单据的交接手续。</w:t>
      </w:r>
    </w:p>
    <w:p w14:paraId="787AE9E3">
      <w:pPr>
        <w:widowControl/>
        <w:spacing w:line="41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4.2.2</w:t>
      </w:r>
      <w:r>
        <w:rPr>
          <w:rFonts w:hint="eastAsia" w:ascii="仿宋" w:hAnsi="仿宋" w:eastAsia="仿宋"/>
          <w:color w:val="auto"/>
          <w:sz w:val="28"/>
          <w:szCs w:val="28"/>
          <w:highlight w:val="none"/>
        </w:rPr>
        <w:t>空工位器具架回收服务</w:t>
      </w:r>
    </w:p>
    <w:p w14:paraId="59F1677C">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乙方将甲方</w:t>
      </w:r>
      <w:r>
        <w:rPr>
          <w:rFonts w:hint="eastAsia" w:ascii="仿宋" w:hAnsi="仿宋" w:eastAsia="仿宋" w:cs="仿宋"/>
          <w:color w:val="auto"/>
          <w:sz w:val="28"/>
          <w:szCs w:val="28"/>
          <w:highlight w:val="none"/>
          <w:lang w:val="en-US" w:eastAsia="zh-CN"/>
        </w:rPr>
        <w:t>物料</w:t>
      </w:r>
      <w:r>
        <w:rPr>
          <w:rFonts w:hint="eastAsia" w:ascii="仿宋" w:hAnsi="仿宋" w:eastAsia="仿宋" w:cs="仿宋"/>
          <w:color w:val="auto"/>
          <w:sz w:val="28"/>
          <w:szCs w:val="28"/>
          <w:highlight w:val="none"/>
        </w:rPr>
        <w:t>供线后的空工位器具架运输至乙方仓库。</w:t>
      </w:r>
    </w:p>
    <w:p w14:paraId="04008FC4">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olor w:val="auto"/>
          <w:sz w:val="28"/>
          <w:szCs w:val="28"/>
          <w:highlight w:val="none"/>
          <w:lang w:val="en-US" w:eastAsia="zh-CN"/>
        </w:rPr>
        <w:t>4.2.3</w:t>
      </w:r>
      <w:r>
        <w:rPr>
          <w:rFonts w:hint="eastAsia" w:ascii="仿宋" w:hAnsi="仿宋" w:eastAsia="仿宋" w:cs="仿宋"/>
          <w:color w:val="auto"/>
          <w:sz w:val="28"/>
          <w:szCs w:val="28"/>
          <w:highlight w:val="none"/>
        </w:rPr>
        <w:t>返修物料运输服务</w:t>
      </w:r>
    </w:p>
    <w:p w14:paraId="7894C51B">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乙方将甲方</w:t>
      </w:r>
      <w:r>
        <w:rPr>
          <w:rFonts w:hint="eastAsia" w:ascii="仿宋" w:hAnsi="仿宋" w:eastAsia="仿宋" w:cs="仿宋"/>
          <w:color w:val="auto"/>
          <w:sz w:val="28"/>
          <w:szCs w:val="28"/>
          <w:highlight w:val="none"/>
          <w:lang w:val="en-US" w:eastAsia="zh-CN"/>
        </w:rPr>
        <w:t>物料</w:t>
      </w:r>
      <w:r>
        <w:rPr>
          <w:rFonts w:hint="eastAsia" w:ascii="仿宋" w:hAnsi="仿宋" w:eastAsia="仿宋" w:cs="仿宋"/>
          <w:color w:val="auto"/>
          <w:sz w:val="28"/>
          <w:szCs w:val="28"/>
          <w:highlight w:val="none"/>
        </w:rPr>
        <w:t>供线后</w:t>
      </w:r>
      <w:r>
        <w:rPr>
          <w:rFonts w:hint="eastAsia" w:ascii="仿宋" w:hAnsi="仿宋" w:eastAsia="仿宋" w:cs="仿宋"/>
          <w:color w:val="auto"/>
          <w:sz w:val="28"/>
          <w:szCs w:val="28"/>
          <w:highlight w:val="none"/>
          <w:lang w:val="en-US" w:eastAsia="zh-CN"/>
        </w:rPr>
        <w:t>需返修的物料</w:t>
      </w:r>
      <w:r>
        <w:rPr>
          <w:rFonts w:hint="eastAsia" w:ascii="仿宋" w:hAnsi="仿宋" w:eastAsia="仿宋" w:cs="仿宋"/>
          <w:color w:val="auto"/>
          <w:sz w:val="28"/>
          <w:szCs w:val="28"/>
          <w:highlight w:val="none"/>
        </w:rPr>
        <w:t>运输至乙方仓库。</w:t>
      </w:r>
    </w:p>
    <w:p w14:paraId="49E12969">
      <w:pPr>
        <w:widowControl/>
        <w:spacing w:line="410" w:lineRule="exact"/>
        <w:ind w:left="559" w:leftChars="266"/>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4.2.4</w:t>
      </w:r>
      <w:r>
        <w:rPr>
          <w:rFonts w:hint="eastAsia" w:ascii="仿宋" w:hAnsi="仿宋" w:eastAsia="仿宋" w:cs="仿宋"/>
          <w:color w:val="auto"/>
          <w:sz w:val="28"/>
          <w:szCs w:val="28"/>
          <w:highlight w:val="none"/>
        </w:rPr>
        <w:t>加急配送服务</w:t>
      </w:r>
    </w:p>
    <w:p w14:paraId="220F6C4E">
      <w:pPr>
        <w:widowControl/>
        <w:spacing w:line="41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将甲方物料</w:t>
      </w:r>
      <w:r>
        <w:rPr>
          <w:rFonts w:hint="eastAsia" w:ascii="仿宋" w:hAnsi="仿宋" w:eastAsia="仿宋" w:cs="仿宋"/>
          <w:color w:val="auto"/>
          <w:sz w:val="28"/>
          <w:szCs w:val="28"/>
          <w:highlight w:val="none"/>
        </w:rPr>
        <w:t>加急配送至</w:t>
      </w:r>
      <w:r>
        <w:rPr>
          <w:rFonts w:hint="eastAsia" w:ascii="仿宋" w:hAnsi="仿宋" w:eastAsia="仿宋" w:cs="仿宋"/>
          <w:color w:val="auto"/>
          <w:sz w:val="28"/>
          <w:szCs w:val="28"/>
          <w:highlight w:val="none"/>
          <w:lang w:val="en-US" w:eastAsia="zh-CN"/>
        </w:rPr>
        <w:t>相应位置</w:t>
      </w:r>
      <w:r>
        <w:rPr>
          <w:rFonts w:hint="eastAsia" w:ascii="仿宋" w:hAnsi="仿宋" w:eastAsia="仿宋" w:cs="仿宋"/>
          <w:color w:val="auto"/>
          <w:sz w:val="28"/>
          <w:szCs w:val="28"/>
          <w:highlight w:val="none"/>
        </w:rPr>
        <w:t>。</w:t>
      </w:r>
    </w:p>
    <w:p w14:paraId="5BC7AA83">
      <w:pPr>
        <w:widowControl/>
        <w:spacing w:line="41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4.2.5其他配送服务</w:t>
      </w:r>
      <w:r>
        <w:rPr>
          <w:rFonts w:hint="eastAsia" w:ascii="仿宋" w:hAnsi="仿宋" w:eastAsia="仿宋" w:cs="仿宋"/>
          <w:color w:val="auto"/>
          <w:sz w:val="28"/>
          <w:szCs w:val="28"/>
          <w:highlight w:val="none"/>
        </w:rPr>
        <w:t>根据双方</w:t>
      </w:r>
      <w:r>
        <w:rPr>
          <w:rFonts w:hint="eastAsia" w:ascii="仿宋" w:hAnsi="仿宋" w:eastAsia="仿宋" w:cs="仿宋"/>
          <w:color w:val="auto"/>
          <w:sz w:val="28"/>
          <w:szCs w:val="28"/>
          <w:highlight w:val="none"/>
          <w:lang w:val="en-US" w:eastAsia="zh-CN"/>
        </w:rPr>
        <w:t>具体</w:t>
      </w:r>
      <w:r>
        <w:rPr>
          <w:rFonts w:hint="eastAsia" w:ascii="仿宋" w:hAnsi="仿宋" w:eastAsia="仿宋" w:cs="仿宋"/>
          <w:color w:val="auto"/>
          <w:sz w:val="28"/>
          <w:szCs w:val="28"/>
          <w:highlight w:val="none"/>
        </w:rPr>
        <w:t>业务</w:t>
      </w:r>
      <w:r>
        <w:rPr>
          <w:rFonts w:hint="eastAsia" w:ascii="仿宋" w:hAnsi="仿宋" w:eastAsia="仿宋" w:cs="仿宋"/>
          <w:color w:val="auto"/>
          <w:sz w:val="28"/>
          <w:szCs w:val="28"/>
          <w:highlight w:val="none"/>
          <w:lang w:val="en-US" w:eastAsia="zh-CN"/>
        </w:rPr>
        <w:t>情况</w:t>
      </w:r>
      <w:r>
        <w:rPr>
          <w:rFonts w:hint="eastAsia" w:ascii="仿宋" w:hAnsi="仿宋" w:eastAsia="仿宋" w:cs="仿宋"/>
          <w:color w:val="auto"/>
          <w:sz w:val="28"/>
          <w:szCs w:val="28"/>
          <w:highlight w:val="none"/>
        </w:rPr>
        <w:t>确定</w:t>
      </w:r>
      <w:r>
        <w:rPr>
          <w:rFonts w:hint="eastAsia" w:ascii="仿宋" w:hAnsi="仿宋" w:eastAsia="仿宋" w:cs="仿宋"/>
          <w:color w:val="auto"/>
          <w:sz w:val="28"/>
          <w:szCs w:val="28"/>
          <w:highlight w:val="none"/>
          <w:lang w:eastAsia="zh-CN"/>
        </w:rPr>
        <w:t>。</w:t>
      </w:r>
    </w:p>
    <w:p w14:paraId="2739346C">
      <w:pPr>
        <w:widowControl/>
        <w:spacing w:line="41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4.3</w:t>
      </w:r>
      <w:r>
        <w:rPr>
          <w:rFonts w:hint="eastAsia" w:ascii="仿宋" w:hAnsi="仿宋" w:eastAsia="仿宋" w:cs="仿宋"/>
          <w:b/>
          <w:bCs/>
          <w:color w:val="auto"/>
          <w:sz w:val="28"/>
          <w:szCs w:val="28"/>
          <w:highlight w:val="none"/>
          <w:lang w:val="en-US" w:eastAsia="zh-CN"/>
        </w:rPr>
        <w:t>增值</w:t>
      </w:r>
      <w:r>
        <w:rPr>
          <w:rFonts w:hint="eastAsia" w:ascii="仿宋" w:hAnsi="仿宋" w:eastAsia="仿宋" w:cs="仿宋"/>
          <w:b/>
          <w:bCs/>
          <w:color w:val="auto"/>
          <w:sz w:val="28"/>
          <w:szCs w:val="28"/>
          <w:highlight w:val="none"/>
        </w:rPr>
        <w:t>服务</w:t>
      </w:r>
    </w:p>
    <w:p w14:paraId="22304E26">
      <w:pPr>
        <w:widowControl/>
        <w:spacing w:line="410" w:lineRule="exact"/>
        <w:ind w:firstLine="560" w:firstLineChars="200"/>
        <w:rPr>
          <w:rFonts w:hint="default" w:ascii="仿宋" w:hAnsi="仿宋" w:eastAsia="仿宋" w:cs="仿宋"/>
          <w:b/>
          <w:bCs/>
          <w:color w:val="auto"/>
          <w:sz w:val="28"/>
          <w:szCs w:val="28"/>
          <w:highlight w:val="none"/>
          <w:u w:val="single"/>
          <w:lang w:val="en-US"/>
        </w:rPr>
      </w:pPr>
      <w:r>
        <w:rPr>
          <w:rFonts w:hint="eastAsia" w:ascii="仿宋" w:hAnsi="仿宋" w:eastAsia="仿宋"/>
          <w:color w:val="auto"/>
          <w:sz w:val="28"/>
          <w:szCs w:val="28"/>
          <w:highlight w:val="none"/>
        </w:rPr>
        <w:t>甲方委托乙方</w:t>
      </w:r>
      <w:r>
        <w:rPr>
          <w:rFonts w:hint="eastAsia" w:ascii="仿宋" w:hAnsi="仿宋" w:eastAsia="仿宋"/>
          <w:color w:val="auto"/>
          <w:sz w:val="28"/>
          <w:szCs w:val="28"/>
          <w:highlight w:val="none"/>
          <w:lang w:val="en-US" w:eastAsia="zh-CN"/>
        </w:rPr>
        <w:t>提供</w:t>
      </w:r>
      <w:r>
        <w:rPr>
          <w:rFonts w:ascii="仿宋" w:hAnsi="仿宋" w:eastAsia="仿宋"/>
          <w:color w:val="auto"/>
          <w:sz w:val="28"/>
          <w:szCs w:val="28"/>
          <w:highlight w:val="none"/>
        </w:rPr>
        <w:t>的</w:t>
      </w:r>
      <w:r>
        <w:rPr>
          <w:rFonts w:hint="eastAsia" w:ascii="仿宋" w:hAnsi="仿宋" w:eastAsia="仿宋"/>
          <w:color w:val="auto"/>
          <w:sz w:val="28"/>
          <w:szCs w:val="28"/>
          <w:highlight w:val="none"/>
          <w:lang w:val="en-US" w:eastAsia="zh-CN"/>
        </w:rPr>
        <w:t>增值</w:t>
      </w:r>
      <w:r>
        <w:rPr>
          <w:rFonts w:ascii="仿宋" w:hAnsi="仿宋" w:eastAsia="仿宋"/>
          <w:color w:val="auto"/>
          <w:sz w:val="28"/>
          <w:szCs w:val="28"/>
          <w:highlight w:val="none"/>
        </w:rPr>
        <w:t>服务为</w:t>
      </w:r>
      <w:r>
        <w:rPr>
          <w:rFonts w:hint="eastAsia" w:ascii="仿宋" w:hAnsi="仿宋" w:eastAsia="仿宋"/>
          <w:color w:val="auto"/>
          <w:sz w:val="28"/>
          <w:szCs w:val="28"/>
          <w:highlight w:val="none"/>
          <w:u w:val="none"/>
          <w:lang w:val="en-US" w:eastAsia="zh-CN"/>
        </w:rPr>
        <w:t>以下中的</w:t>
      </w:r>
      <w:r>
        <w:rPr>
          <w:rFonts w:hint="eastAsia" w:ascii="仿宋" w:hAnsi="仿宋" w:eastAsia="仿宋" w:cs="仿宋"/>
          <w:color w:val="auto"/>
          <w:sz w:val="28"/>
          <w:szCs w:val="28"/>
          <w:highlight w:val="none"/>
          <w:u w:val="single"/>
        </w:rPr>
        <w:t>4.3.1</w:t>
      </w:r>
      <w:r>
        <w:rPr>
          <w:rFonts w:hint="eastAsia" w:ascii="仿宋" w:hAnsi="仿宋" w:eastAsia="仿宋" w:cs="仿宋"/>
          <w:color w:val="auto"/>
          <w:sz w:val="28"/>
          <w:szCs w:val="28"/>
          <w:highlight w:val="none"/>
          <w:u w:val="single"/>
          <w:lang w:val="en-US" w:eastAsia="zh-CN"/>
        </w:rPr>
        <w:t>-</w:t>
      </w:r>
      <w:bookmarkStart w:id="1" w:name="_GoBack"/>
      <w:bookmarkEnd w:id="1"/>
      <w:r>
        <w:rPr>
          <w:rFonts w:hint="eastAsia" w:ascii="仿宋" w:hAnsi="仿宋" w:eastAsia="仿宋" w:cs="仿宋"/>
          <w:color w:val="auto"/>
          <w:sz w:val="28"/>
          <w:szCs w:val="28"/>
          <w:highlight w:val="none"/>
          <w:u w:val="single"/>
        </w:rPr>
        <w:t>4.3.3</w:t>
      </w:r>
    </w:p>
    <w:p w14:paraId="2A9C8CD4">
      <w:pPr>
        <w:widowControl/>
        <w:spacing w:line="410" w:lineRule="exact"/>
        <w:ind w:firstLine="562" w:firstLineChars="200"/>
        <w:rPr>
          <w:rFonts w:hint="eastAsia" w:ascii="仿宋" w:hAnsi="仿宋" w:eastAsia="仿宋" w:cs="仿宋"/>
          <w:b/>
          <w:bCs/>
          <w:color w:val="auto"/>
          <w:sz w:val="28"/>
          <w:szCs w:val="28"/>
          <w:highlight w:val="none"/>
        </w:rPr>
      </w:pPr>
    </w:p>
    <w:p w14:paraId="5C437693">
      <w:pPr>
        <w:spacing w:line="41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4.3.1报验服务</w:t>
      </w:r>
    </w:p>
    <w:p w14:paraId="4145591C">
      <w:pPr>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对甲方物料</w:t>
      </w:r>
      <w:r>
        <w:rPr>
          <w:rFonts w:hint="eastAsia" w:ascii="仿宋" w:hAnsi="仿宋" w:eastAsia="仿宋" w:cs="仿宋"/>
          <w:color w:val="auto"/>
          <w:sz w:val="28"/>
          <w:szCs w:val="28"/>
          <w:highlight w:val="none"/>
        </w:rPr>
        <w:t>进行报验</w:t>
      </w:r>
      <w:r>
        <w:rPr>
          <w:rFonts w:hint="eastAsia" w:ascii="仿宋" w:hAnsi="仿宋" w:eastAsia="仿宋" w:cs="仿宋"/>
          <w:color w:val="auto"/>
          <w:sz w:val="28"/>
          <w:szCs w:val="28"/>
          <w:highlight w:val="none"/>
          <w:lang w:val="en-US" w:eastAsia="zh-CN"/>
        </w:rPr>
        <w:t>、将检验结果通知</w:t>
      </w:r>
      <w:r>
        <w:rPr>
          <w:rFonts w:hint="eastAsia" w:ascii="仿宋" w:hAnsi="仿宋" w:eastAsia="仿宋" w:cs="仿宋"/>
          <w:color w:val="auto"/>
          <w:sz w:val="28"/>
          <w:szCs w:val="28"/>
          <w:highlight w:val="none"/>
        </w:rPr>
        <w:t>甲方，并将不合格品退回至甲方</w:t>
      </w:r>
      <w:r>
        <w:rPr>
          <w:rFonts w:hint="eastAsia" w:ascii="仿宋" w:hAnsi="仿宋" w:eastAsia="仿宋" w:cs="仿宋"/>
          <w:color w:val="auto"/>
          <w:sz w:val="28"/>
          <w:szCs w:val="28"/>
          <w:highlight w:val="none"/>
          <w:lang w:val="en-US" w:eastAsia="zh-CN"/>
        </w:rPr>
        <w:t>在乙方处的存储位置</w:t>
      </w:r>
      <w:r>
        <w:rPr>
          <w:rFonts w:hint="eastAsia" w:ascii="仿宋" w:hAnsi="仿宋" w:eastAsia="仿宋" w:cs="仿宋"/>
          <w:color w:val="auto"/>
          <w:sz w:val="28"/>
          <w:szCs w:val="28"/>
          <w:highlight w:val="none"/>
        </w:rPr>
        <w:t>，等待甲方处理。</w:t>
      </w:r>
    </w:p>
    <w:p w14:paraId="4BE2EF87">
      <w:pPr>
        <w:spacing w:line="41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4.3.2取样送检服务</w:t>
      </w:r>
    </w:p>
    <w:p w14:paraId="185CD76A">
      <w:pPr>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从</w:t>
      </w:r>
      <w:r>
        <w:rPr>
          <w:rFonts w:hint="eastAsia" w:ascii="仿宋" w:hAnsi="仿宋" w:eastAsia="仿宋" w:cs="仿宋"/>
          <w:color w:val="auto"/>
          <w:sz w:val="28"/>
          <w:szCs w:val="28"/>
          <w:highlight w:val="none"/>
        </w:rPr>
        <w:t>待检物料</w:t>
      </w:r>
      <w:r>
        <w:rPr>
          <w:rFonts w:hint="eastAsia" w:ascii="仿宋" w:hAnsi="仿宋" w:eastAsia="仿宋" w:cs="仿宋"/>
          <w:color w:val="auto"/>
          <w:sz w:val="28"/>
          <w:szCs w:val="28"/>
          <w:highlight w:val="none"/>
          <w:lang w:val="en-US" w:eastAsia="zh-CN"/>
        </w:rPr>
        <w:t>中</w:t>
      </w:r>
      <w:r>
        <w:rPr>
          <w:rFonts w:hint="eastAsia" w:ascii="仿宋" w:hAnsi="仿宋" w:eastAsia="仿宋" w:cs="仿宋"/>
          <w:color w:val="auto"/>
          <w:sz w:val="28"/>
          <w:szCs w:val="28"/>
          <w:highlight w:val="none"/>
        </w:rPr>
        <w:t>截取</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rPr>
        <w:t>样品</w:t>
      </w:r>
      <w:r>
        <w:rPr>
          <w:rFonts w:hint="eastAsia" w:ascii="仿宋" w:hAnsi="仿宋" w:eastAsia="仿宋" w:cs="仿宋"/>
          <w:color w:val="auto"/>
          <w:sz w:val="28"/>
          <w:szCs w:val="28"/>
          <w:highlight w:val="none"/>
          <w:lang w:val="en-US" w:eastAsia="zh-CN"/>
        </w:rPr>
        <w:t>后</w:t>
      </w:r>
      <w:r>
        <w:rPr>
          <w:rFonts w:hint="eastAsia" w:ascii="仿宋" w:hAnsi="仿宋" w:eastAsia="仿宋" w:cs="仿宋"/>
          <w:color w:val="auto"/>
          <w:sz w:val="28"/>
          <w:szCs w:val="28"/>
          <w:highlight w:val="none"/>
        </w:rPr>
        <w:t>送至检验处进行检验。</w:t>
      </w:r>
    </w:p>
    <w:p w14:paraId="3F00826D">
      <w:pPr>
        <w:spacing w:line="41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4.3.3不合格品暂存服务</w:t>
      </w:r>
    </w:p>
    <w:p w14:paraId="196B1671">
      <w:pPr>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乙方对</w:t>
      </w:r>
      <w:r>
        <w:rPr>
          <w:rFonts w:hint="eastAsia" w:ascii="仿宋" w:hAnsi="仿宋" w:eastAsia="仿宋" w:cs="仿宋"/>
          <w:color w:val="auto"/>
          <w:sz w:val="28"/>
          <w:szCs w:val="28"/>
          <w:highlight w:val="none"/>
        </w:rPr>
        <w:t>质检不合格的物料</w:t>
      </w:r>
      <w:r>
        <w:rPr>
          <w:rFonts w:hint="eastAsia" w:ascii="仿宋" w:hAnsi="仿宋" w:eastAsia="仿宋" w:cs="仿宋"/>
          <w:color w:val="auto"/>
          <w:sz w:val="28"/>
          <w:szCs w:val="28"/>
          <w:highlight w:val="none"/>
          <w:lang w:val="en-US" w:eastAsia="zh-CN"/>
        </w:rPr>
        <w:t>进行</w:t>
      </w:r>
      <w:r>
        <w:rPr>
          <w:rFonts w:hint="eastAsia" w:ascii="仿宋" w:hAnsi="仿宋" w:eastAsia="仿宋" w:cs="仿宋"/>
          <w:color w:val="auto"/>
          <w:sz w:val="28"/>
          <w:szCs w:val="28"/>
          <w:highlight w:val="none"/>
        </w:rPr>
        <w:t>暂存。</w:t>
      </w:r>
    </w:p>
    <w:p w14:paraId="0BB8966A">
      <w:pPr>
        <w:widowControl/>
        <w:spacing w:line="41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4.3.4加急物料处理服务</w:t>
      </w:r>
    </w:p>
    <w:p w14:paraId="7FB1FCCF">
      <w:pPr>
        <w:widowControl/>
        <w:spacing w:line="41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乙方为甲方提供加急物料处理服务（卸货、配盘等），即甲方物料无需等待排队，货到乙方即进行处理。</w:t>
      </w:r>
    </w:p>
    <w:p w14:paraId="081BDF70">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4.3.5人工搬卸服务</w:t>
      </w:r>
    </w:p>
    <w:p w14:paraId="01B618AA">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乙方为甲方提供人工搬卸服务。</w:t>
      </w:r>
    </w:p>
    <w:p w14:paraId="09346074">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4.3.6单据打印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张贴</w:t>
      </w:r>
      <w:r>
        <w:rPr>
          <w:rFonts w:hint="eastAsia" w:ascii="仿宋" w:hAnsi="仿宋" w:eastAsia="仿宋" w:cs="仿宋"/>
          <w:color w:val="auto"/>
          <w:sz w:val="28"/>
          <w:szCs w:val="28"/>
          <w:highlight w:val="none"/>
        </w:rPr>
        <w:t>服务（可含系统操作服务）</w:t>
      </w:r>
    </w:p>
    <w:p w14:paraId="5A6C46D6">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乙方为甲方提供系统订单接收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确认及</w:t>
      </w:r>
      <w:r>
        <w:rPr>
          <w:rFonts w:hint="eastAsia" w:ascii="仿宋" w:hAnsi="仿宋" w:eastAsia="仿宋" w:cs="仿宋"/>
          <w:color w:val="auto"/>
          <w:sz w:val="28"/>
          <w:szCs w:val="28"/>
          <w:highlight w:val="none"/>
          <w:lang w:val="en-US" w:eastAsia="zh-CN"/>
        </w:rPr>
        <w:t>相关单据</w:t>
      </w:r>
      <w:r>
        <w:rPr>
          <w:rFonts w:hint="eastAsia" w:ascii="仿宋" w:hAnsi="仿宋" w:eastAsia="仿宋" w:cs="仿宋"/>
          <w:color w:val="auto"/>
          <w:sz w:val="28"/>
          <w:szCs w:val="28"/>
          <w:highlight w:val="none"/>
        </w:rPr>
        <w:t>打印、张贴等服务。</w:t>
      </w:r>
    </w:p>
    <w:p w14:paraId="2ABB5AFB">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4.3.7包装拆除服务</w:t>
      </w:r>
    </w:p>
    <w:p w14:paraId="345FFCAE">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乙方为甲方提供包装拆除服务。</w:t>
      </w:r>
    </w:p>
    <w:p w14:paraId="5F7DC635">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4.3.8</w:t>
      </w:r>
      <w:r>
        <w:rPr>
          <w:rFonts w:hint="eastAsia" w:ascii="仿宋" w:hAnsi="仿宋" w:eastAsia="仿宋" w:cs="仿宋"/>
          <w:sz w:val="28"/>
          <w:szCs w:val="28"/>
          <w:highlight w:val="none"/>
          <w:lang w:val="en-US" w:eastAsia="zh-CN"/>
        </w:rPr>
        <w:t>通用</w:t>
      </w:r>
      <w:r>
        <w:rPr>
          <w:rFonts w:hint="eastAsia" w:ascii="仿宋" w:hAnsi="仿宋" w:eastAsia="仿宋" w:cs="仿宋"/>
          <w:color w:val="auto"/>
          <w:sz w:val="28"/>
          <w:szCs w:val="28"/>
          <w:highlight w:val="none"/>
        </w:rPr>
        <w:t>周转器具使用服务</w:t>
      </w:r>
    </w:p>
    <w:p w14:paraId="68074F72">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乙方为甲方提供</w:t>
      </w:r>
      <w:r>
        <w:rPr>
          <w:rFonts w:hint="eastAsia" w:ascii="仿宋" w:hAnsi="仿宋" w:eastAsia="仿宋" w:cs="仿宋"/>
          <w:sz w:val="28"/>
          <w:szCs w:val="28"/>
          <w:highlight w:val="none"/>
          <w:lang w:val="en-US" w:eastAsia="zh-CN"/>
        </w:rPr>
        <w:t>通用</w:t>
      </w:r>
      <w:r>
        <w:rPr>
          <w:rFonts w:hint="eastAsia" w:ascii="仿宋" w:hAnsi="仿宋" w:eastAsia="仿宋" w:cs="仿宋"/>
          <w:color w:val="auto"/>
          <w:sz w:val="28"/>
          <w:szCs w:val="28"/>
          <w:highlight w:val="none"/>
        </w:rPr>
        <w:t>周转器具使用服务。</w:t>
      </w:r>
    </w:p>
    <w:p w14:paraId="23D2DCCC">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4.3.9标签打印服务</w:t>
      </w:r>
    </w:p>
    <w:p w14:paraId="3B0EDA4D">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乙方为甲方提供外箱标签打印服务。</w:t>
      </w:r>
    </w:p>
    <w:p w14:paraId="2DC83C9E">
      <w:pPr>
        <w:widowControl/>
        <w:spacing w:line="41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4.3.10其他</w:t>
      </w:r>
      <w:r>
        <w:rPr>
          <w:rFonts w:hint="eastAsia" w:ascii="仿宋" w:hAnsi="仿宋" w:eastAsia="仿宋" w:cs="仿宋"/>
          <w:color w:val="auto"/>
          <w:sz w:val="28"/>
          <w:szCs w:val="28"/>
          <w:highlight w:val="none"/>
          <w:lang w:val="en-US" w:eastAsia="zh-CN"/>
        </w:rPr>
        <w:t>增值</w:t>
      </w:r>
      <w:r>
        <w:rPr>
          <w:rFonts w:hint="eastAsia" w:ascii="仿宋" w:hAnsi="仿宋" w:eastAsia="仿宋" w:cs="仿宋"/>
          <w:color w:val="auto"/>
          <w:sz w:val="28"/>
          <w:szCs w:val="28"/>
          <w:highlight w:val="none"/>
        </w:rPr>
        <w:t>服务</w:t>
      </w:r>
    </w:p>
    <w:p w14:paraId="7D0DA09D">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根据双方</w:t>
      </w:r>
      <w:r>
        <w:rPr>
          <w:rFonts w:hint="eastAsia" w:ascii="仿宋" w:hAnsi="仿宋" w:eastAsia="仿宋" w:cs="仿宋"/>
          <w:color w:val="auto"/>
          <w:sz w:val="28"/>
          <w:szCs w:val="28"/>
          <w:highlight w:val="none"/>
          <w:lang w:val="en-US" w:eastAsia="zh-CN"/>
        </w:rPr>
        <w:t>具体</w:t>
      </w:r>
      <w:r>
        <w:rPr>
          <w:rFonts w:hint="eastAsia" w:ascii="仿宋" w:hAnsi="仿宋" w:eastAsia="仿宋" w:cs="仿宋"/>
          <w:color w:val="auto"/>
          <w:sz w:val="28"/>
          <w:szCs w:val="28"/>
          <w:highlight w:val="none"/>
        </w:rPr>
        <w:t>业务</w:t>
      </w:r>
      <w:r>
        <w:rPr>
          <w:rFonts w:hint="eastAsia" w:ascii="仿宋" w:hAnsi="仿宋" w:eastAsia="仿宋" w:cs="仿宋"/>
          <w:color w:val="auto"/>
          <w:sz w:val="28"/>
          <w:szCs w:val="28"/>
          <w:highlight w:val="none"/>
          <w:lang w:val="en-US" w:eastAsia="zh-CN"/>
        </w:rPr>
        <w:t>情况</w:t>
      </w:r>
      <w:r>
        <w:rPr>
          <w:rFonts w:hint="eastAsia" w:ascii="仿宋" w:hAnsi="仿宋" w:eastAsia="仿宋" w:cs="仿宋"/>
          <w:color w:val="auto"/>
          <w:sz w:val="28"/>
          <w:szCs w:val="28"/>
          <w:highlight w:val="none"/>
        </w:rPr>
        <w:t>确定。</w:t>
      </w:r>
    </w:p>
    <w:p w14:paraId="2C23D6EE">
      <w:pPr>
        <w:widowControl/>
        <w:spacing w:line="410" w:lineRule="exact"/>
        <w:ind w:firstLine="560" w:firstLineChars="200"/>
        <w:rPr>
          <w:rFonts w:hint="eastAsia" w:ascii="仿宋" w:hAnsi="仿宋" w:eastAsia="仿宋" w:cs="仿宋"/>
          <w:color w:val="auto"/>
          <w:sz w:val="28"/>
          <w:szCs w:val="28"/>
          <w:highlight w:val="none"/>
          <w:lang w:val="en-US" w:eastAsia="zh-CN"/>
        </w:rPr>
      </w:pPr>
    </w:p>
    <w:p w14:paraId="42514752">
      <w:pPr>
        <w:widowControl/>
        <w:numPr>
          <w:ilvl w:val="-1"/>
          <w:numId w:val="0"/>
        </w:numPr>
        <w:spacing w:line="41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5、双方权利义务</w:t>
      </w:r>
    </w:p>
    <w:p w14:paraId="6A3CCCC0">
      <w:pPr>
        <w:widowControl/>
        <w:numPr>
          <w:ilvl w:val="-1"/>
          <w:numId w:val="0"/>
        </w:numPr>
        <w:spacing w:line="41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5.1甲方权利义务</w:t>
      </w:r>
    </w:p>
    <w:p w14:paraId="5A218A32">
      <w:pPr>
        <w:widowControl/>
        <w:numPr>
          <w:ilvl w:val="-1"/>
          <w:numId w:val="0"/>
        </w:numPr>
        <w:spacing w:line="41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5.1.1甲方权利</w:t>
      </w:r>
    </w:p>
    <w:p w14:paraId="742E015A">
      <w:pPr>
        <w:numPr>
          <w:ilvl w:val="-1"/>
          <w:numId w:val="0"/>
        </w:numPr>
        <w:spacing w:line="410" w:lineRule="exac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a</w:t>
      </w:r>
      <w:r>
        <w:rPr>
          <w:rFonts w:hint="eastAsia" w:ascii="仿宋" w:hAnsi="仿宋" w:eastAsia="仿宋"/>
          <w:color w:val="auto"/>
          <w:sz w:val="28"/>
          <w:szCs w:val="28"/>
          <w:highlight w:val="none"/>
          <w:lang w:val="en-US" w:eastAsia="zh-CN"/>
        </w:rPr>
        <w:t>.</w:t>
      </w:r>
      <w:r>
        <w:rPr>
          <w:rFonts w:hint="eastAsia" w:ascii="仿宋" w:hAnsi="仿宋" w:eastAsia="仿宋" w:cs="仿宋"/>
          <w:color w:val="auto"/>
          <w:sz w:val="28"/>
          <w:szCs w:val="28"/>
          <w:highlight w:val="none"/>
        </w:rPr>
        <w:t>甲</w:t>
      </w:r>
      <w:r>
        <w:rPr>
          <w:rFonts w:hint="eastAsia" w:ascii="仿宋" w:hAnsi="仿宋" w:eastAsia="仿宋"/>
          <w:color w:val="auto"/>
          <w:sz w:val="28"/>
          <w:szCs w:val="28"/>
          <w:highlight w:val="none"/>
        </w:rPr>
        <w:t>方</w:t>
      </w:r>
      <w:r>
        <w:rPr>
          <w:rFonts w:hint="eastAsia" w:ascii="仿宋" w:hAnsi="仿宋" w:eastAsia="仿宋"/>
          <w:color w:val="auto"/>
          <w:sz w:val="28"/>
          <w:szCs w:val="28"/>
          <w:highlight w:val="none"/>
          <w:lang w:val="en-US" w:eastAsia="zh-CN"/>
        </w:rPr>
        <w:t>有权知晓并监督乙方服务情况并对乙方的服务质量提出合理的整改要求。</w:t>
      </w:r>
    </w:p>
    <w:p w14:paraId="40CF8112">
      <w:pPr>
        <w:numPr>
          <w:ilvl w:val="-1"/>
          <w:numId w:val="0"/>
        </w:numPr>
        <w:spacing w:line="41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b.甲方有权</w:t>
      </w:r>
      <w:r>
        <w:rPr>
          <w:rFonts w:hint="eastAsia" w:ascii="仿宋" w:hAnsi="仿宋" w:eastAsia="仿宋"/>
          <w:color w:val="auto"/>
          <w:sz w:val="28"/>
          <w:szCs w:val="28"/>
          <w:highlight w:val="none"/>
        </w:rPr>
        <w:t>提前</w:t>
      </w:r>
      <w:r>
        <w:rPr>
          <w:rFonts w:hint="eastAsia" w:ascii="仿宋" w:hAnsi="仿宋" w:eastAsia="仿宋"/>
          <w:color w:val="auto"/>
          <w:sz w:val="28"/>
          <w:szCs w:val="28"/>
          <w:highlight w:val="none"/>
          <w:u w:val="single"/>
          <w:lang w:val="en-US" w:eastAsia="zh-CN"/>
        </w:rPr>
        <w:t xml:space="preserve">  5  </w:t>
      </w:r>
      <w:r>
        <w:rPr>
          <w:rFonts w:hint="eastAsia" w:ascii="仿宋" w:hAnsi="仿宋" w:eastAsia="仿宋"/>
          <w:color w:val="auto"/>
          <w:sz w:val="28"/>
          <w:szCs w:val="28"/>
          <w:highlight w:val="none"/>
        </w:rPr>
        <w:t>个工作日向乙方预约到乙方仓库进行</w:t>
      </w:r>
      <w:r>
        <w:rPr>
          <w:rFonts w:hint="eastAsia" w:ascii="仿宋" w:hAnsi="仿宋" w:eastAsia="仿宋"/>
          <w:color w:val="auto"/>
          <w:sz w:val="28"/>
          <w:szCs w:val="28"/>
          <w:highlight w:val="none"/>
          <w:lang w:val="en-US" w:eastAsia="zh-CN"/>
        </w:rPr>
        <w:t>物料</w:t>
      </w:r>
      <w:r>
        <w:rPr>
          <w:rFonts w:hint="eastAsia" w:ascii="仿宋" w:hAnsi="仿宋" w:eastAsia="仿宋"/>
          <w:color w:val="auto"/>
          <w:sz w:val="28"/>
          <w:szCs w:val="28"/>
          <w:highlight w:val="none"/>
        </w:rPr>
        <w:t>检查及盘点</w:t>
      </w:r>
      <w:r>
        <w:rPr>
          <w:rFonts w:hint="eastAsia" w:ascii="仿宋" w:hAnsi="仿宋" w:eastAsia="仿宋"/>
          <w:color w:val="auto"/>
          <w:sz w:val="28"/>
          <w:szCs w:val="28"/>
          <w:highlight w:val="none"/>
          <w:lang w:eastAsia="zh-CN"/>
        </w:rPr>
        <w:t>。</w:t>
      </w:r>
    </w:p>
    <w:p w14:paraId="6010C028">
      <w:pPr>
        <w:widowControl/>
        <w:numPr>
          <w:ilvl w:val="-1"/>
          <w:numId w:val="0"/>
        </w:numPr>
        <w:spacing w:line="41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olor w:val="auto"/>
          <w:sz w:val="28"/>
          <w:szCs w:val="28"/>
          <w:highlight w:val="none"/>
          <w:lang w:val="en-US" w:eastAsia="zh-CN"/>
        </w:rPr>
        <w:t>c.因乙方服务原因造成的甲方损失，甲方有权据实索赔。</w:t>
      </w:r>
    </w:p>
    <w:p w14:paraId="24BD5AA4">
      <w:pPr>
        <w:widowControl/>
        <w:numPr>
          <w:ilvl w:val="-1"/>
          <w:numId w:val="0"/>
        </w:numPr>
        <w:spacing w:line="41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5.1.2甲方义务</w:t>
      </w:r>
    </w:p>
    <w:p w14:paraId="49A771A4">
      <w:pPr>
        <w:widowControl/>
        <w:numPr>
          <w:ilvl w:val="0"/>
          <w:numId w:val="0"/>
        </w:numPr>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a.</w:t>
      </w:r>
      <w:r>
        <w:rPr>
          <w:rFonts w:hint="eastAsia" w:ascii="仿宋" w:hAnsi="仿宋" w:eastAsia="仿宋" w:cs="仿宋"/>
          <w:color w:val="auto"/>
          <w:sz w:val="28"/>
          <w:szCs w:val="28"/>
          <w:highlight w:val="none"/>
          <w:lang w:val="en-US" w:eastAsia="zh-CN"/>
        </w:rPr>
        <w:t>物料</w:t>
      </w:r>
      <w:r>
        <w:rPr>
          <w:rFonts w:hint="eastAsia" w:ascii="仿宋" w:hAnsi="仿宋" w:eastAsia="仿宋" w:cs="仿宋"/>
          <w:color w:val="auto"/>
          <w:sz w:val="28"/>
          <w:szCs w:val="28"/>
          <w:highlight w:val="none"/>
        </w:rPr>
        <w:t>通知</w:t>
      </w:r>
      <w:r>
        <w:rPr>
          <w:rFonts w:hint="eastAsia" w:ascii="仿宋" w:hAnsi="仿宋" w:eastAsia="仿宋" w:cs="仿宋"/>
          <w:color w:val="auto"/>
          <w:sz w:val="28"/>
          <w:szCs w:val="28"/>
          <w:highlight w:val="none"/>
          <w:lang w:eastAsia="zh-CN"/>
        </w:rPr>
        <w:t>：</w:t>
      </w:r>
      <w:r>
        <w:rPr>
          <w:rFonts w:hint="eastAsia" w:ascii="仿宋" w:hAnsi="仿宋" w:eastAsia="仿宋" w:cs="仿宋"/>
          <w:bCs/>
          <w:color w:val="auto"/>
          <w:sz w:val="28"/>
          <w:szCs w:val="28"/>
          <w:highlight w:val="none"/>
        </w:rPr>
        <w:t>甲方应至少</w:t>
      </w:r>
      <w:r>
        <w:rPr>
          <w:rFonts w:hint="eastAsia" w:ascii="仿宋" w:hAnsi="仿宋" w:eastAsia="仿宋" w:cs="仿宋"/>
          <w:color w:val="auto"/>
          <w:spacing w:val="-4"/>
          <w:sz w:val="28"/>
          <w:highlight w:val="none"/>
        </w:rPr>
        <w:t>提前1天将到货数量及到货时间</w:t>
      </w:r>
      <w:r>
        <w:rPr>
          <w:rFonts w:hint="eastAsia" w:ascii="仿宋" w:hAnsi="仿宋" w:eastAsia="仿宋" w:cs="仿宋"/>
          <w:bCs/>
          <w:color w:val="auto"/>
          <w:sz w:val="28"/>
          <w:szCs w:val="28"/>
          <w:highlight w:val="none"/>
        </w:rPr>
        <w:t>告知乙方</w:t>
      </w:r>
      <w:r>
        <w:rPr>
          <w:rFonts w:hint="eastAsia" w:ascii="仿宋" w:hAnsi="仿宋" w:eastAsia="仿宋" w:cs="仿宋"/>
          <w:bCs/>
          <w:color w:val="auto"/>
          <w:sz w:val="28"/>
          <w:szCs w:val="28"/>
          <w:highlight w:val="none"/>
          <w:lang w:val="en-US" w:eastAsia="zh-CN"/>
        </w:rPr>
        <w:t>并</w:t>
      </w:r>
      <w:r>
        <w:rPr>
          <w:rFonts w:hint="eastAsia" w:ascii="仿宋" w:hAnsi="仿宋" w:eastAsia="仿宋" w:cs="仿宋"/>
          <w:color w:val="auto"/>
          <w:sz w:val="28"/>
          <w:szCs w:val="28"/>
          <w:highlight w:val="none"/>
        </w:rPr>
        <w:t>至少提前3天向乙方提供配送信息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含配送物料明细、配送时间、配送地点等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。如有增值服务项，甲方应至少提前1天将服务内容告知乙方。</w:t>
      </w:r>
    </w:p>
    <w:p w14:paraId="4EA86818">
      <w:pPr>
        <w:pStyle w:val="39"/>
        <w:tabs>
          <w:tab w:val="left" w:pos="1376"/>
        </w:tabs>
        <w:spacing w:line="410" w:lineRule="exact"/>
        <w:ind w:left="0"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b.来料装载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甲方应根据乙方要求装载物料、配带托盘、转运器具架等载具</w:t>
      </w:r>
      <w:r>
        <w:rPr>
          <w:rFonts w:hint="eastAsia" w:ascii="仿宋" w:hAnsi="仿宋" w:eastAsia="仿宋" w:cs="仿宋"/>
          <w:color w:val="auto"/>
          <w:sz w:val="28"/>
          <w:szCs w:val="28"/>
          <w:highlight w:val="none"/>
          <w:lang w:val="en-US" w:eastAsia="zh-CN"/>
        </w:rPr>
        <w:t>并提前按需补足，对甲方标准载具合格到货的，乙方需提供卸货服务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非乙方人为操作不当造成的工位器具架损坏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丢失</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需</w:t>
      </w:r>
      <w:r>
        <w:rPr>
          <w:rFonts w:hint="eastAsia" w:ascii="仿宋" w:hAnsi="仿宋" w:eastAsia="仿宋" w:cs="仿宋"/>
          <w:color w:val="auto"/>
          <w:sz w:val="28"/>
          <w:szCs w:val="28"/>
          <w:highlight w:val="none"/>
        </w:rPr>
        <w:t>无偿更换</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修复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补足</w:t>
      </w:r>
      <w:r>
        <w:rPr>
          <w:rFonts w:hint="eastAsia" w:ascii="仿宋" w:hAnsi="仿宋" w:eastAsia="仿宋" w:cs="仿宋"/>
          <w:color w:val="auto"/>
          <w:sz w:val="28"/>
          <w:szCs w:val="28"/>
          <w:highlight w:val="none"/>
        </w:rPr>
        <w:t>。</w:t>
      </w:r>
    </w:p>
    <w:p w14:paraId="00A85D31">
      <w:pPr>
        <w:spacing w:line="41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c.来料包装</w:t>
      </w:r>
      <w:r>
        <w:rPr>
          <w:rFonts w:hint="eastAsia" w:ascii="仿宋" w:hAnsi="仿宋" w:eastAsia="仿宋" w:cs="仿宋"/>
          <w:color w:val="auto"/>
          <w:sz w:val="28"/>
          <w:szCs w:val="28"/>
          <w:highlight w:val="none"/>
          <w:lang w:val="en-US" w:eastAsia="zh-CN"/>
        </w:rPr>
        <w:t>及相关单据</w:t>
      </w:r>
    </w:p>
    <w:p w14:paraId="691BCA94">
      <w:pPr>
        <w:spacing w:line="41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甲方物料交接时应包装完好，</w:t>
      </w:r>
      <w:r>
        <w:rPr>
          <w:rFonts w:hint="eastAsia" w:ascii="仿宋" w:hAnsi="仿宋" w:eastAsia="仿宋" w:cs="仿宋"/>
          <w:color w:val="auto"/>
          <w:sz w:val="28"/>
          <w:szCs w:val="28"/>
          <w:highlight w:val="none"/>
          <w:lang w:val="en-US" w:eastAsia="zh-CN"/>
        </w:rPr>
        <w:t>如出现包装异常（包括但不限于</w:t>
      </w:r>
      <w:r>
        <w:rPr>
          <w:rFonts w:hint="eastAsia" w:ascii="仿宋" w:hAnsi="仿宋" w:eastAsia="仿宋" w:cs="仿宋"/>
          <w:color w:val="auto"/>
          <w:sz w:val="28"/>
          <w:szCs w:val="28"/>
          <w:highlight w:val="none"/>
        </w:rPr>
        <w:t>二次封箱、破损、变形、泄漏等</w:t>
      </w:r>
      <w:r>
        <w:rPr>
          <w:rFonts w:hint="eastAsia" w:ascii="仿宋" w:hAnsi="仿宋" w:eastAsia="仿宋" w:cs="仿宋"/>
          <w:color w:val="auto"/>
          <w:sz w:val="28"/>
          <w:szCs w:val="28"/>
          <w:highlight w:val="none"/>
          <w:lang w:val="en-US" w:eastAsia="zh-CN"/>
        </w:rPr>
        <w:t>），甲方应及时采取补救措施。</w:t>
      </w:r>
    </w:p>
    <w:p w14:paraId="6F2B4AE7">
      <w:pPr>
        <w:spacing w:line="41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甲方到货时应携带相关单据（《徐工生产物料入库单》、《送货清单</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等），并按要求在相应</w:t>
      </w:r>
      <w:r>
        <w:rPr>
          <w:rFonts w:hint="eastAsia" w:ascii="仿宋" w:hAnsi="仿宋" w:eastAsia="仿宋" w:cs="仿宋"/>
          <w:color w:val="auto"/>
          <w:sz w:val="28"/>
          <w:szCs w:val="28"/>
          <w:highlight w:val="none"/>
        </w:rPr>
        <w:t>箱体</w:t>
      </w:r>
      <w:r>
        <w:rPr>
          <w:rFonts w:hint="eastAsia" w:ascii="仿宋" w:hAnsi="仿宋" w:eastAsia="仿宋"/>
          <w:color w:val="auto"/>
          <w:sz w:val="28"/>
          <w:szCs w:val="28"/>
          <w:highlight w:val="none"/>
        </w:rPr>
        <w:t>上粘贴物流标签</w:t>
      </w:r>
      <w:r>
        <w:rPr>
          <w:rFonts w:hint="eastAsia" w:ascii="仿宋" w:hAnsi="仿宋" w:eastAsia="仿宋"/>
          <w:color w:val="auto"/>
          <w:sz w:val="28"/>
          <w:szCs w:val="28"/>
          <w:highlight w:val="none"/>
          <w:lang w:val="en-US" w:eastAsia="zh-CN"/>
        </w:rPr>
        <w:t>并标注物料信息</w:t>
      </w:r>
      <w:r>
        <w:rPr>
          <w:rFonts w:hint="eastAsia" w:ascii="仿宋" w:hAnsi="仿宋" w:eastAsia="仿宋"/>
          <w:color w:val="auto"/>
          <w:sz w:val="28"/>
          <w:szCs w:val="28"/>
          <w:highlight w:val="none"/>
        </w:rPr>
        <w:t>。</w:t>
      </w:r>
    </w:p>
    <w:p w14:paraId="63023D86">
      <w:pPr>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olor w:val="auto"/>
          <w:sz w:val="28"/>
          <w:szCs w:val="28"/>
          <w:highlight w:val="none"/>
          <w:lang w:val="en-US" w:eastAsia="zh-CN"/>
        </w:rPr>
        <w:t>甲方送货时</w:t>
      </w:r>
      <w:r>
        <w:rPr>
          <w:rFonts w:hint="eastAsia" w:ascii="仿宋" w:hAnsi="仿宋" w:eastAsia="仿宋" w:cs="仿宋"/>
          <w:color w:val="auto"/>
          <w:sz w:val="28"/>
          <w:szCs w:val="28"/>
          <w:highlight w:val="none"/>
        </w:rPr>
        <w:t>需按照要求去除相应包装。</w:t>
      </w:r>
    </w:p>
    <w:p w14:paraId="7190CF6B">
      <w:pPr>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d.来料质量及数量</w:t>
      </w:r>
    </w:p>
    <w:p w14:paraId="0B3FF6A2">
      <w:pPr>
        <w:spacing w:line="410" w:lineRule="exact"/>
        <w:ind w:left="0" w:right="0"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bCs/>
          <w:color w:val="auto"/>
          <w:sz w:val="28"/>
          <w:szCs w:val="28"/>
          <w:highlight w:val="none"/>
        </w:rPr>
        <w:t>甲方应交付乙方质量合格的物料</w:t>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rPr>
        <w:t>甲方送货数量应与</w:t>
      </w:r>
      <w:r>
        <w:rPr>
          <w:rFonts w:hint="eastAsia" w:ascii="仿宋" w:hAnsi="仿宋" w:eastAsia="仿宋"/>
          <w:color w:val="auto"/>
          <w:sz w:val="28"/>
          <w:szCs w:val="28"/>
          <w:highlight w:val="none"/>
        </w:rPr>
        <w:t>相关单据</w:t>
      </w:r>
      <w:r>
        <w:rPr>
          <w:rFonts w:hint="eastAsia" w:ascii="仿宋" w:hAnsi="仿宋" w:eastAsia="仿宋"/>
          <w:color w:val="auto"/>
          <w:sz w:val="28"/>
          <w:szCs w:val="28"/>
          <w:highlight w:val="none"/>
          <w:lang w:val="en-US" w:eastAsia="zh-CN"/>
        </w:rPr>
        <w:t>保持</w:t>
      </w:r>
      <w:r>
        <w:rPr>
          <w:rFonts w:hint="eastAsia" w:ascii="仿宋" w:hAnsi="仿宋" w:eastAsia="仿宋" w:cs="仿宋"/>
          <w:color w:val="auto"/>
          <w:sz w:val="28"/>
          <w:szCs w:val="28"/>
          <w:highlight w:val="none"/>
        </w:rPr>
        <w:t>一致</w:t>
      </w:r>
      <w:r>
        <w:rPr>
          <w:rFonts w:hint="eastAsia" w:ascii="仿宋" w:hAnsi="仿宋" w:eastAsia="仿宋" w:cs="仿宋"/>
          <w:color w:val="auto"/>
          <w:sz w:val="28"/>
          <w:szCs w:val="28"/>
          <w:highlight w:val="none"/>
          <w:lang w:eastAsia="zh-CN"/>
        </w:rPr>
        <w:t>。</w:t>
      </w:r>
    </w:p>
    <w:p w14:paraId="604DD9CF">
      <w:pPr>
        <w:widowControl/>
        <w:spacing w:line="41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e.费用支付：</w:t>
      </w:r>
      <w:r>
        <w:rPr>
          <w:rFonts w:hint="eastAsia" w:ascii="仿宋" w:hAnsi="仿宋" w:eastAsia="仿宋" w:cs="仿宋"/>
          <w:color w:val="auto"/>
          <w:sz w:val="28"/>
          <w:szCs w:val="28"/>
          <w:highlight w:val="none"/>
        </w:rPr>
        <w:t>甲方应按照合同约定</w:t>
      </w:r>
      <w:r>
        <w:rPr>
          <w:rFonts w:hint="eastAsia" w:ascii="仿宋" w:hAnsi="仿宋" w:eastAsia="仿宋" w:cs="仿宋"/>
          <w:color w:val="auto"/>
          <w:sz w:val="28"/>
          <w:szCs w:val="28"/>
          <w:highlight w:val="none"/>
          <w:lang w:val="en-US" w:eastAsia="zh-CN"/>
        </w:rPr>
        <w:t>向乙方</w:t>
      </w:r>
      <w:r>
        <w:rPr>
          <w:rFonts w:hint="eastAsia" w:ascii="仿宋" w:hAnsi="仿宋" w:eastAsia="仿宋" w:cs="仿宋"/>
          <w:color w:val="auto"/>
          <w:sz w:val="28"/>
          <w:szCs w:val="28"/>
          <w:highlight w:val="none"/>
        </w:rPr>
        <w:t>支付服务费用。</w:t>
      </w:r>
    </w:p>
    <w:p w14:paraId="3DFD4149">
      <w:pPr>
        <w:widowControl/>
        <w:numPr>
          <w:ilvl w:val="-1"/>
          <w:numId w:val="0"/>
        </w:numPr>
        <w:spacing w:line="41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5.2乙方权利义务</w:t>
      </w:r>
    </w:p>
    <w:p w14:paraId="17B34AC3">
      <w:pPr>
        <w:widowControl/>
        <w:numPr>
          <w:ilvl w:val="-1"/>
          <w:numId w:val="0"/>
        </w:numPr>
        <w:spacing w:line="41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5.2.1乙方权利</w:t>
      </w:r>
    </w:p>
    <w:p w14:paraId="6CFFCB6D">
      <w:pPr>
        <w:pStyle w:val="3"/>
        <w:spacing w:line="41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a.</w:t>
      </w:r>
      <w:r>
        <w:rPr>
          <w:rFonts w:hint="eastAsia" w:ascii="仿宋" w:hAnsi="仿宋" w:eastAsia="仿宋" w:cs="仿宋"/>
          <w:color w:val="auto"/>
          <w:sz w:val="28"/>
          <w:szCs w:val="28"/>
          <w:highlight w:val="none"/>
        </w:rPr>
        <w:t>甲方未按</w:t>
      </w:r>
      <w:r>
        <w:rPr>
          <w:rFonts w:hint="eastAsia" w:ascii="仿宋" w:hAnsi="仿宋" w:eastAsia="仿宋" w:cs="仿宋"/>
          <w:color w:val="auto"/>
          <w:sz w:val="28"/>
          <w:szCs w:val="28"/>
          <w:highlight w:val="none"/>
          <w:lang w:val="en-US" w:eastAsia="zh-CN"/>
        </w:rPr>
        <w:t>合同约定执行</w:t>
      </w:r>
      <w:r>
        <w:rPr>
          <w:rFonts w:hint="eastAsia" w:ascii="仿宋" w:hAnsi="仿宋" w:eastAsia="仿宋" w:cs="仿宋"/>
          <w:color w:val="auto"/>
          <w:sz w:val="28"/>
          <w:szCs w:val="28"/>
          <w:highlight w:val="none"/>
        </w:rPr>
        <w:t>的，乙方有权</w:t>
      </w:r>
      <w:r>
        <w:rPr>
          <w:rFonts w:hint="eastAsia" w:ascii="仿宋" w:hAnsi="仿宋" w:eastAsia="仿宋" w:cs="仿宋"/>
          <w:color w:val="auto"/>
          <w:sz w:val="28"/>
          <w:szCs w:val="28"/>
          <w:highlight w:val="none"/>
          <w:lang w:val="en-US" w:eastAsia="zh-CN"/>
        </w:rPr>
        <w:t>拒绝提供服务</w:t>
      </w:r>
      <w:r>
        <w:rPr>
          <w:rFonts w:hint="eastAsia" w:ascii="仿宋" w:hAnsi="仿宋" w:eastAsia="仿宋" w:cs="仿宋"/>
          <w:color w:val="auto"/>
          <w:sz w:val="28"/>
          <w:szCs w:val="28"/>
          <w:highlight w:val="none"/>
        </w:rPr>
        <w:t>。</w:t>
      </w:r>
    </w:p>
    <w:p w14:paraId="2CEFC03F">
      <w:pPr>
        <w:widowControl/>
        <w:numPr>
          <w:ilvl w:val="0"/>
          <w:numId w:val="0"/>
        </w:numPr>
        <w:spacing w:line="41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b.乙方有权要求甲方按时支付服务费用。</w:t>
      </w:r>
    </w:p>
    <w:p w14:paraId="4BD48C70">
      <w:pPr>
        <w:widowControl/>
        <w:numPr>
          <w:ilvl w:val="0"/>
          <w:numId w:val="0"/>
        </w:numPr>
        <w:spacing w:line="41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5.2.2乙方义务</w:t>
      </w:r>
    </w:p>
    <w:p w14:paraId="0AE23CB7">
      <w:pPr>
        <w:widowControl/>
        <w:numPr>
          <w:ilvl w:val="-1"/>
          <w:numId w:val="0"/>
        </w:numPr>
        <w:spacing w:line="41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a.乙方应为甲方提供安全、整洁的仓储环境并提供配套的仓储管理服务。</w:t>
      </w:r>
    </w:p>
    <w:p w14:paraId="3108648B">
      <w:pPr>
        <w:widowControl/>
        <w:numPr>
          <w:ilvl w:val="-1"/>
          <w:numId w:val="0"/>
        </w:numPr>
        <w:spacing w:line="41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b.乙方应为甲方提供安全、及时的配送、增值等服务。</w:t>
      </w:r>
    </w:p>
    <w:p w14:paraId="179A4920">
      <w:pPr>
        <w:widowControl/>
        <w:numPr>
          <w:ilvl w:val="-1"/>
          <w:numId w:val="0"/>
        </w:numPr>
        <w:spacing w:line="41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olor w:val="auto"/>
          <w:sz w:val="28"/>
          <w:szCs w:val="28"/>
          <w:highlight w:val="none"/>
          <w:lang w:val="en-US" w:eastAsia="zh-CN"/>
        </w:rPr>
        <w:t>c.</w:t>
      </w:r>
      <w:r>
        <w:rPr>
          <w:rFonts w:hint="eastAsia" w:ascii="仿宋" w:hAnsi="仿宋" w:eastAsia="仿宋" w:cs="仿宋"/>
          <w:color w:val="auto"/>
          <w:sz w:val="28"/>
          <w:szCs w:val="28"/>
          <w:highlight w:val="none"/>
          <w:lang w:val="en-US" w:eastAsia="zh-CN"/>
        </w:rPr>
        <w:t>乙方应为甲方提供简单外观质量问题的处理服务。</w:t>
      </w:r>
    </w:p>
    <w:p w14:paraId="3F4B8724">
      <w:pPr>
        <w:widowControl/>
        <w:numPr>
          <w:ilvl w:val="-1"/>
          <w:numId w:val="0"/>
        </w:numPr>
        <w:spacing w:line="41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d.乙方应积极响应甲方对服务质量的合理整改要求。</w:t>
      </w:r>
    </w:p>
    <w:p w14:paraId="2A08DF5C">
      <w:pPr>
        <w:widowControl/>
        <w:numPr>
          <w:ilvl w:val="0"/>
          <w:numId w:val="0"/>
        </w:numPr>
        <w:spacing w:line="410" w:lineRule="exact"/>
        <w:ind w:firstLine="560" w:firstLineChars="200"/>
        <w:rPr>
          <w:rFonts w:hint="eastAsia" w:ascii="仿宋" w:hAnsi="仿宋" w:eastAsia="仿宋" w:cs="仿宋"/>
          <w:color w:val="auto"/>
          <w:sz w:val="28"/>
          <w:szCs w:val="28"/>
          <w:highlight w:val="none"/>
          <w:lang w:val="en-US" w:eastAsia="zh-CN"/>
        </w:rPr>
      </w:pPr>
    </w:p>
    <w:p w14:paraId="7552D5BD">
      <w:pPr>
        <w:numPr>
          <w:ilvl w:val="-1"/>
          <w:numId w:val="0"/>
        </w:numPr>
        <w:spacing w:line="410" w:lineRule="exact"/>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6、</w:t>
      </w:r>
      <w:r>
        <w:rPr>
          <w:rFonts w:hint="eastAsia" w:ascii="仿宋" w:hAnsi="仿宋" w:eastAsia="仿宋"/>
          <w:b/>
          <w:color w:val="auto"/>
          <w:sz w:val="28"/>
          <w:szCs w:val="28"/>
          <w:highlight w:val="none"/>
        </w:rPr>
        <w:t>结算及付款方式</w:t>
      </w:r>
    </w:p>
    <w:p w14:paraId="45B8CC65">
      <w:pPr>
        <w:numPr>
          <w:ilvl w:val="255"/>
          <w:numId w:val="0"/>
        </w:numPr>
        <w:spacing w:line="41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 xml:space="preserve">    </w:t>
      </w:r>
      <w:r>
        <w:rPr>
          <w:rFonts w:hint="eastAsia" w:ascii="仿宋" w:hAnsi="仿宋" w:eastAsia="仿宋"/>
          <w:b/>
          <w:color w:val="auto"/>
          <w:sz w:val="28"/>
          <w:szCs w:val="28"/>
          <w:highlight w:val="none"/>
          <w:lang w:val="en-US" w:eastAsia="zh-CN"/>
        </w:rPr>
        <w:t>6</w:t>
      </w:r>
      <w:r>
        <w:rPr>
          <w:rFonts w:hint="eastAsia" w:ascii="仿宋" w:hAnsi="仿宋" w:eastAsia="仿宋"/>
          <w:b/>
          <w:color w:val="auto"/>
          <w:sz w:val="28"/>
          <w:szCs w:val="28"/>
          <w:highlight w:val="none"/>
        </w:rPr>
        <w:t>.1结算方式</w:t>
      </w:r>
    </w:p>
    <w:p w14:paraId="604F602C">
      <w:pPr>
        <w:spacing w:line="41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.1.1甲方承担的物流服务费用结算周期为：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3个月</w:t>
      </w:r>
      <w:r>
        <w:rPr>
          <w:rFonts w:hint="eastAsia" w:ascii="仿宋" w:hAnsi="仿宋" w:eastAsia="仿宋"/>
          <w:sz w:val="28"/>
          <w:szCs w:val="28"/>
          <w:highlight w:val="none"/>
          <w:u w:val="single"/>
        </w:rPr>
        <w:t xml:space="preserve">  </w:t>
      </w:r>
      <w:r>
        <w:rPr>
          <w:rFonts w:hint="eastAsia" w:ascii="仿宋" w:hAnsi="仿宋" w:eastAsia="仿宋"/>
          <w:color w:val="auto"/>
          <w:sz w:val="28"/>
          <w:szCs w:val="28"/>
          <w:highlight w:val="none"/>
        </w:rPr>
        <w:t>。</w:t>
      </w:r>
    </w:p>
    <w:p w14:paraId="7F33A58F">
      <w:pPr>
        <w:spacing w:line="41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.1.2乙方将在结算周期届满的次月将上一结算周期的结算清单（包括服务费用清单及汇总和相关的文件、单证等）交给甲方。</w:t>
      </w:r>
    </w:p>
    <w:p w14:paraId="05F410ED">
      <w:pPr>
        <w:spacing w:line="41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.1.</w:t>
      </w:r>
      <w:r>
        <w:rPr>
          <w:rFonts w:ascii="仿宋" w:hAnsi="仿宋" w:eastAsia="仿宋"/>
          <w:color w:val="auto"/>
          <w:sz w:val="28"/>
          <w:szCs w:val="28"/>
          <w:highlight w:val="none"/>
        </w:rPr>
        <w:t>3</w:t>
      </w:r>
      <w:r>
        <w:rPr>
          <w:rFonts w:hint="eastAsia" w:ascii="仿宋" w:hAnsi="仿宋" w:eastAsia="仿宋"/>
          <w:color w:val="auto"/>
          <w:sz w:val="28"/>
          <w:szCs w:val="28"/>
          <w:highlight w:val="none"/>
        </w:rPr>
        <w:t>甲方在收到乙方的结算清单后</w:t>
      </w:r>
      <w:r>
        <w:rPr>
          <w:rFonts w:hint="eastAsia" w:ascii="仿宋" w:hAnsi="仿宋" w:eastAsia="仿宋"/>
          <w:color w:val="auto"/>
          <w:sz w:val="28"/>
          <w:szCs w:val="28"/>
          <w:highlight w:val="none"/>
          <w:u w:val="single"/>
          <w:lang w:val="en-US" w:eastAsia="zh-CN"/>
        </w:rPr>
        <w:t xml:space="preserve">  5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日内应予以</w:t>
      </w:r>
      <w:r>
        <w:rPr>
          <w:rFonts w:hint="eastAsia" w:ascii="仿宋" w:hAnsi="仿宋" w:eastAsia="仿宋"/>
          <w:color w:val="auto"/>
          <w:sz w:val="28"/>
          <w:szCs w:val="28"/>
          <w:highlight w:val="none"/>
          <w:lang w:val="en-US" w:eastAsia="zh-CN"/>
        </w:rPr>
        <w:t>签章</w:t>
      </w:r>
      <w:r>
        <w:rPr>
          <w:rFonts w:hint="eastAsia" w:ascii="仿宋" w:hAnsi="仿宋" w:eastAsia="仿宋"/>
          <w:color w:val="auto"/>
          <w:sz w:val="28"/>
          <w:szCs w:val="28"/>
          <w:highlight w:val="none"/>
        </w:rPr>
        <w:t>确认并将原件返回乙方。在此期间甲方如有异议可以向乙方以书面方式提出并要求共同复核，逾期视为认可。</w:t>
      </w:r>
      <w:r>
        <w:rPr>
          <w:rFonts w:hint="eastAsia" w:ascii="仿宋" w:hAnsi="仿宋" w:eastAsia="仿宋" w:cs="仿宋"/>
          <w:color w:val="auto"/>
          <w:sz w:val="28"/>
          <w:szCs w:val="28"/>
          <w:highlight w:val="none"/>
        </w:rPr>
        <w:t>如甲方未按上述约定确认结算单、提出结算单异议、返回结算单，乙方</w:t>
      </w:r>
      <w:r>
        <w:rPr>
          <w:rFonts w:ascii="仿宋" w:hAnsi="仿宋" w:eastAsia="仿宋" w:cs="仿宋"/>
          <w:color w:val="auto"/>
          <w:sz w:val="28"/>
          <w:szCs w:val="28"/>
          <w:highlight w:val="none"/>
        </w:rPr>
        <w:t>有权停止服务</w:t>
      </w:r>
      <w:r>
        <w:rPr>
          <w:rFonts w:hint="eastAsia" w:ascii="仿宋" w:hAnsi="仿宋" w:eastAsia="仿宋" w:cs="仿宋"/>
          <w:color w:val="auto"/>
          <w:sz w:val="28"/>
          <w:szCs w:val="28"/>
          <w:highlight w:val="none"/>
        </w:rPr>
        <w:t>。</w:t>
      </w:r>
    </w:p>
    <w:p w14:paraId="363C1372">
      <w:pPr>
        <w:spacing w:line="410" w:lineRule="exact"/>
        <w:ind w:firstLine="562"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.2付款方式：</w:t>
      </w:r>
      <w:r>
        <w:rPr>
          <w:rFonts w:hint="eastAsia" w:ascii="仿宋" w:hAnsi="仿宋" w:eastAsia="仿宋" w:cs="仿宋"/>
          <w:color w:val="auto"/>
          <w:sz w:val="28"/>
          <w:szCs w:val="28"/>
          <w:highlight w:val="none"/>
          <w:lang w:val="en-US" w:eastAsia="zh-CN"/>
        </w:rPr>
        <w:t>甲乙双方优选付款方式二，但是在付款方式二无法实现付款目的的情况下（包括但不限于徐工汽车拒绝付款、自甲乙双方对账完成之日起超过15日（含15日）仍未取得三方转账资料等），双方一致同意立即转为付款方式一。</w:t>
      </w:r>
    </w:p>
    <w:p w14:paraId="6213ACD5">
      <w:pPr>
        <w:spacing w:line="41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6.2.1</w:t>
      </w:r>
      <w:r>
        <w:rPr>
          <w:rFonts w:hint="eastAsia" w:ascii="仿宋" w:hAnsi="仿宋" w:eastAsia="仿宋" w:cs="仿宋"/>
          <w:color w:val="auto"/>
          <w:sz w:val="28"/>
          <w:szCs w:val="28"/>
          <w:highlight w:val="none"/>
          <w:lang w:val="en-US" w:eastAsia="zh-CN"/>
        </w:rPr>
        <w:t>付款方式一：电汇。</w:t>
      </w:r>
    </w:p>
    <w:p w14:paraId="4C81F4CC">
      <w:pPr>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如甲方已确认结算清单并回传，乙方根据双方确定金额开具正规合法发票给甲方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甲方收到发票后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5  </w:t>
      </w:r>
      <w:r>
        <w:rPr>
          <w:rFonts w:hint="eastAsia" w:ascii="仿宋" w:hAnsi="仿宋" w:eastAsia="仿宋" w:cs="仿宋"/>
          <w:color w:val="auto"/>
          <w:sz w:val="28"/>
          <w:szCs w:val="28"/>
          <w:highlight w:val="none"/>
        </w:rPr>
        <w:t>日内按</w:t>
      </w:r>
      <w:r>
        <w:rPr>
          <w:rFonts w:hint="eastAsia" w:ascii="仿宋" w:hAnsi="仿宋" w:eastAsia="仿宋" w:cs="仿宋"/>
          <w:color w:val="auto"/>
          <w:sz w:val="28"/>
          <w:szCs w:val="28"/>
          <w:highlight w:val="none"/>
          <w:lang w:val="en-US" w:eastAsia="zh-CN"/>
        </w:rPr>
        <w:t>发票</w:t>
      </w:r>
      <w:r>
        <w:rPr>
          <w:rFonts w:hint="eastAsia" w:ascii="仿宋" w:hAnsi="仿宋" w:eastAsia="仿宋" w:cs="仿宋"/>
          <w:color w:val="auto"/>
          <w:sz w:val="28"/>
          <w:szCs w:val="28"/>
          <w:highlight w:val="none"/>
        </w:rPr>
        <w:t>金额直接向乙方支付全部款项。</w:t>
      </w:r>
    </w:p>
    <w:p w14:paraId="0FFE0087">
      <w:pPr>
        <w:spacing w:line="41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如甲方未按上述约定确认结算单、提出结算单异议、返回结算单，则应在乙方提供结算清单之日起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20</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日内按照结算清单金额直接向乙方</w:t>
      </w:r>
      <w:r>
        <w:rPr>
          <w:rFonts w:hint="eastAsia" w:ascii="仿宋" w:hAnsi="仿宋" w:eastAsia="仿宋" w:cs="仿宋"/>
          <w:color w:val="auto"/>
          <w:sz w:val="28"/>
          <w:szCs w:val="28"/>
          <w:highlight w:val="none"/>
          <w:lang w:val="en-US" w:eastAsia="zh-CN"/>
        </w:rPr>
        <w:t>电汇</w:t>
      </w:r>
      <w:r>
        <w:rPr>
          <w:rFonts w:hint="eastAsia" w:ascii="仿宋" w:hAnsi="仿宋" w:eastAsia="仿宋" w:cs="仿宋"/>
          <w:color w:val="auto"/>
          <w:sz w:val="28"/>
          <w:szCs w:val="28"/>
          <w:highlight w:val="none"/>
        </w:rPr>
        <w:t>支付全部款项。</w:t>
      </w:r>
    </w:p>
    <w:p w14:paraId="400C2CB2">
      <w:pPr>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6.2.</w:t>
      </w:r>
      <w:r>
        <w:rPr>
          <w:rFonts w:hint="eastAsia" w:ascii="仿宋" w:hAnsi="仿宋" w:eastAsia="仿宋" w:cs="仿宋"/>
          <w:color w:val="auto"/>
          <w:sz w:val="28"/>
          <w:szCs w:val="28"/>
          <w:highlight w:val="none"/>
        </w:rPr>
        <w:t>2 付款方式二：三方转账。</w:t>
      </w:r>
    </w:p>
    <w:p w14:paraId="1789BEB7">
      <w:pPr>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在徐州徐工汽车制造有限公司（以下简称徐工汽车）同意的前提下，甲方在收到</w:t>
      </w:r>
      <w:bookmarkStart w:id="0" w:name="_Hlk130202197"/>
      <w:r>
        <w:rPr>
          <w:rFonts w:hint="eastAsia" w:ascii="仿宋" w:hAnsi="仿宋" w:eastAsia="仿宋"/>
          <w:color w:val="auto"/>
          <w:sz w:val="28"/>
          <w:szCs w:val="28"/>
          <w:highlight w:val="none"/>
        </w:rPr>
        <w:t>《</w:t>
      </w:r>
      <w:r>
        <w:rPr>
          <w:rFonts w:hint="eastAsia" w:ascii="仿宋" w:hAnsi="仿宋" w:eastAsia="仿宋" w:cs="仿宋"/>
          <w:color w:val="auto"/>
          <w:sz w:val="28"/>
          <w:szCs w:val="28"/>
          <w:highlight w:val="none"/>
        </w:rPr>
        <w:t>物流费用双方确认单</w:t>
      </w:r>
      <w:r>
        <w:rPr>
          <w:rFonts w:hint="eastAsia" w:ascii="仿宋" w:hAnsi="仿宋" w:eastAsia="仿宋"/>
          <w:color w:val="auto"/>
          <w:sz w:val="28"/>
          <w:szCs w:val="28"/>
          <w:highlight w:val="none"/>
        </w:rPr>
        <w:t>》</w:t>
      </w:r>
      <w:bookmarkEnd w:id="0"/>
      <w:r>
        <w:rPr>
          <w:rFonts w:hint="eastAsia" w:ascii="仿宋" w:hAnsi="仿宋" w:eastAsia="仿宋"/>
          <w:color w:val="auto"/>
          <w:sz w:val="28"/>
          <w:szCs w:val="28"/>
          <w:highlight w:val="none"/>
        </w:rPr>
        <w:t>及《转款委托书》</w:t>
      </w:r>
      <w:r>
        <w:rPr>
          <w:rFonts w:hint="eastAsia" w:ascii="仿宋" w:hAnsi="仿宋" w:eastAsia="仿宋" w:cs="仿宋"/>
          <w:color w:val="auto"/>
          <w:sz w:val="28"/>
          <w:szCs w:val="28"/>
          <w:highlight w:val="none"/>
        </w:rPr>
        <w:t>后</w:t>
      </w:r>
      <w:r>
        <w:rPr>
          <w:rFonts w:ascii="仿宋" w:hAnsi="仿宋" w:eastAsia="仿宋" w:cs="仿宋"/>
          <w:color w:val="auto"/>
          <w:sz w:val="28"/>
          <w:szCs w:val="28"/>
          <w:highlight w:val="none"/>
        </w:rPr>
        <w:t>5</w:t>
      </w:r>
      <w:r>
        <w:rPr>
          <w:rFonts w:hint="eastAsia" w:ascii="仿宋" w:hAnsi="仿宋" w:eastAsia="仿宋" w:cs="仿宋"/>
          <w:color w:val="auto"/>
          <w:sz w:val="28"/>
          <w:szCs w:val="28"/>
          <w:highlight w:val="none"/>
        </w:rPr>
        <w:t>个工作日内将</w:t>
      </w:r>
      <w:r>
        <w:rPr>
          <w:rFonts w:hint="eastAsia" w:ascii="仿宋" w:hAnsi="仿宋" w:eastAsia="仿宋"/>
          <w:color w:val="auto"/>
          <w:sz w:val="28"/>
          <w:szCs w:val="28"/>
          <w:highlight w:val="none"/>
        </w:rPr>
        <w:t>签章的《</w:t>
      </w:r>
      <w:r>
        <w:rPr>
          <w:rFonts w:hint="eastAsia" w:ascii="仿宋" w:hAnsi="仿宋" w:eastAsia="仿宋" w:cs="仿宋"/>
          <w:color w:val="auto"/>
          <w:sz w:val="28"/>
          <w:szCs w:val="28"/>
          <w:highlight w:val="none"/>
        </w:rPr>
        <w:t>物流费用双方确认单</w:t>
      </w:r>
      <w:r>
        <w:rPr>
          <w:rFonts w:hint="eastAsia" w:ascii="仿宋" w:hAnsi="仿宋" w:eastAsia="仿宋"/>
          <w:color w:val="auto"/>
          <w:sz w:val="28"/>
          <w:szCs w:val="28"/>
          <w:highlight w:val="none"/>
        </w:rPr>
        <w:t>》及《转款委托书》返至乙方，乙方在收到签章的《</w:t>
      </w:r>
      <w:r>
        <w:rPr>
          <w:rFonts w:hint="eastAsia" w:ascii="仿宋" w:hAnsi="仿宋" w:eastAsia="仿宋" w:cs="仿宋"/>
          <w:color w:val="auto"/>
          <w:sz w:val="28"/>
          <w:szCs w:val="28"/>
          <w:highlight w:val="none"/>
        </w:rPr>
        <w:t>物流费用双方确认单</w:t>
      </w:r>
      <w:r>
        <w:rPr>
          <w:rFonts w:hint="eastAsia" w:ascii="仿宋" w:hAnsi="仿宋" w:eastAsia="仿宋"/>
          <w:color w:val="auto"/>
          <w:sz w:val="28"/>
          <w:szCs w:val="28"/>
          <w:highlight w:val="none"/>
        </w:rPr>
        <w:t>》及《转款委托书》后办理三方转账，</w:t>
      </w:r>
      <w:r>
        <w:rPr>
          <w:rFonts w:hint="eastAsia" w:ascii="仿宋" w:hAnsi="仿宋" w:eastAsia="仿宋" w:cs="仿宋"/>
          <w:b/>
          <w:bCs/>
          <w:color w:val="auto"/>
          <w:sz w:val="28"/>
          <w:szCs w:val="28"/>
          <w:highlight w:val="none"/>
        </w:rPr>
        <w:t>如甲方逾期返回签章清单纸质原件至乙方超</w:t>
      </w:r>
      <w:r>
        <w:rPr>
          <w:rFonts w:ascii="仿宋" w:hAnsi="仿宋" w:eastAsia="仿宋" w:cs="仿宋"/>
          <w:b/>
          <w:bCs/>
          <w:color w:val="auto"/>
          <w:sz w:val="28"/>
          <w:szCs w:val="28"/>
          <w:highlight w:val="none"/>
        </w:rPr>
        <w:t>30</w:t>
      </w:r>
      <w:r>
        <w:rPr>
          <w:rFonts w:hint="eastAsia" w:ascii="仿宋" w:hAnsi="仿宋" w:eastAsia="仿宋" w:cs="仿宋"/>
          <w:b/>
          <w:bCs/>
          <w:color w:val="auto"/>
          <w:sz w:val="28"/>
          <w:szCs w:val="28"/>
          <w:highlight w:val="none"/>
        </w:rPr>
        <w:t>日（含）的或甲方提交相关材料后，徐工汽车又拒绝三方转账的则付款方式自动转为两方电汇，即甲方在逾期返回签章纸质原件超</w:t>
      </w:r>
      <w:r>
        <w:rPr>
          <w:rFonts w:ascii="仿宋" w:hAnsi="仿宋" w:eastAsia="仿宋" w:cs="仿宋"/>
          <w:b/>
          <w:bCs/>
          <w:color w:val="auto"/>
          <w:sz w:val="28"/>
          <w:szCs w:val="28"/>
          <w:highlight w:val="none"/>
        </w:rPr>
        <w:t>30</w:t>
      </w:r>
      <w:r>
        <w:rPr>
          <w:rFonts w:hint="eastAsia" w:ascii="仿宋" w:hAnsi="仿宋" w:eastAsia="仿宋" w:cs="仿宋"/>
          <w:b/>
          <w:bCs/>
          <w:color w:val="auto"/>
          <w:sz w:val="28"/>
          <w:szCs w:val="28"/>
          <w:highlight w:val="none"/>
        </w:rPr>
        <w:t>日或徐工汽车拒绝三方转账的次日起计算5个工作日内将其结算金额电汇至乙方账户,并通知乙方查询</w:t>
      </w:r>
      <w:r>
        <w:rPr>
          <w:rFonts w:hint="eastAsia" w:ascii="仿宋" w:hAnsi="仿宋" w:eastAsia="仿宋" w:cs="仿宋"/>
          <w:color w:val="auto"/>
          <w:sz w:val="28"/>
          <w:szCs w:val="28"/>
          <w:highlight w:val="none"/>
        </w:rPr>
        <w:t>。</w:t>
      </w:r>
    </w:p>
    <w:p w14:paraId="7B0380D0">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乙方账户信息：</w:t>
      </w:r>
    </w:p>
    <w:p w14:paraId="14A16AB8">
      <w:pPr>
        <w:widowControl/>
        <w:spacing w:line="41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名称：中物流（徐州）物流有限公司</w:t>
      </w:r>
    </w:p>
    <w:p w14:paraId="002AD8A1">
      <w:pPr>
        <w:widowControl/>
        <w:spacing w:line="41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sz w:val="28"/>
          <w:szCs w:val="28"/>
        </w:rPr>
        <w:t>开户行：江苏银行股份有限公司徐州经济开发区支行</w:t>
      </w:r>
    </w:p>
    <w:p w14:paraId="55F392B0">
      <w:pPr>
        <w:widowControl/>
        <w:spacing w:line="41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w:t>
      </w:r>
      <w:r>
        <w:rPr>
          <w:rFonts w:hint="eastAsia" w:ascii="仿宋" w:hAnsi="仿宋" w:eastAsia="仿宋" w:cs="仿宋"/>
          <w:sz w:val="28"/>
          <w:szCs w:val="28"/>
        </w:rPr>
        <w:t>60110188000225892</w:t>
      </w:r>
    </w:p>
    <w:p w14:paraId="01311E29">
      <w:pPr>
        <w:widowControl/>
        <w:spacing w:line="41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税务登记号：</w:t>
      </w:r>
      <w:r>
        <w:rPr>
          <w:rFonts w:hint="eastAsia" w:ascii="仿宋" w:hAnsi="仿宋" w:eastAsia="仿宋" w:cs="仿宋"/>
          <w:sz w:val="28"/>
          <w:szCs w:val="28"/>
        </w:rPr>
        <w:t>91320301MA25GAQ056</w:t>
      </w:r>
    </w:p>
    <w:p w14:paraId="36A0CC37">
      <w:pPr>
        <w:autoSpaceDE w:val="0"/>
        <w:autoSpaceDN w:val="0"/>
        <w:spacing w:line="410" w:lineRule="exact"/>
        <w:ind w:firstLine="0" w:firstLineChars="0"/>
        <w:rPr>
          <w:rFonts w:ascii="仿宋" w:hAnsi="仿宋" w:eastAsia="仿宋"/>
          <w:color w:val="auto"/>
          <w:sz w:val="28"/>
          <w:szCs w:val="28"/>
          <w:highlight w:val="none"/>
        </w:rPr>
      </w:pPr>
    </w:p>
    <w:p w14:paraId="4D2EF452">
      <w:pPr>
        <w:numPr>
          <w:ilvl w:val="-1"/>
          <w:numId w:val="0"/>
        </w:numPr>
        <w:spacing w:line="41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7、违约责任</w:t>
      </w:r>
    </w:p>
    <w:p w14:paraId="11E24970">
      <w:pPr>
        <w:spacing w:line="410" w:lineRule="exact"/>
        <w:ind w:firstLine="562" w:firstLineChars="20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7.1甲方违约责任</w:t>
      </w:r>
    </w:p>
    <w:p w14:paraId="2B8A5171">
      <w:pPr>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7.1.1甲方逾期付款的，</w:t>
      </w:r>
      <w:r>
        <w:rPr>
          <w:rFonts w:hint="eastAsia" w:ascii="仿宋" w:hAnsi="仿宋" w:eastAsia="仿宋" w:cs="仿宋"/>
          <w:color w:val="auto"/>
          <w:sz w:val="28"/>
          <w:szCs w:val="28"/>
          <w:highlight w:val="none"/>
        </w:rPr>
        <w:t>每逾期一天按照逾期金额的日万分之五承担违约金。如甲方逾期支付超30日（含）的，乙方有权停止服务并留置甲方物品且无需另行通知甲方。乙方有权对留置的甲方物品拍卖、变卖，并对拍卖、变卖的价款享有优先受偿权，拍卖、变卖所需费用由甲方承担。</w:t>
      </w:r>
    </w:p>
    <w:p w14:paraId="5CB19E33">
      <w:pPr>
        <w:spacing w:line="41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7.1.2</w:t>
      </w:r>
      <w:r>
        <w:rPr>
          <w:rFonts w:hint="eastAsia" w:ascii="仿宋" w:hAnsi="仿宋" w:eastAsia="仿宋" w:cs="仿宋"/>
          <w:color w:val="auto"/>
          <w:sz w:val="28"/>
          <w:szCs w:val="28"/>
          <w:highlight w:val="none"/>
        </w:rPr>
        <w:t>因甲方原因（包括但不限于质量问题、数量问题、</w:t>
      </w:r>
      <w:r>
        <w:rPr>
          <w:rFonts w:hint="eastAsia" w:ascii="仿宋" w:hAnsi="仿宋" w:eastAsia="仿宋" w:cs="仿宋"/>
          <w:color w:val="auto"/>
          <w:sz w:val="28"/>
          <w:szCs w:val="28"/>
          <w:highlight w:val="none"/>
          <w:lang w:val="en-US" w:eastAsia="zh-CN"/>
        </w:rPr>
        <w:t>包装问题、</w:t>
      </w:r>
      <w:r>
        <w:rPr>
          <w:rFonts w:hint="eastAsia" w:ascii="仿宋" w:hAnsi="仿宋" w:eastAsia="仿宋" w:cs="仿宋"/>
          <w:color w:val="auto"/>
          <w:sz w:val="28"/>
          <w:szCs w:val="28"/>
          <w:highlight w:val="none"/>
        </w:rPr>
        <w:t>未及时下达送货指令</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器具不足</w:t>
      </w:r>
      <w:r>
        <w:rPr>
          <w:rFonts w:hint="eastAsia" w:ascii="仿宋" w:hAnsi="仿宋" w:eastAsia="仿宋" w:cs="仿宋"/>
          <w:color w:val="auto"/>
          <w:sz w:val="28"/>
          <w:szCs w:val="28"/>
          <w:highlight w:val="none"/>
        </w:rPr>
        <w:t>等）导致乙方无法</w:t>
      </w:r>
      <w:r>
        <w:rPr>
          <w:rFonts w:hint="eastAsia" w:ascii="仿宋" w:hAnsi="仿宋" w:eastAsia="仿宋" w:cs="仿宋"/>
          <w:color w:val="auto"/>
          <w:sz w:val="28"/>
          <w:szCs w:val="28"/>
          <w:highlight w:val="none"/>
          <w:lang w:val="en-US" w:eastAsia="zh-CN"/>
        </w:rPr>
        <w:t>及时</w:t>
      </w:r>
      <w:r>
        <w:rPr>
          <w:rFonts w:hint="eastAsia" w:ascii="仿宋" w:hAnsi="仿宋" w:eastAsia="仿宋" w:cs="仿宋"/>
          <w:color w:val="auto"/>
          <w:sz w:val="28"/>
          <w:szCs w:val="28"/>
          <w:highlight w:val="none"/>
        </w:rPr>
        <w:t>提供服务的，由此产生的各项费用和风险等均由甲方承担。</w:t>
      </w:r>
      <w:r>
        <w:rPr>
          <w:rFonts w:hint="eastAsia" w:ascii="仿宋" w:hAnsi="仿宋" w:eastAsia="仿宋" w:cs="仿宋"/>
          <w:color w:val="auto"/>
          <w:sz w:val="28"/>
          <w:szCs w:val="28"/>
          <w:highlight w:val="none"/>
          <w:lang w:val="en-US" w:eastAsia="zh-CN"/>
        </w:rPr>
        <w:t xml:space="preserve">  </w:t>
      </w:r>
    </w:p>
    <w:p w14:paraId="73BF4B7A">
      <w:pPr>
        <w:spacing w:line="410" w:lineRule="exact"/>
        <w:ind w:firstLine="562" w:firstLineChars="200"/>
        <w:rPr>
          <w:rFonts w:hint="default"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7.2乙方违约责任</w:t>
      </w:r>
    </w:p>
    <w:p w14:paraId="33B52C06">
      <w:pPr>
        <w:spacing w:line="41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若因乙方过错导致</w:t>
      </w:r>
      <w:r>
        <w:rPr>
          <w:rFonts w:hint="eastAsia" w:ascii="仿宋" w:hAnsi="仿宋" w:eastAsia="仿宋"/>
          <w:color w:val="auto"/>
          <w:sz w:val="28"/>
          <w:szCs w:val="28"/>
          <w:highlight w:val="none"/>
          <w:lang w:val="en-US" w:eastAsia="zh-CN"/>
        </w:rPr>
        <w:t>仓储、配送等服务</w:t>
      </w:r>
      <w:r>
        <w:rPr>
          <w:rFonts w:hint="eastAsia" w:ascii="仿宋" w:hAnsi="仿宋" w:eastAsia="仿宋"/>
          <w:color w:val="auto"/>
          <w:sz w:val="28"/>
          <w:szCs w:val="28"/>
          <w:highlight w:val="none"/>
        </w:rPr>
        <w:t>过程中物料的损毁或丢失，由乙方承担相应的赔偿责任</w:t>
      </w:r>
      <w:r>
        <w:rPr>
          <w:rFonts w:hint="eastAsia" w:ascii="仿宋" w:hAnsi="仿宋" w:eastAsia="仿宋"/>
          <w:color w:val="auto"/>
          <w:sz w:val="28"/>
          <w:szCs w:val="28"/>
          <w:highlight w:val="none"/>
          <w:lang w:eastAsia="zh-CN"/>
        </w:rPr>
        <w:t>，</w:t>
      </w:r>
      <w:r>
        <w:rPr>
          <w:rFonts w:hint="eastAsia" w:ascii="仿宋" w:hAnsi="仿宋" w:eastAsia="仿宋" w:cs="仿宋"/>
          <w:color w:val="auto"/>
          <w:sz w:val="28"/>
          <w:szCs w:val="28"/>
          <w:highlight w:val="none"/>
        </w:rPr>
        <w:t>赔偿</w:t>
      </w:r>
      <w:r>
        <w:rPr>
          <w:rFonts w:hint="eastAsia" w:ascii="仿宋" w:hAnsi="仿宋" w:eastAsia="仿宋" w:cs="仿宋"/>
          <w:color w:val="auto"/>
          <w:sz w:val="28"/>
          <w:szCs w:val="28"/>
          <w:highlight w:val="none"/>
          <w:lang w:val="en-US" w:eastAsia="zh-CN"/>
        </w:rPr>
        <w:t>金额不高于甲方出售至主机厂的售</w:t>
      </w:r>
      <w:r>
        <w:rPr>
          <w:rFonts w:hint="eastAsia" w:ascii="仿宋" w:hAnsi="仿宋" w:eastAsia="仿宋" w:cs="仿宋"/>
          <w:color w:val="auto"/>
          <w:sz w:val="28"/>
          <w:szCs w:val="28"/>
          <w:highlight w:val="none"/>
        </w:rPr>
        <w:t>价</w:t>
      </w:r>
      <w:r>
        <w:rPr>
          <w:rFonts w:hint="eastAsia" w:ascii="仿宋" w:hAnsi="仿宋" w:eastAsia="仿宋"/>
          <w:color w:val="auto"/>
          <w:sz w:val="28"/>
          <w:szCs w:val="28"/>
          <w:highlight w:val="none"/>
        </w:rPr>
        <w:t>。物料的丢失或损坏、损失是因不可抗力、物料本身的自然性质或损耗以及甲方、收货人、承运商</w:t>
      </w:r>
      <w:r>
        <w:rPr>
          <w:rFonts w:hint="eastAsia" w:ascii="仿宋" w:hAnsi="仿宋" w:eastAsia="仿宋"/>
          <w:color w:val="auto"/>
          <w:sz w:val="28"/>
          <w:szCs w:val="28"/>
          <w:highlight w:val="none"/>
          <w:lang w:val="en-US" w:eastAsia="zh-CN"/>
        </w:rPr>
        <w:t>等非乙方</w:t>
      </w:r>
      <w:r>
        <w:rPr>
          <w:rFonts w:hint="eastAsia" w:ascii="仿宋" w:hAnsi="仿宋" w:eastAsia="仿宋"/>
          <w:color w:val="auto"/>
          <w:sz w:val="28"/>
          <w:szCs w:val="28"/>
          <w:highlight w:val="none"/>
        </w:rPr>
        <w:t>过错造成的，乙方不承担责任。</w:t>
      </w:r>
    </w:p>
    <w:p w14:paraId="15F1E1A5">
      <w:pPr>
        <w:spacing w:line="410" w:lineRule="exact"/>
        <w:ind w:firstLine="560" w:firstLineChars="200"/>
        <w:rPr>
          <w:rFonts w:hint="eastAsia" w:ascii="仿宋" w:hAnsi="仿宋" w:eastAsia="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p>
    <w:p w14:paraId="13B31921">
      <w:pPr>
        <w:numPr>
          <w:ilvl w:val="0"/>
          <w:numId w:val="2"/>
        </w:numPr>
        <w:spacing w:line="41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保密</w:t>
      </w:r>
    </w:p>
    <w:p w14:paraId="3F3C004B">
      <w:pPr>
        <w:spacing w:line="41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8.1鉴于合同双方已建立合作关系，</w:t>
      </w:r>
      <w:r>
        <w:rPr>
          <w:rFonts w:hint="eastAsia" w:ascii="仿宋" w:hAnsi="仿宋" w:eastAsia="仿宋" w:cs="仿宋"/>
          <w:color w:val="auto"/>
          <w:sz w:val="28"/>
          <w:szCs w:val="28"/>
          <w:highlight w:val="none"/>
          <w:lang w:val="en-US" w:eastAsia="zh-CN"/>
        </w:rPr>
        <w:t>双方应严格保守</w:t>
      </w:r>
      <w:r>
        <w:rPr>
          <w:rFonts w:hint="eastAsia" w:ascii="仿宋" w:hAnsi="仿宋" w:eastAsia="仿宋" w:cs="仿宋"/>
          <w:color w:val="auto"/>
          <w:sz w:val="28"/>
          <w:szCs w:val="28"/>
          <w:highlight w:val="none"/>
        </w:rPr>
        <w:t>在合作中涉及的保密信息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保密信息包括但不限于：</w:t>
      </w:r>
      <w:r>
        <w:rPr>
          <w:rFonts w:hint="eastAsia" w:ascii="仿宋" w:hAnsi="仿宋" w:eastAsia="仿宋" w:cs="仿宋"/>
          <w:color w:val="auto"/>
          <w:sz w:val="28"/>
          <w:szCs w:val="28"/>
          <w:highlight w:val="none"/>
        </w:rPr>
        <w:t>软件、程序、设备、方法、技术和工艺、财务或金融信息和数据、商业计划、商业策略、市场计划、客户名单、价格表、成本信息、关于雇员的信息、发明描述、工艺描述、技术诀窍描述、产品和市场分析、研究、和未决或放弃的专利申请等</w:t>
      </w:r>
      <w:r>
        <w:rPr>
          <w:rFonts w:hint="eastAsia" w:ascii="仿宋" w:hAnsi="仿宋" w:eastAsia="仿宋" w:cs="仿宋"/>
          <w:color w:val="auto"/>
          <w:sz w:val="28"/>
          <w:szCs w:val="28"/>
          <w:highlight w:val="none"/>
          <w:lang w:eastAsia="zh-CN"/>
        </w:rPr>
        <w:t>）。</w:t>
      </w:r>
    </w:p>
    <w:p w14:paraId="470FE591">
      <w:pPr>
        <w:widowControl/>
        <w:spacing w:line="41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保密期</w:t>
      </w:r>
      <w:r>
        <w:rPr>
          <w:rFonts w:hint="eastAsia" w:ascii="仿宋" w:hAnsi="仿宋" w:eastAsia="仿宋" w:cs="仿宋"/>
          <w:color w:val="auto"/>
          <w:sz w:val="28"/>
          <w:szCs w:val="28"/>
          <w:highlight w:val="none"/>
          <w:lang w:val="en-US" w:eastAsia="zh-CN"/>
        </w:rPr>
        <w:t>为永久</w:t>
      </w:r>
      <w:r>
        <w:rPr>
          <w:rFonts w:hint="eastAsia" w:ascii="仿宋" w:hAnsi="仿宋" w:eastAsia="仿宋" w:cs="仿宋"/>
          <w:color w:val="auto"/>
          <w:sz w:val="28"/>
          <w:szCs w:val="28"/>
          <w:highlight w:val="none"/>
        </w:rPr>
        <w:t>，若</w:t>
      </w:r>
      <w:r>
        <w:rPr>
          <w:rFonts w:hint="eastAsia" w:ascii="仿宋" w:hAnsi="仿宋" w:eastAsia="仿宋" w:cs="仿宋"/>
          <w:color w:val="auto"/>
          <w:sz w:val="28"/>
          <w:szCs w:val="28"/>
          <w:highlight w:val="none"/>
          <w:lang w:val="en-US" w:eastAsia="zh-CN"/>
        </w:rPr>
        <w:t>一方</w:t>
      </w:r>
      <w:r>
        <w:rPr>
          <w:rFonts w:hint="eastAsia" w:ascii="仿宋" w:hAnsi="仿宋" w:eastAsia="仿宋" w:cs="仿宋"/>
          <w:color w:val="auto"/>
          <w:sz w:val="28"/>
          <w:szCs w:val="28"/>
          <w:highlight w:val="none"/>
        </w:rPr>
        <w:t>违反本合同约定导致保密信息泄漏，应承担相应的违约责任，并赔偿因此给</w:t>
      </w:r>
      <w:r>
        <w:rPr>
          <w:rFonts w:hint="eastAsia" w:ascii="仿宋" w:hAnsi="仿宋" w:eastAsia="仿宋" w:cs="仿宋"/>
          <w:color w:val="auto"/>
          <w:sz w:val="28"/>
          <w:szCs w:val="28"/>
          <w:highlight w:val="none"/>
          <w:lang w:val="en-US" w:eastAsia="zh-CN"/>
        </w:rPr>
        <w:t>另一</w:t>
      </w:r>
      <w:r>
        <w:rPr>
          <w:rFonts w:hint="eastAsia" w:ascii="仿宋" w:hAnsi="仿宋" w:eastAsia="仿宋" w:cs="仿宋"/>
          <w:color w:val="auto"/>
          <w:sz w:val="28"/>
          <w:szCs w:val="28"/>
          <w:highlight w:val="none"/>
        </w:rPr>
        <w:t>方造成的直接或间接损失，以及因执行本合同项下权利产生的一切合理费用和支出(包括但不限于法院费用和律师费用等)。若一方违反保密义务导致另一方保密信息泄露但给另一方造成的损失无法或难以计算的，违反方应向被泄露方支付违约金10万元整。</w:t>
      </w:r>
    </w:p>
    <w:p w14:paraId="7215487B">
      <w:pPr>
        <w:widowControl/>
        <w:spacing w:line="410" w:lineRule="exact"/>
        <w:ind w:firstLine="560" w:firstLineChars="200"/>
        <w:rPr>
          <w:rFonts w:hint="eastAsia" w:ascii="仿宋" w:hAnsi="仿宋" w:eastAsia="仿宋" w:cs="仿宋"/>
          <w:color w:val="auto"/>
          <w:sz w:val="28"/>
          <w:szCs w:val="28"/>
          <w:highlight w:val="none"/>
        </w:rPr>
      </w:pPr>
    </w:p>
    <w:p w14:paraId="62B33938">
      <w:pPr>
        <w:widowControl/>
        <w:numPr>
          <w:ilvl w:val="0"/>
          <w:numId w:val="3"/>
        </w:numPr>
        <w:spacing w:line="41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不可抗力</w:t>
      </w:r>
    </w:p>
    <w:p w14:paraId="076BB59D">
      <w:pPr>
        <w:widowControl/>
        <w:spacing w:line="41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合同一方因发生不可抗力如战争、自然灾害（洪水、暴风雨、地震、火灾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政府征收</w:t>
      </w:r>
      <w:r>
        <w:rPr>
          <w:rFonts w:hint="eastAsia" w:ascii="仿宋" w:hAnsi="仿宋" w:eastAsia="仿宋" w:cs="仿宋"/>
          <w:color w:val="auto"/>
          <w:sz w:val="28"/>
          <w:szCs w:val="28"/>
          <w:highlight w:val="none"/>
        </w:rPr>
        <w:t>等）以及其它不可预见或不可避免的情况不能履行合同的，根据不可抗力的影响，部分或者全部免除其责任。如合同一方迟延履行后发生不可抗力的，不能免除责任。合同一方因不可抗力不能履行合同的，应当及时通知对方，以减轻可能给对方造成的损失，并应当在合理期限内提供证明。</w:t>
      </w:r>
    </w:p>
    <w:p w14:paraId="7750CB53">
      <w:pPr>
        <w:widowControl/>
        <w:spacing w:line="410" w:lineRule="exact"/>
        <w:ind w:firstLine="0" w:firstLineChars="0"/>
        <w:rPr>
          <w:rFonts w:ascii="仿宋" w:hAnsi="仿宋" w:eastAsia="仿宋" w:cs="仿宋"/>
          <w:color w:val="auto"/>
          <w:sz w:val="28"/>
          <w:szCs w:val="28"/>
          <w:highlight w:val="none"/>
        </w:rPr>
      </w:pPr>
    </w:p>
    <w:p w14:paraId="725A258A">
      <w:pPr>
        <w:widowControl/>
        <w:spacing w:line="41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10、</w:t>
      </w:r>
      <w:r>
        <w:rPr>
          <w:rFonts w:hint="eastAsia" w:ascii="仿宋" w:hAnsi="仿宋" w:eastAsia="仿宋" w:cs="仿宋"/>
          <w:b/>
          <w:bCs/>
          <w:color w:val="auto"/>
          <w:sz w:val="28"/>
          <w:szCs w:val="28"/>
          <w:highlight w:val="none"/>
          <w:lang w:val="en-US" w:eastAsia="zh-CN"/>
        </w:rPr>
        <w:t>间接</w:t>
      </w:r>
      <w:r>
        <w:rPr>
          <w:rFonts w:hint="eastAsia" w:ascii="仿宋" w:hAnsi="仿宋" w:eastAsia="仿宋" w:cs="仿宋"/>
          <w:b/>
          <w:bCs/>
          <w:color w:val="auto"/>
          <w:sz w:val="28"/>
          <w:szCs w:val="28"/>
          <w:highlight w:val="none"/>
        </w:rPr>
        <w:t>损失免责</w:t>
      </w:r>
    </w:p>
    <w:p w14:paraId="708ADF92">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因本合同发生的间接损害，包括但不限于由此引起的期间利润或业务中断无法估量的损失，合同双方互不负赔偿责任。</w:t>
      </w:r>
    </w:p>
    <w:p w14:paraId="12029934">
      <w:pPr>
        <w:widowControl/>
        <w:spacing w:line="410" w:lineRule="exact"/>
        <w:ind w:firstLine="560" w:firstLineChars="200"/>
        <w:rPr>
          <w:rFonts w:ascii="仿宋" w:hAnsi="仿宋" w:eastAsia="仿宋" w:cs="仿宋"/>
          <w:color w:val="auto"/>
          <w:sz w:val="28"/>
          <w:szCs w:val="28"/>
          <w:highlight w:val="none"/>
        </w:rPr>
      </w:pPr>
    </w:p>
    <w:p w14:paraId="3469FA51">
      <w:pPr>
        <w:widowControl/>
        <w:spacing w:line="41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11、合同的变更、</w:t>
      </w:r>
      <w:r>
        <w:rPr>
          <w:rFonts w:hint="eastAsia" w:ascii="仿宋" w:hAnsi="仿宋" w:eastAsia="仿宋" w:cs="仿宋"/>
          <w:b/>
          <w:bCs/>
          <w:color w:val="auto"/>
          <w:sz w:val="28"/>
          <w:szCs w:val="28"/>
          <w:highlight w:val="none"/>
          <w:lang w:val="en-US" w:eastAsia="zh-CN"/>
        </w:rPr>
        <w:t>解除、</w:t>
      </w:r>
      <w:r>
        <w:rPr>
          <w:rFonts w:hint="eastAsia" w:ascii="仿宋" w:hAnsi="仿宋" w:eastAsia="仿宋" w:cs="仿宋"/>
          <w:b/>
          <w:bCs/>
          <w:color w:val="auto"/>
          <w:sz w:val="28"/>
          <w:szCs w:val="28"/>
          <w:highlight w:val="none"/>
        </w:rPr>
        <w:t>终止</w:t>
      </w:r>
    </w:p>
    <w:p w14:paraId="4E8E2764">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11.1双</w:t>
      </w:r>
      <w:r>
        <w:rPr>
          <w:rFonts w:hint="eastAsia" w:ascii="仿宋" w:hAnsi="仿宋" w:eastAsia="仿宋" w:cs="仿宋"/>
          <w:bCs/>
          <w:color w:val="auto"/>
          <w:sz w:val="28"/>
          <w:szCs w:val="28"/>
          <w:highlight w:val="none"/>
        </w:rPr>
        <w:t>方经协商一致可变更</w:t>
      </w:r>
      <w:r>
        <w:rPr>
          <w:rFonts w:hint="eastAsia" w:ascii="仿宋" w:hAnsi="仿宋" w:eastAsia="仿宋" w:cs="仿宋"/>
          <w:bCs/>
          <w:color w:val="auto"/>
          <w:sz w:val="28"/>
          <w:szCs w:val="28"/>
          <w:highlight w:val="none"/>
          <w:lang w:val="en-US" w:eastAsia="zh-CN"/>
        </w:rPr>
        <w:t>本合同</w:t>
      </w:r>
      <w:r>
        <w:rPr>
          <w:rFonts w:hint="eastAsia" w:ascii="仿宋" w:hAnsi="仿宋" w:eastAsia="仿宋" w:cs="仿宋"/>
          <w:bCs/>
          <w:color w:val="auto"/>
          <w:sz w:val="28"/>
          <w:szCs w:val="28"/>
          <w:highlight w:val="none"/>
        </w:rPr>
        <w:t>。</w:t>
      </w:r>
    </w:p>
    <w:p w14:paraId="3AFF5964">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11.2有任意一方违约时，守约方</w:t>
      </w:r>
      <w:r>
        <w:rPr>
          <w:rFonts w:hint="eastAsia" w:ascii="仿宋" w:hAnsi="仿宋" w:eastAsia="仿宋" w:cs="仿宋"/>
          <w:color w:val="auto"/>
          <w:sz w:val="28"/>
          <w:szCs w:val="28"/>
          <w:highlight w:val="none"/>
          <w:lang w:val="en-US" w:eastAsia="zh-CN"/>
        </w:rPr>
        <w:t>有权</w:t>
      </w:r>
      <w:r>
        <w:rPr>
          <w:rFonts w:hint="eastAsia" w:ascii="仿宋" w:hAnsi="仿宋" w:eastAsia="仿宋" w:cs="仿宋"/>
          <w:color w:val="auto"/>
          <w:sz w:val="28"/>
          <w:szCs w:val="28"/>
          <w:highlight w:val="none"/>
        </w:rPr>
        <w:t>向违约方以书面方式提出整改通知。违约方在收到整改通知后仍继续违约的，守约方有权以书面方式单方面解约。</w:t>
      </w:r>
    </w:p>
    <w:p w14:paraId="28A56DAC">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11.3发生以下情形之一的，本合同任意一方，经书面通知对方后，可解除本合同并不承担违约及损害赔偿责任：</w:t>
      </w:r>
    </w:p>
    <w:p w14:paraId="0E2D36B4">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（1）政府决定征收仓库物所在土地而需拆除仓库的；</w:t>
      </w:r>
    </w:p>
    <w:p w14:paraId="5E4BCA7B">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（2）一方由于发生本合同约定的不可抗力事件而无法履行义务达一个月或更长时间的；</w:t>
      </w:r>
    </w:p>
    <w:p w14:paraId="279FE7F7">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（3）专属仓库因不可抗力致损已无法满足经营要求，或仓库因不可抗力致损后无法继续使用且在3个月内无法修复的。</w:t>
      </w:r>
    </w:p>
    <w:p w14:paraId="098E8195">
      <w:pPr>
        <w:widowControl/>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11.4本合同的其他终止情况，参照适用法律法规。</w:t>
      </w:r>
    </w:p>
    <w:p w14:paraId="1A706C10">
      <w:pPr>
        <w:widowControl/>
        <w:spacing w:line="410" w:lineRule="exact"/>
        <w:ind w:firstLine="560" w:firstLineChars="200"/>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11.5自合同解除、终止之日起</w:t>
      </w:r>
      <w:r>
        <w:rPr>
          <w:rFonts w:hint="eastAsia" w:ascii="仿宋" w:hAnsi="仿宋" w:eastAsia="仿宋" w:cs="仿宋"/>
          <w:color w:val="auto"/>
          <w:sz w:val="28"/>
          <w:szCs w:val="28"/>
          <w:highlight w:val="none"/>
          <w:u w:val="single"/>
          <w:lang w:val="en-US" w:eastAsia="zh-CN"/>
        </w:rPr>
        <w:t xml:space="preserve">  15  </w:t>
      </w:r>
      <w:r>
        <w:rPr>
          <w:rFonts w:hint="eastAsia" w:ascii="仿宋" w:hAnsi="仿宋" w:eastAsia="仿宋" w:cs="仿宋"/>
          <w:color w:val="auto"/>
          <w:sz w:val="28"/>
          <w:szCs w:val="28"/>
          <w:highlight w:val="none"/>
        </w:rPr>
        <w:t>日内，甲方应根据本合同的约定从乙方处提取遗留</w:t>
      </w:r>
      <w:r>
        <w:rPr>
          <w:rFonts w:hint="eastAsia" w:ascii="仿宋" w:hAnsi="仿宋" w:eastAsia="仿宋"/>
          <w:color w:val="auto"/>
          <w:sz w:val="28"/>
          <w:szCs w:val="28"/>
          <w:highlight w:val="none"/>
        </w:rPr>
        <w:t>物料</w:t>
      </w:r>
      <w:r>
        <w:rPr>
          <w:rFonts w:hint="eastAsia" w:ascii="仿宋" w:hAnsi="仿宋" w:eastAsia="仿宋" w:cs="仿宋"/>
          <w:color w:val="auto"/>
          <w:sz w:val="28"/>
          <w:szCs w:val="28"/>
          <w:highlight w:val="none"/>
        </w:rPr>
        <w:t>，并完成遗留费用的结算、支付。逾期不提取的，乙方</w:t>
      </w:r>
      <w:r>
        <w:rPr>
          <w:rFonts w:hint="eastAsia" w:ascii="仿宋" w:hAnsi="仿宋" w:eastAsia="仿宋" w:cs="仿宋"/>
          <w:color w:val="auto"/>
          <w:sz w:val="28"/>
          <w:szCs w:val="28"/>
          <w:highlight w:val="none"/>
          <w:lang w:val="en-US" w:eastAsia="zh-CN"/>
        </w:rPr>
        <w:t>有权</w:t>
      </w:r>
      <w:r>
        <w:rPr>
          <w:rFonts w:hint="eastAsia" w:ascii="仿宋" w:hAnsi="仿宋" w:eastAsia="仿宋" w:cs="仿宋"/>
          <w:color w:val="auto"/>
          <w:sz w:val="28"/>
          <w:szCs w:val="28"/>
          <w:highlight w:val="none"/>
        </w:rPr>
        <w:t>提存</w:t>
      </w:r>
      <w:r>
        <w:rPr>
          <w:rFonts w:hint="eastAsia" w:ascii="仿宋" w:hAnsi="仿宋" w:eastAsia="仿宋"/>
          <w:color w:val="auto"/>
          <w:sz w:val="28"/>
          <w:szCs w:val="28"/>
          <w:highlight w:val="none"/>
        </w:rPr>
        <w:t>物料</w:t>
      </w:r>
      <w:r>
        <w:rPr>
          <w:rFonts w:hint="eastAsia" w:ascii="仿宋" w:hAnsi="仿宋" w:eastAsia="仿宋" w:cs="仿宋"/>
          <w:color w:val="auto"/>
          <w:sz w:val="28"/>
          <w:szCs w:val="28"/>
          <w:highlight w:val="none"/>
        </w:rPr>
        <w:t>或按照本合同的约定继续计算仓储费用，提存或继续提供仓储服务而产生的费用应由甲方承担。</w:t>
      </w:r>
    </w:p>
    <w:p w14:paraId="2BBD1DCB">
      <w:pPr>
        <w:widowControl/>
        <w:spacing w:line="410" w:lineRule="exact"/>
        <w:ind w:firstLine="560" w:firstLineChars="200"/>
        <w:outlineLvl w:val="1"/>
        <w:rPr>
          <w:rFonts w:ascii="仿宋" w:hAnsi="仿宋" w:eastAsia="仿宋" w:cs="仿宋"/>
          <w:color w:val="auto"/>
          <w:sz w:val="28"/>
          <w:szCs w:val="28"/>
          <w:highlight w:val="none"/>
        </w:rPr>
      </w:pPr>
    </w:p>
    <w:p w14:paraId="5B9029C2">
      <w:pPr>
        <w:spacing w:line="41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12、纠纷解决方式</w:t>
      </w:r>
    </w:p>
    <w:p w14:paraId="600BD1DD">
      <w:pPr>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凡因履行本合同所发生的或与本合同有关的一切争议，甲、乙双方通过友好协商解决；如果协商不能解决，应向合同签订地或乙方所在地有管辖权的人民法院提起诉讼，诉讼费用和胜诉方的律师费用应由败诉方承担。</w:t>
      </w:r>
    </w:p>
    <w:p w14:paraId="333EB2AF">
      <w:pPr>
        <w:spacing w:line="410" w:lineRule="exact"/>
        <w:ind w:firstLine="560" w:firstLineChars="200"/>
        <w:rPr>
          <w:rFonts w:ascii="仿宋" w:hAnsi="仿宋" w:eastAsia="仿宋" w:cs="仿宋"/>
          <w:color w:val="auto"/>
          <w:sz w:val="28"/>
          <w:szCs w:val="28"/>
          <w:highlight w:val="none"/>
        </w:rPr>
      </w:pPr>
    </w:p>
    <w:p w14:paraId="22037F52">
      <w:pPr>
        <w:widowControl/>
        <w:spacing w:line="41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13、送达地址</w:t>
      </w:r>
    </w:p>
    <w:p w14:paraId="7E298CAC">
      <w:pPr>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13.1甲、乙双方确认本协议所列地址和联系方式为履行合同、处理合同争议时向其他方送达商业文件信函及接收法律文书的地址和联系方式。</w:t>
      </w:r>
    </w:p>
    <w:p w14:paraId="7C95924D">
      <w:pPr>
        <w:spacing w:line="41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13.2双方承诺上述通讯地址和联系方式真实有效，一方当事人变更名称、地址、联系人或通信终端的，应当在变更后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3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日内书面通知另一方当事人，另一方当事人实际收到变更通知前的送达仍为有效送达，电子送达与书面送达具有同等法律效力。</w:t>
      </w:r>
    </w:p>
    <w:p w14:paraId="4B6A9095">
      <w:pPr>
        <w:widowControl/>
        <w:spacing w:line="41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t>13.3如因当事人约定的送达地址不准确、送达地址变更后未及时书面告知</w:t>
      </w:r>
      <w:r>
        <w:rPr>
          <w:rFonts w:hint="eastAsia" w:ascii="仿宋" w:hAnsi="仿宋" w:eastAsia="仿宋" w:cs="仿宋"/>
          <w:color w:val="auto"/>
          <w:sz w:val="28"/>
          <w:szCs w:val="28"/>
          <w:highlight w:val="none"/>
          <w:lang w:val="en-US" w:eastAsia="zh-CN"/>
        </w:rPr>
        <w:t>对</w:t>
      </w:r>
      <w:r>
        <w:rPr>
          <w:rFonts w:hint="eastAsia" w:ascii="仿宋" w:hAnsi="仿宋" w:eastAsia="仿宋" w:cs="仿宋"/>
          <w:color w:val="auto"/>
          <w:sz w:val="28"/>
          <w:szCs w:val="28"/>
          <w:highlight w:val="none"/>
        </w:rPr>
        <w:t>方和司法机关/仲裁机构、当事人或指定的接收人拒绝签收等原因，导致法律文书未能被当事人实际接收时，邮寄送达的，以文书退回之日或交邮后第7日视为送达。</w:t>
      </w:r>
      <w:r>
        <w:rPr>
          <w:rFonts w:hint="eastAsia" w:ascii="仿宋" w:hAnsi="仿宋" w:eastAsia="仿宋" w:cs="仿宋"/>
          <w:sz w:val="28"/>
          <w:szCs w:val="28"/>
          <w:lang w:val="en-US" w:eastAsia="zh-CN"/>
        </w:rPr>
        <w:t>以电子邮箱方式送达的，邮件到达收件方系统之日视为送达。</w:t>
      </w:r>
    </w:p>
    <w:p w14:paraId="00D8D811">
      <w:pPr>
        <w:widowControl/>
        <w:spacing w:line="41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13.4甲乙双方指定联系人详见附件三。</w:t>
      </w:r>
    </w:p>
    <w:p w14:paraId="74BB12D3">
      <w:pPr>
        <w:widowControl/>
        <w:spacing w:line="410" w:lineRule="exact"/>
        <w:ind w:firstLine="560" w:firstLineChars="200"/>
        <w:rPr>
          <w:rFonts w:hint="eastAsia" w:ascii="仿宋" w:hAnsi="仿宋" w:eastAsia="仿宋" w:cs="仿宋"/>
          <w:sz w:val="28"/>
          <w:szCs w:val="28"/>
          <w:lang w:val="en-US" w:eastAsia="zh-CN"/>
        </w:rPr>
      </w:pPr>
    </w:p>
    <w:p w14:paraId="3DD185BC">
      <w:pPr>
        <w:widowControl/>
        <w:numPr>
          <w:ilvl w:val="-1"/>
          <w:numId w:val="0"/>
        </w:numPr>
        <w:spacing w:line="41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14、</w:t>
      </w:r>
      <w:r>
        <w:rPr>
          <w:rFonts w:hint="eastAsia" w:ascii="仿宋" w:hAnsi="仿宋" w:eastAsia="仿宋" w:cs="仿宋"/>
          <w:b/>
          <w:bCs/>
          <w:color w:val="auto"/>
          <w:sz w:val="28"/>
          <w:szCs w:val="28"/>
          <w:highlight w:val="none"/>
        </w:rPr>
        <w:t>其他</w:t>
      </w:r>
    </w:p>
    <w:p w14:paraId="770EA616">
      <w:pPr>
        <w:widowControl/>
        <w:spacing w:line="41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14.1本合同正本一式贰份，甲乙双方各执壹份，自双方</w:t>
      </w:r>
      <w:r>
        <w:rPr>
          <w:rFonts w:hint="eastAsia" w:ascii="仿宋" w:hAnsi="仿宋" w:eastAsia="仿宋" w:cs="仿宋"/>
          <w:sz w:val="28"/>
          <w:szCs w:val="28"/>
          <w:lang w:val="en-US" w:eastAsia="zh-CN"/>
        </w:rPr>
        <w:t>法定代表人（或授权代表）</w:t>
      </w:r>
      <w:r>
        <w:rPr>
          <w:rFonts w:hint="eastAsia" w:ascii="仿宋" w:hAnsi="仿宋" w:eastAsia="仿宋" w:cs="仿宋"/>
          <w:sz w:val="28"/>
          <w:szCs w:val="28"/>
        </w:rPr>
        <w:t>签</w:t>
      </w:r>
      <w:r>
        <w:rPr>
          <w:rFonts w:hint="eastAsia" w:ascii="仿宋" w:hAnsi="仿宋" w:eastAsia="仿宋" w:cs="仿宋"/>
          <w:sz w:val="28"/>
          <w:szCs w:val="28"/>
          <w:lang w:val="en-US" w:eastAsia="zh-CN"/>
        </w:rPr>
        <w:t>字并盖公</w:t>
      </w:r>
      <w:r>
        <w:rPr>
          <w:rFonts w:hint="eastAsia" w:ascii="仿宋" w:hAnsi="仿宋" w:eastAsia="仿宋" w:cs="仿宋"/>
          <w:sz w:val="28"/>
          <w:szCs w:val="28"/>
        </w:rPr>
        <w:t>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或合同章）</w:t>
      </w:r>
      <w:r>
        <w:rPr>
          <w:rFonts w:hint="eastAsia" w:ascii="仿宋" w:hAnsi="仿宋" w:eastAsia="仿宋" w:cs="仿宋"/>
          <w:sz w:val="28"/>
          <w:szCs w:val="28"/>
        </w:rPr>
        <w:t>后生效。</w:t>
      </w:r>
    </w:p>
    <w:p w14:paraId="3FB1EAB6">
      <w:pPr>
        <w:widowControl/>
        <w:spacing w:line="41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14.2</w:t>
      </w:r>
      <w:r>
        <w:rPr>
          <w:rFonts w:hint="eastAsia" w:ascii="仿宋" w:hAnsi="仿宋" w:eastAsia="仿宋" w:cs="仿宋"/>
          <w:color w:val="auto"/>
          <w:sz w:val="28"/>
          <w:szCs w:val="28"/>
          <w:highlight w:val="none"/>
        </w:rPr>
        <w:t>本合同未尽事宜，由双方另行签署书面协议予以确定。</w:t>
      </w:r>
    </w:p>
    <w:p w14:paraId="4B11EC6D">
      <w:pPr>
        <w:widowControl/>
        <w:spacing w:line="41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14.3</w:t>
      </w:r>
      <w:r>
        <w:rPr>
          <w:rFonts w:ascii="仿宋" w:hAnsi="仿宋" w:eastAsia="仿宋"/>
          <w:color w:val="auto"/>
          <w:sz w:val="28"/>
          <w:szCs w:val="28"/>
          <w:highlight w:val="none"/>
        </w:rPr>
        <w:t>本合同有效期内</w:t>
      </w:r>
      <w:r>
        <w:rPr>
          <w:rFonts w:hint="eastAsia" w:ascii="仿宋" w:hAnsi="仿宋" w:eastAsia="仿宋"/>
          <w:color w:val="auto"/>
          <w:sz w:val="28"/>
          <w:szCs w:val="28"/>
          <w:highlight w:val="none"/>
        </w:rPr>
        <w:t>，甲、乙双方签订的附件、协议，均为本合同不可分割的一部分，具有同等法律效力，任何一个附件、协议有效期的终止，不影响本合同和其他在有效期内的附件、协议的执行。</w:t>
      </w:r>
    </w:p>
    <w:p w14:paraId="47E64EC8">
      <w:pPr>
        <w:spacing w:line="410" w:lineRule="exact"/>
        <w:rPr>
          <w:color w:val="auto"/>
          <w:sz w:val="24"/>
          <w:szCs w:val="24"/>
          <w:highlight w:val="none"/>
        </w:rPr>
      </w:pPr>
    </w:p>
    <w:p w14:paraId="6A6CDC6D">
      <w:pPr>
        <w:spacing w:line="410" w:lineRule="exact"/>
        <w:ind w:firstLine="562" w:firstLineChars="200"/>
        <w:rPr>
          <w:rFonts w:ascii="仿宋" w:hAnsi="仿宋" w:eastAsia="仿宋"/>
          <w:b/>
          <w:color w:val="auto"/>
          <w:sz w:val="28"/>
          <w:szCs w:val="28"/>
          <w:highlight w:val="none"/>
        </w:rPr>
      </w:pPr>
      <w:r>
        <w:rPr>
          <w:rFonts w:ascii="仿宋" w:hAnsi="仿宋" w:eastAsia="仿宋"/>
          <w:b/>
          <w:color w:val="auto"/>
          <w:sz w:val="28"/>
          <w:szCs w:val="28"/>
          <w:highlight w:val="none"/>
        </w:rPr>
        <w:t>1</w:t>
      </w:r>
      <w:r>
        <w:rPr>
          <w:rFonts w:hint="eastAsia" w:ascii="仿宋" w:hAnsi="仿宋" w:eastAsia="仿宋"/>
          <w:b/>
          <w:color w:val="auto"/>
          <w:sz w:val="28"/>
          <w:szCs w:val="28"/>
          <w:highlight w:val="none"/>
          <w:lang w:val="en-US" w:eastAsia="zh-CN"/>
        </w:rPr>
        <w:t>5</w:t>
      </w:r>
      <w:r>
        <w:rPr>
          <w:rFonts w:hint="eastAsia" w:ascii="仿宋" w:hAnsi="仿宋" w:eastAsia="仿宋"/>
          <w:b/>
          <w:color w:val="auto"/>
          <w:sz w:val="28"/>
          <w:szCs w:val="28"/>
          <w:highlight w:val="none"/>
        </w:rPr>
        <w:t>、附件</w:t>
      </w:r>
    </w:p>
    <w:p w14:paraId="0E803CA7">
      <w:pPr>
        <w:spacing w:line="410" w:lineRule="exact"/>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附件一：《</w:t>
      </w:r>
      <w:r>
        <w:rPr>
          <w:rFonts w:hint="eastAsia" w:ascii="仿宋" w:hAnsi="仿宋" w:eastAsia="仿宋"/>
          <w:color w:val="auto"/>
          <w:sz w:val="28"/>
          <w:szCs w:val="28"/>
          <w:highlight w:val="none"/>
          <w:lang w:val="en-US" w:eastAsia="zh-CN"/>
        </w:rPr>
        <w:t>中物流</w:t>
      </w:r>
      <w:r>
        <w:rPr>
          <w:rFonts w:hint="eastAsia" w:ascii="仿宋" w:hAnsi="仿宋" w:eastAsia="仿宋"/>
          <w:color w:val="auto"/>
          <w:sz w:val="28"/>
          <w:szCs w:val="28"/>
          <w:highlight w:val="none"/>
        </w:rPr>
        <w:t>仓储物流服务费用标准》</w:t>
      </w:r>
    </w:p>
    <w:p w14:paraId="3840413A">
      <w:pPr>
        <w:tabs>
          <w:tab w:val="left" w:pos="530"/>
        </w:tabs>
        <w:adjustRightInd w:val="0"/>
        <w:snapToGrid w:val="0"/>
        <w:spacing w:line="360" w:lineRule="exact"/>
        <w:ind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rPr>
        <w:t>附件</w:t>
      </w:r>
      <w:r>
        <w:rPr>
          <w:rFonts w:hint="eastAsia" w:ascii="仿宋" w:hAnsi="仿宋" w:eastAsia="仿宋"/>
          <w:sz w:val="28"/>
          <w:szCs w:val="28"/>
          <w:highlight w:val="none"/>
          <w:lang w:val="en-US" w:eastAsia="zh-CN"/>
        </w:rPr>
        <w:t>二</w:t>
      </w:r>
      <w:r>
        <w:rPr>
          <w:rFonts w:hint="eastAsia" w:ascii="仿宋" w:hAnsi="仿宋" w:eastAsia="仿宋"/>
          <w:sz w:val="28"/>
          <w:szCs w:val="28"/>
          <w:highlight w:val="none"/>
        </w:rPr>
        <w:t>：</w:t>
      </w:r>
      <w:r>
        <w:rPr>
          <w:rFonts w:hint="eastAsia" w:ascii="仿宋" w:hAnsi="仿宋" w:eastAsia="仿宋"/>
          <w:sz w:val="28"/>
          <w:szCs w:val="28"/>
          <w:highlight w:val="none"/>
          <w:lang w:eastAsia="zh-CN"/>
        </w:rPr>
        <w:t>《</w:t>
      </w:r>
      <w:r>
        <w:rPr>
          <w:rFonts w:hint="eastAsia" w:ascii="仿宋" w:hAnsi="仿宋" w:eastAsia="仿宋"/>
          <w:sz w:val="28"/>
          <w:szCs w:val="28"/>
          <w:highlight w:val="none"/>
        </w:rPr>
        <w:t>安全生产管理协议书（C类）</w:t>
      </w:r>
      <w:r>
        <w:rPr>
          <w:rFonts w:hint="eastAsia" w:ascii="仿宋" w:hAnsi="仿宋" w:eastAsia="仿宋"/>
          <w:sz w:val="28"/>
          <w:szCs w:val="28"/>
          <w:highlight w:val="none"/>
          <w:lang w:eastAsia="zh-CN"/>
        </w:rPr>
        <w:t>》</w:t>
      </w:r>
    </w:p>
    <w:p w14:paraId="28FFE6FF">
      <w:pPr>
        <w:tabs>
          <w:tab w:val="left" w:pos="530"/>
        </w:tabs>
        <w:adjustRightInd w:val="0"/>
        <w:snapToGrid w:val="0"/>
        <w:spacing w:line="360" w:lineRule="exact"/>
        <w:ind w:firstLine="560" w:firstLineChars="200"/>
        <w:jc w:val="both"/>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附件三：《指定联系人》</w:t>
      </w:r>
    </w:p>
    <w:p w14:paraId="0BBE1C6F">
      <w:pPr>
        <w:bidi w:val="0"/>
        <w:rPr>
          <w:rFonts w:hint="eastAsia" w:ascii="仿宋" w:hAnsi="仿宋" w:eastAsia="仿宋"/>
          <w:b/>
          <w:bCs/>
          <w:color w:val="auto"/>
          <w:sz w:val="28"/>
          <w:szCs w:val="28"/>
          <w:highlight w:val="none"/>
        </w:rPr>
      </w:pPr>
    </w:p>
    <w:tbl>
      <w:tblPr>
        <w:tblStyle w:val="11"/>
        <w:tblpPr w:leftFromText="180" w:rightFromText="180" w:vertAnchor="page" w:horzAnchor="page" w:tblpX="1585" w:tblpY="44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8"/>
        <w:gridCol w:w="4560"/>
      </w:tblGrid>
      <w:tr w14:paraId="1F7C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418" w:type="dxa"/>
          </w:tcPr>
          <w:p w14:paraId="260E5772">
            <w:pPr>
              <w:spacing w:line="400" w:lineRule="exact"/>
              <w:jc w:val="lef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甲方：</w:t>
            </w:r>
            <w:r>
              <w:rPr>
                <w:rFonts w:hint="eastAsia" w:ascii="仿宋" w:hAnsi="仿宋" w:eastAsia="仿宋"/>
                <w:sz w:val="24"/>
                <w:szCs w:val="24"/>
                <w:highlight w:val="none"/>
                <w:u w:val="none"/>
                <w:lang w:val="en-US" w:eastAsia="zh-CN"/>
              </w:rPr>
              <w:t>北京光华荣昌汽车部件有限公司</w:t>
            </w:r>
          </w:p>
        </w:tc>
        <w:tc>
          <w:tcPr>
            <w:tcW w:w="4560" w:type="dxa"/>
          </w:tcPr>
          <w:p w14:paraId="40B9D4DE">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sz w:val="24"/>
                <w:szCs w:val="24"/>
              </w:rPr>
              <w:t>中物流（徐州）物流有限公司</w:t>
            </w:r>
          </w:p>
        </w:tc>
      </w:tr>
      <w:tr w14:paraId="746E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418" w:type="dxa"/>
          </w:tcPr>
          <w:p w14:paraId="70C1591F">
            <w:pPr>
              <w:spacing w:line="400" w:lineRule="exact"/>
              <w:jc w:val="left"/>
              <w:rPr>
                <w:rFonts w:hint="eastAsia"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lang w:eastAsia="zh-CN"/>
              </w:rPr>
              <w:t>（</w:t>
            </w:r>
            <w:r>
              <w:rPr>
                <w:rFonts w:hint="eastAsia" w:ascii="仿宋" w:hAnsi="仿宋" w:eastAsia="仿宋"/>
                <w:sz w:val="24"/>
                <w:szCs w:val="24"/>
                <w:lang w:val="en-US" w:eastAsia="zh-CN"/>
              </w:rPr>
              <w:t>或授权代表）（签字）</w:t>
            </w:r>
            <w:r>
              <w:rPr>
                <w:rFonts w:hint="eastAsia" w:ascii="仿宋" w:hAnsi="仿宋" w:eastAsia="仿宋"/>
                <w:sz w:val="24"/>
                <w:szCs w:val="24"/>
              </w:rPr>
              <w:t>：</w:t>
            </w:r>
          </w:p>
          <w:p w14:paraId="5C9B304E">
            <w:pPr>
              <w:spacing w:line="400" w:lineRule="exact"/>
              <w:jc w:val="left"/>
              <w:rPr>
                <w:rFonts w:ascii="仿宋" w:hAnsi="仿宋" w:eastAsia="仿宋"/>
                <w:color w:val="auto"/>
                <w:sz w:val="24"/>
                <w:szCs w:val="24"/>
                <w:highlight w:val="none"/>
              </w:rPr>
            </w:pPr>
            <w:r>
              <w:rPr>
                <w:rFonts w:ascii="仿宋" w:hAnsi="仿宋" w:eastAsia="仿宋"/>
                <w:color w:val="auto"/>
                <w:sz w:val="24"/>
                <w:szCs w:val="24"/>
                <w:highlight w:val="none"/>
              </w:rPr>
              <w:t xml:space="preserve"> </w:t>
            </w:r>
          </w:p>
        </w:tc>
        <w:tc>
          <w:tcPr>
            <w:tcW w:w="4560" w:type="dxa"/>
          </w:tcPr>
          <w:p w14:paraId="0561599D">
            <w:pPr>
              <w:spacing w:line="400" w:lineRule="exact"/>
              <w:jc w:val="left"/>
              <w:rPr>
                <w:rFonts w:hint="eastAsia"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lang w:eastAsia="zh-CN"/>
              </w:rPr>
              <w:t>（</w:t>
            </w:r>
            <w:r>
              <w:rPr>
                <w:rFonts w:hint="eastAsia" w:ascii="仿宋" w:hAnsi="仿宋" w:eastAsia="仿宋"/>
                <w:sz w:val="24"/>
                <w:szCs w:val="24"/>
                <w:lang w:val="en-US" w:eastAsia="zh-CN"/>
              </w:rPr>
              <w:t>或授权代表）（签字）</w:t>
            </w:r>
            <w:r>
              <w:rPr>
                <w:rFonts w:hint="eastAsia" w:ascii="仿宋" w:hAnsi="仿宋" w:eastAsia="仿宋"/>
                <w:sz w:val="24"/>
                <w:szCs w:val="24"/>
              </w:rPr>
              <w:t>：</w:t>
            </w:r>
          </w:p>
          <w:p w14:paraId="4B69C9D4">
            <w:pPr>
              <w:spacing w:line="400" w:lineRule="exact"/>
              <w:jc w:val="left"/>
              <w:rPr>
                <w:rFonts w:hint="eastAsia" w:ascii="仿宋" w:hAnsi="仿宋" w:eastAsia="仿宋" w:cs="仿宋"/>
                <w:color w:val="auto"/>
                <w:sz w:val="24"/>
                <w:szCs w:val="24"/>
                <w:highlight w:val="none"/>
              </w:rPr>
            </w:pPr>
            <w:r>
              <w:rPr>
                <w:rFonts w:ascii="仿宋" w:hAnsi="仿宋" w:eastAsia="仿宋"/>
                <w:color w:val="auto"/>
                <w:sz w:val="24"/>
                <w:szCs w:val="24"/>
                <w:highlight w:val="none"/>
              </w:rPr>
              <w:t xml:space="preserve"> </w:t>
            </w:r>
          </w:p>
        </w:tc>
      </w:tr>
      <w:tr w14:paraId="45E8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18" w:type="dxa"/>
          </w:tcPr>
          <w:p w14:paraId="2BCC89FC">
            <w:pPr>
              <w:spacing w:line="40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开户行：</w:t>
            </w:r>
          </w:p>
        </w:tc>
        <w:tc>
          <w:tcPr>
            <w:tcW w:w="4560" w:type="dxa"/>
          </w:tcPr>
          <w:p w14:paraId="521CD027">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sz w:val="24"/>
                <w:szCs w:val="24"/>
              </w:rPr>
              <w:t>江苏银行股份有限公司徐州经济开发区支行</w:t>
            </w:r>
          </w:p>
        </w:tc>
      </w:tr>
      <w:tr w14:paraId="594F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418" w:type="dxa"/>
          </w:tcPr>
          <w:p w14:paraId="580C0A4B">
            <w:pPr>
              <w:spacing w:line="40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账户：</w:t>
            </w:r>
          </w:p>
        </w:tc>
        <w:tc>
          <w:tcPr>
            <w:tcW w:w="4560" w:type="dxa"/>
          </w:tcPr>
          <w:p w14:paraId="66C625DD">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w:t>
            </w:r>
            <w:r>
              <w:rPr>
                <w:rFonts w:hint="eastAsia" w:ascii="仿宋" w:hAnsi="仿宋" w:eastAsia="仿宋" w:cs="仿宋"/>
                <w:sz w:val="24"/>
                <w:szCs w:val="24"/>
              </w:rPr>
              <w:t>60110188000225892</w:t>
            </w:r>
          </w:p>
        </w:tc>
      </w:tr>
      <w:tr w14:paraId="41DE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418" w:type="dxa"/>
          </w:tcPr>
          <w:p w14:paraId="4E17DBD2">
            <w:pPr>
              <w:spacing w:line="40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税号：</w:t>
            </w:r>
          </w:p>
        </w:tc>
        <w:tc>
          <w:tcPr>
            <w:tcW w:w="4560" w:type="dxa"/>
          </w:tcPr>
          <w:p w14:paraId="12791734">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税号：</w:t>
            </w:r>
            <w:r>
              <w:rPr>
                <w:rFonts w:hint="eastAsia" w:ascii="仿宋" w:hAnsi="仿宋" w:eastAsia="仿宋" w:cs="仿宋"/>
                <w:sz w:val="24"/>
                <w:szCs w:val="24"/>
              </w:rPr>
              <w:t>91320301MA25GAQ056</w:t>
            </w:r>
          </w:p>
        </w:tc>
      </w:tr>
      <w:tr w14:paraId="314F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18" w:type="dxa"/>
          </w:tcPr>
          <w:p w14:paraId="53D71B3A">
            <w:pPr>
              <w:spacing w:line="40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地址： </w:t>
            </w:r>
          </w:p>
        </w:tc>
        <w:tc>
          <w:tcPr>
            <w:tcW w:w="4560" w:type="dxa"/>
          </w:tcPr>
          <w:p w14:paraId="1A75EA7C">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sz w:val="24"/>
                <w:szCs w:val="24"/>
              </w:rPr>
              <w:t>徐州经济技术开发区金港路南、永宁路东一号</w:t>
            </w:r>
          </w:p>
        </w:tc>
      </w:tr>
      <w:tr w14:paraId="7027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418" w:type="dxa"/>
          </w:tcPr>
          <w:p w14:paraId="412CF1C1">
            <w:pPr>
              <w:spacing w:line="40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电话：</w:t>
            </w:r>
          </w:p>
        </w:tc>
        <w:tc>
          <w:tcPr>
            <w:tcW w:w="4560" w:type="dxa"/>
          </w:tcPr>
          <w:p w14:paraId="74FE7308">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14:paraId="0892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418" w:type="dxa"/>
          </w:tcPr>
          <w:p w14:paraId="232F931B">
            <w:pPr>
              <w:spacing w:line="40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传真：</w:t>
            </w:r>
          </w:p>
        </w:tc>
        <w:tc>
          <w:tcPr>
            <w:tcW w:w="4560" w:type="dxa"/>
          </w:tcPr>
          <w:p w14:paraId="69D1FA7C">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r>
      <w:tr w14:paraId="7A2E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418" w:type="dxa"/>
          </w:tcPr>
          <w:p w14:paraId="25DF8B7F">
            <w:pPr>
              <w:spacing w:line="400" w:lineRule="exact"/>
              <w:jc w:val="left"/>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电子邮件：</w:t>
            </w:r>
          </w:p>
        </w:tc>
        <w:tc>
          <w:tcPr>
            <w:tcW w:w="4560" w:type="dxa"/>
          </w:tcPr>
          <w:p w14:paraId="2CF33D41">
            <w:pPr>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电子邮件：</w:t>
            </w:r>
          </w:p>
        </w:tc>
      </w:tr>
    </w:tbl>
    <w:p w14:paraId="02D0F1AA">
      <w:pPr>
        <w:bidi w:val="0"/>
        <w:rPr>
          <w:rFonts w:hint="eastAsia"/>
          <w:lang w:val="en-US" w:eastAsia="zh-CN"/>
        </w:rPr>
      </w:pPr>
      <w:r>
        <w:rPr>
          <w:rFonts w:hint="eastAsia" w:ascii="仿宋" w:hAnsi="仿宋" w:eastAsia="仿宋"/>
          <w:b/>
          <w:bCs/>
          <w:color w:val="auto"/>
          <w:sz w:val="28"/>
          <w:szCs w:val="28"/>
          <w:highlight w:val="none"/>
        </w:rPr>
        <w:t>以下为签字页</w:t>
      </w:r>
    </w:p>
    <w:p w14:paraId="218E0B64">
      <w:pPr>
        <w:spacing w:line="410" w:lineRule="exact"/>
        <w:ind w:firstLine="560" w:firstLineChars="200"/>
        <w:jc w:val="left"/>
        <w:rPr>
          <w:rFonts w:hint="eastAsia" w:ascii="仿宋" w:hAnsi="仿宋" w:eastAsia="仿宋"/>
          <w:color w:val="auto"/>
          <w:sz w:val="28"/>
          <w:szCs w:val="28"/>
          <w:highlight w:val="none"/>
        </w:rPr>
      </w:pPr>
    </w:p>
    <w:p w14:paraId="55CFAE49">
      <w:pPr>
        <w:spacing w:line="410" w:lineRule="exact"/>
        <w:jc w:val="left"/>
        <w:rPr>
          <w:rFonts w:ascii="仿宋" w:hAnsi="仿宋" w:eastAsia="仿宋"/>
          <w:color w:val="auto"/>
          <w:sz w:val="28"/>
          <w:szCs w:val="28"/>
          <w:highlight w:val="none"/>
        </w:rPr>
      </w:pPr>
      <w:r>
        <w:rPr>
          <w:rFonts w:hint="eastAsia"/>
          <w:lang w:val="en-US" w:eastAsia="zh-CN"/>
        </w:rPr>
        <w:tab/>
      </w:r>
    </w:p>
    <w:p w14:paraId="595FDB72">
      <w:pPr>
        <w:spacing w:line="400" w:lineRule="exact"/>
        <w:jc w:val="left"/>
        <w:rPr>
          <w:rFonts w:ascii="仿宋" w:hAnsi="仿宋" w:eastAsia="仿宋"/>
          <w:color w:val="auto"/>
          <w:sz w:val="28"/>
          <w:szCs w:val="28"/>
          <w:highlight w:val="none"/>
        </w:rPr>
      </w:pPr>
    </w:p>
    <w:p w14:paraId="015F9090">
      <w:pPr>
        <w:spacing w:line="400" w:lineRule="exact"/>
        <w:jc w:val="left"/>
        <w:rPr>
          <w:rFonts w:ascii="仿宋" w:hAnsi="仿宋" w:eastAsia="仿宋"/>
          <w:color w:val="auto"/>
          <w:sz w:val="28"/>
          <w:szCs w:val="28"/>
          <w:highlight w:val="none"/>
        </w:rPr>
      </w:pPr>
    </w:p>
    <w:p w14:paraId="529A69AE">
      <w:pPr>
        <w:spacing w:line="400" w:lineRule="exact"/>
        <w:jc w:val="left"/>
        <w:rPr>
          <w:rFonts w:ascii="仿宋" w:hAnsi="仿宋" w:eastAsia="仿宋"/>
          <w:color w:val="auto"/>
          <w:sz w:val="28"/>
          <w:szCs w:val="28"/>
          <w:highlight w:val="none"/>
        </w:rPr>
      </w:pPr>
    </w:p>
    <w:p w14:paraId="48056817">
      <w:pPr>
        <w:spacing w:line="400" w:lineRule="exact"/>
        <w:jc w:val="left"/>
        <w:rPr>
          <w:rFonts w:ascii="仿宋" w:hAnsi="仿宋" w:eastAsia="仿宋"/>
          <w:color w:val="auto"/>
          <w:sz w:val="28"/>
          <w:szCs w:val="28"/>
          <w:highlight w:val="none"/>
        </w:rPr>
      </w:pPr>
    </w:p>
    <w:p w14:paraId="234DF24C">
      <w:pPr>
        <w:spacing w:line="400" w:lineRule="exact"/>
        <w:jc w:val="left"/>
        <w:rPr>
          <w:rFonts w:ascii="仿宋" w:hAnsi="仿宋" w:eastAsia="仿宋"/>
          <w:color w:val="auto"/>
          <w:sz w:val="28"/>
          <w:szCs w:val="28"/>
          <w:highlight w:val="none"/>
        </w:rPr>
      </w:pPr>
    </w:p>
    <w:p w14:paraId="75935F61">
      <w:pPr>
        <w:spacing w:line="400" w:lineRule="exact"/>
        <w:jc w:val="left"/>
        <w:rPr>
          <w:rFonts w:ascii="仿宋" w:hAnsi="仿宋" w:eastAsia="仿宋"/>
          <w:color w:val="auto"/>
          <w:sz w:val="28"/>
          <w:szCs w:val="28"/>
          <w:highlight w:val="none"/>
        </w:rPr>
      </w:pPr>
    </w:p>
    <w:p w14:paraId="65E7B9C6">
      <w:pPr>
        <w:spacing w:line="400" w:lineRule="exact"/>
        <w:jc w:val="left"/>
        <w:rPr>
          <w:rFonts w:ascii="仿宋" w:hAnsi="仿宋" w:eastAsia="仿宋"/>
          <w:color w:val="auto"/>
          <w:sz w:val="28"/>
          <w:szCs w:val="28"/>
          <w:highlight w:val="none"/>
        </w:rPr>
      </w:pPr>
    </w:p>
    <w:p w14:paraId="24068143">
      <w:pPr>
        <w:spacing w:line="400" w:lineRule="exact"/>
        <w:jc w:val="left"/>
        <w:rPr>
          <w:rFonts w:ascii="仿宋" w:hAnsi="仿宋" w:eastAsia="仿宋"/>
          <w:color w:val="auto"/>
          <w:sz w:val="28"/>
          <w:szCs w:val="28"/>
          <w:highlight w:val="none"/>
        </w:rPr>
      </w:pPr>
    </w:p>
    <w:p w14:paraId="3EC9EA55">
      <w:pPr>
        <w:spacing w:line="400" w:lineRule="exact"/>
        <w:jc w:val="left"/>
        <w:rPr>
          <w:rFonts w:ascii="仿宋" w:hAnsi="仿宋" w:eastAsia="仿宋"/>
          <w:color w:val="auto"/>
          <w:sz w:val="28"/>
          <w:szCs w:val="28"/>
          <w:highlight w:val="none"/>
        </w:rPr>
      </w:pPr>
    </w:p>
    <w:p w14:paraId="1865B468">
      <w:pPr>
        <w:spacing w:line="400" w:lineRule="exact"/>
        <w:jc w:val="left"/>
        <w:rPr>
          <w:rFonts w:ascii="仿宋" w:hAnsi="仿宋" w:eastAsia="仿宋"/>
          <w:color w:val="auto"/>
          <w:sz w:val="28"/>
          <w:szCs w:val="28"/>
          <w:highlight w:val="none"/>
        </w:rPr>
      </w:pPr>
    </w:p>
    <w:p w14:paraId="35C27234">
      <w:pPr>
        <w:spacing w:line="400" w:lineRule="exact"/>
        <w:jc w:val="left"/>
        <w:rPr>
          <w:rFonts w:ascii="仿宋" w:hAnsi="仿宋" w:eastAsia="仿宋"/>
          <w:color w:val="auto"/>
          <w:sz w:val="28"/>
          <w:szCs w:val="28"/>
          <w:highlight w:val="none"/>
        </w:rPr>
      </w:pPr>
    </w:p>
    <w:p w14:paraId="441B0FEE">
      <w:pPr>
        <w:spacing w:line="400" w:lineRule="exact"/>
        <w:jc w:val="left"/>
        <w:rPr>
          <w:rFonts w:ascii="仿宋" w:hAnsi="仿宋" w:eastAsia="仿宋"/>
          <w:color w:val="auto"/>
          <w:sz w:val="28"/>
          <w:szCs w:val="28"/>
          <w:highlight w:val="none"/>
        </w:rPr>
      </w:pPr>
    </w:p>
    <w:p w14:paraId="3AA47F3D">
      <w:pPr>
        <w:spacing w:line="400" w:lineRule="exact"/>
        <w:jc w:val="left"/>
        <w:rPr>
          <w:rFonts w:ascii="仿宋" w:hAnsi="仿宋" w:eastAsia="仿宋"/>
          <w:color w:val="auto"/>
          <w:sz w:val="28"/>
          <w:szCs w:val="28"/>
          <w:highlight w:val="none"/>
        </w:rPr>
        <w:sectPr>
          <w:headerReference r:id="rId3" w:type="default"/>
          <w:footerReference r:id="rId4" w:type="default"/>
          <w:pgSz w:w="11906" w:h="16838"/>
          <w:pgMar w:top="709" w:right="1274" w:bottom="568" w:left="1276" w:header="851" w:footer="501" w:gutter="0"/>
          <w:cols w:space="425" w:num="1"/>
          <w:docGrid w:type="lines" w:linePitch="312" w:charSpace="0"/>
        </w:sectPr>
      </w:pPr>
    </w:p>
    <w:p w14:paraId="6DA9FA16">
      <w:pPr>
        <w:spacing w:line="480" w:lineRule="exact"/>
        <w:rPr>
          <w:rFonts w:ascii="黑体" w:hAnsi="黑体" w:eastAsia="黑体"/>
          <w:color w:val="auto"/>
          <w:sz w:val="28"/>
          <w:szCs w:val="28"/>
          <w:highlight w:val="none"/>
        </w:rPr>
      </w:pPr>
      <w:r>
        <w:rPr>
          <w:rFonts w:hint="eastAsia" w:ascii="黑体" w:hAnsi="黑体" w:eastAsia="黑体"/>
          <w:color w:val="auto"/>
          <w:sz w:val="28"/>
          <w:szCs w:val="28"/>
          <w:highlight w:val="none"/>
        </w:rPr>
        <w:t>附件一:</w:t>
      </w:r>
    </w:p>
    <w:p w14:paraId="7DBBE3F2">
      <w:pPr>
        <w:spacing w:line="480" w:lineRule="exact"/>
        <w:jc w:val="center"/>
        <w:rPr>
          <w:rFonts w:hint="eastAsia" w:ascii="黑体" w:hAnsi="黑体" w:eastAsia="黑体" w:cs="宋体"/>
          <w:color w:val="auto"/>
          <w:kern w:val="0"/>
          <w:sz w:val="30"/>
          <w:szCs w:val="30"/>
          <w:highlight w:val="none"/>
          <w:lang w:eastAsia="zh-CN"/>
        </w:rPr>
      </w:pPr>
      <w:r>
        <w:rPr>
          <w:rFonts w:hint="eastAsia" w:ascii="黑体" w:hAnsi="黑体" w:eastAsia="黑体" w:cs="宋体"/>
          <w:color w:val="auto"/>
          <w:kern w:val="0"/>
          <w:sz w:val="30"/>
          <w:szCs w:val="30"/>
          <w:highlight w:val="none"/>
          <w:lang w:val="en-US" w:eastAsia="zh-CN"/>
        </w:rPr>
        <w:t>中物流仓储</w:t>
      </w:r>
      <w:r>
        <w:rPr>
          <w:rFonts w:hint="eastAsia" w:ascii="黑体" w:hAnsi="黑体" w:eastAsia="黑体" w:cs="宋体"/>
          <w:color w:val="auto"/>
          <w:kern w:val="0"/>
          <w:sz w:val="30"/>
          <w:szCs w:val="30"/>
          <w:highlight w:val="none"/>
        </w:rPr>
        <w:t>物流服务费用标准</w:t>
      </w:r>
      <w:r>
        <w:rPr>
          <w:rFonts w:hint="eastAsia" w:ascii="黑体" w:hAnsi="黑体" w:eastAsia="黑体" w:cs="宋体"/>
          <w:color w:val="auto"/>
          <w:kern w:val="0"/>
          <w:sz w:val="30"/>
          <w:szCs w:val="30"/>
          <w:highlight w:val="none"/>
          <w:lang w:eastAsia="zh-CN"/>
        </w:rPr>
        <w:t>（</w:t>
      </w:r>
      <w:r>
        <w:rPr>
          <w:rFonts w:hint="eastAsia" w:ascii="黑体" w:hAnsi="黑体" w:eastAsia="黑体" w:cs="宋体"/>
          <w:color w:val="auto"/>
          <w:kern w:val="0"/>
          <w:sz w:val="30"/>
          <w:szCs w:val="30"/>
          <w:highlight w:val="none"/>
          <w:lang w:val="en-US" w:eastAsia="zh-CN"/>
        </w:rPr>
        <w:t>含税</w:t>
      </w:r>
      <w:r>
        <w:rPr>
          <w:rFonts w:hint="eastAsia" w:ascii="黑体" w:hAnsi="黑体" w:eastAsia="黑体" w:cs="宋体"/>
          <w:color w:val="auto"/>
          <w:kern w:val="0"/>
          <w:sz w:val="30"/>
          <w:szCs w:val="30"/>
          <w:highlight w:val="none"/>
          <w:lang w:eastAsia="zh-CN"/>
        </w:rPr>
        <w:t>）</w:t>
      </w:r>
    </w:p>
    <w:p w14:paraId="0B5D7233">
      <w:pPr>
        <w:spacing w:line="480" w:lineRule="exact"/>
        <w:jc w:val="center"/>
        <w:rPr>
          <w:rFonts w:hint="eastAsia" w:ascii="黑体" w:hAnsi="黑体" w:eastAsia="黑体" w:cs="宋体"/>
          <w:color w:val="auto"/>
          <w:kern w:val="0"/>
          <w:sz w:val="30"/>
          <w:szCs w:val="30"/>
          <w:highlight w:val="none"/>
        </w:rPr>
      </w:pPr>
    </w:p>
    <w:tbl>
      <w:tblPr>
        <w:tblStyle w:val="10"/>
        <w:tblW w:w="9696" w:type="dxa"/>
        <w:tblInd w:w="-124" w:type="dxa"/>
        <w:tblLayout w:type="fixed"/>
        <w:tblCellMar>
          <w:top w:w="0" w:type="dxa"/>
          <w:left w:w="108" w:type="dxa"/>
          <w:bottom w:w="0" w:type="dxa"/>
          <w:right w:w="108" w:type="dxa"/>
        </w:tblCellMar>
      </w:tblPr>
      <w:tblGrid>
        <w:gridCol w:w="732"/>
        <w:gridCol w:w="1995"/>
        <w:gridCol w:w="4860"/>
        <w:gridCol w:w="2109"/>
      </w:tblGrid>
      <w:tr w14:paraId="2E7E0A2A">
        <w:tblPrEx>
          <w:tblCellMar>
            <w:top w:w="0" w:type="dxa"/>
            <w:left w:w="108" w:type="dxa"/>
            <w:bottom w:w="0" w:type="dxa"/>
            <w:right w:w="108" w:type="dxa"/>
          </w:tblCellMar>
        </w:tblPrEx>
        <w:trPr>
          <w:trHeight w:val="639" w:hRule="atLeast"/>
        </w:trPr>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D9069">
            <w:pPr>
              <w:widowControl/>
              <w:spacing w:line="300" w:lineRule="exact"/>
              <w:jc w:val="center"/>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序号</w:t>
            </w:r>
          </w:p>
        </w:tc>
        <w:tc>
          <w:tcPr>
            <w:tcW w:w="1995" w:type="dxa"/>
            <w:tcBorders>
              <w:top w:val="single" w:color="auto" w:sz="4" w:space="0"/>
              <w:left w:val="nil"/>
              <w:bottom w:val="single" w:color="auto" w:sz="4" w:space="0"/>
              <w:right w:val="single" w:color="auto" w:sz="4" w:space="0"/>
            </w:tcBorders>
            <w:shd w:val="clear" w:color="auto" w:fill="auto"/>
            <w:noWrap/>
            <w:vAlign w:val="center"/>
          </w:tcPr>
          <w:p w14:paraId="3FD6C2E4">
            <w:pPr>
              <w:widowControl/>
              <w:spacing w:line="300" w:lineRule="exact"/>
              <w:jc w:val="center"/>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收费项目</w:t>
            </w:r>
          </w:p>
        </w:tc>
        <w:tc>
          <w:tcPr>
            <w:tcW w:w="4860" w:type="dxa"/>
            <w:tcBorders>
              <w:top w:val="single" w:color="auto" w:sz="4" w:space="0"/>
              <w:left w:val="nil"/>
              <w:bottom w:val="single" w:color="auto" w:sz="4" w:space="0"/>
              <w:right w:val="single" w:color="auto" w:sz="4" w:space="0"/>
            </w:tcBorders>
            <w:shd w:val="clear" w:color="auto" w:fill="auto"/>
            <w:noWrap/>
            <w:vAlign w:val="center"/>
          </w:tcPr>
          <w:p w14:paraId="188B030C">
            <w:pPr>
              <w:widowControl/>
              <w:spacing w:line="300" w:lineRule="exact"/>
              <w:jc w:val="center"/>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lang w:val="en-US" w:eastAsia="zh-CN"/>
              </w:rPr>
              <w:t>收费</w:t>
            </w:r>
            <w:r>
              <w:rPr>
                <w:rFonts w:hint="eastAsia" w:ascii="仿宋" w:hAnsi="仿宋" w:eastAsia="仿宋" w:cs="宋体"/>
                <w:b/>
                <w:color w:val="auto"/>
                <w:kern w:val="0"/>
                <w:sz w:val="24"/>
                <w:szCs w:val="24"/>
                <w:highlight w:val="none"/>
              </w:rPr>
              <w:t>标准</w:t>
            </w:r>
          </w:p>
        </w:tc>
        <w:tc>
          <w:tcPr>
            <w:tcW w:w="2109" w:type="dxa"/>
            <w:tcBorders>
              <w:top w:val="single" w:color="auto" w:sz="4" w:space="0"/>
              <w:left w:val="nil"/>
              <w:bottom w:val="single" w:color="auto" w:sz="4" w:space="0"/>
              <w:right w:val="single" w:color="auto" w:sz="4" w:space="0"/>
            </w:tcBorders>
            <w:shd w:val="clear" w:color="auto" w:fill="auto"/>
            <w:noWrap/>
            <w:vAlign w:val="center"/>
          </w:tcPr>
          <w:p w14:paraId="0D305AB6">
            <w:pPr>
              <w:widowControl/>
              <w:spacing w:line="300" w:lineRule="exact"/>
              <w:jc w:val="center"/>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备  注</w:t>
            </w:r>
          </w:p>
        </w:tc>
      </w:tr>
      <w:tr w14:paraId="21922CEE">
        <w:tblPrEx>
          <w:tblCellMar>
            <w:top w:w="0" w:type="dxa"/>
            <w:left w:w="108" w:type="dxa"/>
            <w:bottom w:w="0" w:type="dxa"/>
            <w:right w:w="108" w:type="dxa"/>
          </w:tblCellMar>
        </w:tblPrEx>
        <w:trPr>
          <w:trHeight w:val="1181" w:hRule="atLeast"/>
        </w:trPr>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CBFB7">
            <w:pPr>
              <w:widowControl/>
              <w:spacing w:line="300" w:lineRule="exact"/>
              <w:jc w:val="center"/>
              <w:rPr>
                <w:rFonts w:ascii="仿宋" w:hAnsi="仿宋" w:eastAsia="仿宋" w:cs="宋体"/>
                <w:b/>
                <w:color w:val="auto"/>
                <w:kern w:val="0"/>
                <w:szCs w:val="21"/>
                <w:highlight w:val="none"/>
              </w:rPr>
            </w:pPr>
            <w:r>
              <w:rPr>
                <w:rFonts w:hint="eastAsia" w:ascii="仿宋" w:hAnsi="仿宋" w:eastAsia="仿宋" w:cs="宋体"/>
                <w:color w:val="auto"/>
                <w:kern w:val="0"/>
                <w:szCs w:val="21"/>
                <w:highlight w:val="none"/>
              </w:rPr>
              <w:t>1</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8399E">
            <w:pPr>
              <w:widowControl/>
              <w:spacing w:line="300" w:lineRule="exact"/>
              <w:jc w:val="center"/>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仓储费</w:t>
            </w:r>
          </w:p>
          <w:p w14:paraId="1DEA1EB5">
            <w:pPr>
              <w:widowControl/>
              <w:spacing w:line="300" w:lineRule="exact"/>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（税率6%）</w:t>
            </w:r>
          </w:p>
        </w:tc>
        <w:tc>
          <w:tcPr>
            <w:tcW w:w="4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0915E">
            <w:pPr>
              <w:widowControl/>
              <w:spacing w:line="300" w:lineRule="exact"/>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u w:val="single"/>
                <w:lang w:val="en-US" w:eastAsia="zh-CN"/>
              </w:rPr>
              <w:t xml:space="preserve"> 25 </w:t>
            </w:r>
            <w:r>
              <w:rPr>
                <w:rFonts w:hint="eastAsia" w:ascii="仿宋" w:hAnsi="仿宋" w:eastAsia="仿宋" w:cs="宋体"/>
                <w:color w:val="auto"/>
                <w:kern w:val="0"/>
                <w:szCs w:val="21"/>
                <w:highlight w:val="none"/>
              </w:rPr>
              <w:t>元/平方米/月</w:t>
            </w:r>
          </w:p>
        </w:tc>
        <w:tc>
          <w:tcPr>
            <w:tcW w:w="2109" w:type="dxa"/>
            <w:tcBorders>
              <w:top w:val="nil"/>
              <w:left w:val="nil"/>
              <w:bottom w:val="single" w:color="auto" w:sz="4" w:space="0"/>
              <w:right w:val="single" w:color="auto" w:sz="4" w:space="0"/>
            </w:tcBorders>
            <w:shd w:val="clear" w:color="auto" w:fill="auto"/>
            <w:noWrap/>
            <w:vAlign w:val="center"/>
          </w:tcPr>
          <w:p w14:paraId="3E5498FB">
            <w:pPr>
              <w:widowControl/>
              <w:jc w:val="left"/>
              <w:rPr>
                <w:rFonts w:ascii="仿宋" w:hAnsi="仿宋" w:eastAsia="仿宋" w:cs="宋体"/>
                <w:color w:val="auto"/>
                <w:kern w:val="0"/>
                <w:szCs w:val="21"/>
                <w:highlight w:val="none"/>
              </w:rPr>
            </w:pPr>
          </w:p>
        </w:tc>
      </w:tr>
      <w:tr w14:paraId="1F22B3DA">
        <w:tblPrEx>
          <w:tblCellMar>
            <w:top w:w="0" w:type="dxa"/>
            <w:left w:w="108" w:type="dxa"/>
            <w:bottom w:w="0" w:type="dxa"/>
            <w:right w:w="108" w:type="dxa"/>
          </w:tblCellMar>
        </w:tblPrEx>
        <w:trPr>
          <w:trHeight w:val="1705" w:hRule="atLeast"/>
        </w:trPr>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033E5">
            <w:pPr>
              <w:widowControl/>
              <w:spacing w:line="300" w:lineRule="exact"/>
              <w:jc w:val="center"/>
              <w:rPr>
                <w:rFonts w:hint="eastAsia"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lang w:val="en-US" w:eastAsia="zh-CN"/>
              </w:rPr>
              <w:t>2</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5EB93">
            <w:pPr>
              <w:widowControl/>
              <w:spacing w:line="300" w:lineRule="exact"/>
              <w:jc w:val="center"/>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配送服务费</w:t>
            </w:r>
          </w:p>
          <w:p w14:paraId="08B86581">
            <w:pPr>
              <w:widowControl/>
              <w:spacing w:line="300" w:lineRule="exact"/>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（税率9%）</w:t>
            </w:r>
          </w:p>
        </w:tc>
        <w:tc>
          <w:tcPr>
            <w:tcW w:w="4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F54AD">
            <w:pPr>
              <w:widowControl/>
              <w:spacing w:line="300" w:lineRule="exact"/>
              <w:jc w:val="both"/>
              <w:rPr>
                <w:rFonts w:hint="default" w:ascii="仿宋" w:hAnsi="仿宋" w:eastAsia="仿宋" w:cs="宋体"/>
                <w:color w:val="auto"/>
                <w:kern w:val="0"/>
                <w:szCs w:val="21"/>
                <w:highlight w:val="none"/>
                <w:lang w:val="en-US" w:eastAsia="zh-CN"/>
              </w:rPr>
            </w:pPr>
            <w:r>
              <w:rPr>
                <w:rFonts w:hint="eastAsia" w:ascii="仿宋" w:hAnsi="仿宋" w:eastAsia="仿宋" w:cs="宋体"/>
                <w:kern w:val="0"/>
                <w:szCs w:val="21"/>
                <w:highlight w:val="none"/>
              </w:rPr>
              <w:t>按照配送主机厂当月采购发票含税金额的</w:t>
            </w:r>
            <w:r>
              <w:rPr>
                <w:rFonts w:hint="eastAsia" w:ascii="仿宋" w:hAnsi="仿宋" w:eastAsia="仿宋" w:cs="宋体"/>
                <w:kern w:val="0"/>
                <w:szCs w:val="21"/>
                <w:highlight w:val="none"/>
                <w:u w:val="single"/>
              </w:rPr>
              <w:t>0.</w:t>
            </w:r>
            <w:r>
              <w:rPr>
                <w:rFonts w:hint="eastAsia" w:ascii="仿宋" w:hAnsi="仿宋" w:eastAsia="仿宋" w:cs="宋体"/>
                <w:kern w:val="0"/>
                <w:szCs w:val="21"/>
                <w:highlight w:val="none"/>
                <w:u w:val="single"/>
                <w:lang w:val="en-US" w:eastAsia="zh-CN"/>
              </w:rPr>
              <w:t xml:space="preserve">3 </w:t>
            </w:r>
            <w:r>
              <w:rPr>
                <w:rFonts w:hint="eastAsia" w:ascii="仿宋" w:hAnsi="仿宋" w:eastAsia="仿宋" w:cs="宋体"/>
                <w:kern w:val="0"/>
                <w:szCs w:val="21"/>
                <w:highlight w:val="none"/>
                <w:u w:val="single"/>
              </w:rPr>
              <w:t>%</w:t>
            </w:r>
            <w:r>
              <w:rPr>
                <w:rFonts w:hint="eastAsia" w:ascii="仿宋" w:hAnsi="仿宋" w:eastAsia="仿宋" w:cs="宋体"/>
                <w:kern w:val="0"/>
                <w:szCs w:val="21"/>
                <w:highlight w:val="none"/>
              </w:rPr>
              <w:t>计算。</w:t>
            </w:r>
          </w:p>
        </w:tc>
        <w:tc>
          <w:tcPr>
            <w:tcW w:w="2109" w:type="dxa"/>
            <w:tcBorders>
              <w:top w:val="nil"/>
              <w:left w:val="nil"/>
              <w:bottom w:val="single" w:color="auto" w:sz="4" w:space="0"/>
              <w:right w:val="single" w:color="auto" w:sz="4" w:space="0"/>
            </w:tcBorders>
            <w:shd w:val="clear" w:color="auto" w:fill="auto"/>
            <w:noWrap/>
            <w:vAlign w:val="center"/>
          </w:tcPr>
          <w:p w14:paraId="6B8154E9">
            <w:pPr>
              <w:widowControl/>
              <w:jc w:val="left"/>
              <w:rPr>
                <w:rFonts w:hint="eastAsia" w:ascii="仿宋" w:hAnsi="仿宋" w:eastAsia="仿宋" w:cs="宋体"/>
                <w:color w:val="auto"/>
                <w:kern w:val="0"/>
                <w:szCs w:val="21"/>
                <w:highlight w:val="none"/>
              </w:rPr>
            </w:pPr>
          </w:p>
        </w:tc>
      </w:tr>
    </w:tbl>
    <w:p w14:paraId="67CE88F1">
      <w:pPr>
        <w:widowControl/>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注：除上述收费项目外，乙方不能收取合同规定外的一切费用</w:t>
      </w:r>
    </w:p>
    <w:p w14:paraId="3D37D9B3">
      <w:pPr>
        <w:widowControl/>
        <w:rPr>
          <w:rFonts w:hint="eastAsia" w:ascii="仿宋" w:hAnsi="仿宋" w:eastAsia="仿宋" w:cs="仿宋"/>
          <w:b/>
          <w:bCs/>
          <w:color w:val="auto"/>
          <w:sz w:val="24"/>
          <w:szCs w:val="24"/>
          <w:highlight w:val="none"/>
        </w:rPr>
      </w:pPr>
    </w:p>
    <w:p w14:paraId="3984A2AD">
      <w:pPr>
        <w:widowControl/>
        <w:rPr>
          <w:rFonts w:hint="eastAsia" w:ascii="仿宋" w:hAnsi="仿宋" w:eastAsia="仿宋" w:cs="仿宋"/>
          <w:b/>
          <w:bCs/>
          <w:color w:val="auto"/>
          <w:sz w:val="24"/>
          <w:szCs w:val="24"/>
          <w:highlight w:val="none"/>
        </w:rPr>
      </w:pPr>
    </w:p>
    <w:p w14:paraId="331C223B">
      <w:pPr>
        <w:widowControl/>
        <w:rPr>
          <w:rFonts w:hint="eastAsia" w:ascii="仿宋" w:hAnsi="仿宋" w:eastAsia="仿宋" w:cs="仿宋"/>
          <w:b/>
          <w:bCs/>
          <w:color w:val="auto"/>
          <w:sz w:val="24"/>
          <w:szCs w:val="24"/>
          <w:highlight w:val="none"/>
        </w:rPr>
      </w:pPr>
    </w:p>
    <w:p w14:paraId="6E0480A5">
      <w:pPr>
        <w:widowControl/>
        <w:rPr>
          <w:rFonts w:hint="eastAsia" w:ascii="仿宋" w:hAnsi="仿宋" w:eastAsia="仿宋" w:cs="仿宋"/>
          <w:b/>
          <w:bCs/>
          <w:color w:val="auto"/>
          <w:sz w:val="24"/>
          <w:szCs w:val="24"/>
          <w:highlight w:val="none"/>
        </w:rPr>
      </w:pPr>
    </w:p>
    <w:p w14:paraId="64630660">
      <w:pPr>
        <w:widowControl/>
        <w:rPr>
          <w:rFonts w:hint="eastAsia" w:ascii="仿宋" w:hAnsi="仿宋" w:eastAsia="仿宋" w:cs="仿宋"/>
          <w:b/>
          <w:bCs/>
          <w:color w:val="auto"/>
          <w:sz w:val="24"/>
          <w:szCs w:val="24"/>
          <w:highlight w:val="none"/>
        </w:rPr>
      </w:pPr>
    </w:p>
    <w:p w14:paraId="6A6E5512">
      <w:pPr>
        <w:widowControl/>
        <w:rPr>
          <w:rFonts w:hint="eastAsia" w:ascii="仿宋" w:hAnsi="仿宋" w:eastAsia="仿宋" w:cs="仿宋"/>
          <w:b/>
          <w:bCs/>
          <w:color w:val="auto"/>
          <w:sz w:val="24"/>
          <w:szCs w:val="24"/>
          <w:highlight w:val="none"/>
        </w:rPr>
      </w:pPr>
    </w:p>
    <w:p w14:paraId="267E886F">
      <w:pPr>
        <w:widowControl/>
        <w:rPr>
          <w:rFonts w:hint="eastAsia" w:ascii="仿宋" w:hAnsi="仿宋" w:eastAsia="仿宋" w:cs="仿宋"/>
          <w:b/>
          <w:bCs/>
          <w:color w:val="auto"/>
          <w:sz w:val="24"/>
          <w:szCs w:val="24"/>
          <w:highlight w:val="none"/>
        </w:rPr>
      </w:pPr>
    </w:p>
    <w:p w14:paraId="0105D55D">
      <w:pPr>
        <w:widowControl/>
        <w:rPr>
          <w:rFonts w:hint="eastAsia" w:ascii="仿宋" w:hAnsi="仿宋" w:eastAsia="仿宋" w:cs="仿宋"/>
          <w:b/>
          <w:bCs/>
          <w:color w:val="auto"/>
          <w:sz w:val="24"/>
          <w:szCs w:val="24"/>
          <w:highlight w:val="none"/>
        </w:rPr>
      </w:pPr>
    </w:p>
    <w:p w14:paraId="2711A33C">
      <w:pPr>
        <w:widowControl/>
        <w:rPr>
          <w:rFonts w:hint="eastAsia" w:ascii="仿宋" w:hAnsi="仿宋" w:eastAsia="仿宋" w:cs="仿宋"/>
          <w:b/>
          <w:bCs/>
          <w:color w:val="auto"/>
          <w:sz w:val="24"/>
          <w:szCs w:val="24"/>
          <w:highlight w:val="none"/>
        </w:rPr>
      </w:pPr>
    </w:p>
    <w:p w14:paraId="7BE44BF2">
      <w:pPr>
        <w:widowControl/>
        <w:rPr>
          <w:rFonts w:hint="eastAsia" w:ascii="仿宋" w:hAnsi="仿宋" w:eastAsia="仿宋" w:cs="仿宋"/>
          <w:b/>
          <w:bCs/>
          <w:color w:val="auto"/>
          <w:sz w:val="24"/>
          <w:szCs w:val="24"/>
          <w:highlight w:val="none"/>
        </w:rPr>
      </w:pPr>
    </w:p>
    <w:p w14:paraId="130C10BB">
      <w:pPr>
        <w:widowControl/>
        <w:rPr>
          <w:rFonts w:hint="eastAsia" w:ascii="仿宋" w:hAnsi="仿宋" w:eastAsia="仿宋" w:cs="仿宋"/>
          <w:b/>
          <w:bCs/>
          <w:color w:val="auto"/>
          <w:sz w:val="24"/>
          <w:szCs w:val="24"/>
          <w:highlight w:val="none"/>
        </w:rPr>
      </w:pPr>
    </w:p>
    <w:p w14:paraId="40AA7432">
      <w:pPr>
        <w:widowControl/>
        <w:rPr>
          <w:rFonts w:hint="eastAsia" w:ascii="仿宋" w:hAnsi="仿宋" w:eastAsia="仿宋" w:cs="仿宋"/>
          <w:b/>
          <w:bCs/>
          <w:color w:val="auto"/>
          <w:sz w:val="24"/>
          <w:szCs w:val="24"/>
          <w:highlight w:val="none"/>
        </w:rPr>
      </w:pPr>
    </w:p>
    <w:p w14:paraId="4147B8C0">
      <w:pPr>
        <w:widowControl/>
        <w:rPr>
          <w:rFonts w:hint="eastAsia" w:ascii="仿宋" w:hAnsi="仿宋" w:eastAsia="仿宋" w:cs="仿宋"/>
          <w:b/>
          <w:bCs/>
          <w:color w:val="auto"/>
          <w:sz w:val="24"/>
          <w:szCs w:val="24"/>
          <w:highlight w:val="none"/>
        </w:rPr>
      </w:pPr>
    </w:p>
    <w:p w14:paraId="47CB7172">
      <w:pPr>
        <w:widowControl/>
        <w:rPr>
          <w:rFonts w:hint="eastAsia" w:ascii="仿宋" w:hAnsi="仿宋" w:eastAsia="仿宋" w:cs="仿宋"/>
          <w:b/>
          <w:bCs/>
          <w:color w:val="auto"/>
          <w:sz w:val="24"/>
          <w:szCs w:val="24"/>
          <w:highlight w:val="none"/>
        </w:rPr>
      </w:pPr>
    </w:p>
    <w:p w14:paraId="2BF6AAEB">
      <w:pPr>
        <w:widowControl/>
        <w:rPr>
          <w:rFonts w:hint="eastAsia" w:ascii="仿宋" w:hAnsi="仿宋" w:eastAsia="仿宋" w:cs="仿宋"/>
          <w:b/>
          <w:bCs/>
          <w:color w:val="auto"/>
          <w:sz w:val="24"/>
          <w:szCs w:val="24"/>
          <w:highlight w:val="none"/>
        </w:rPr>
      </w:pPr>
    </w:p>
    <w:p w14:paraId="790BC386">
      <w:pPr>
        <w:widowControl/>
        <w:rPr>
          <w:rFonts w:hint="eastAsia" w:ascii="仿宋" w:hAnsi="仿宋" w:eastAsia="仿宋" w:cs="仿宋"/>
          <w:b/>
          <w:bCs/>
          <w:color w:val="auto"/>
          <w:sz w:val="24"/>
          <w:szCs w:val="24"/>
          <w:highlight w:val="none"/>
        </w:rPr>
      </w:pPr>
    </w:p>
    <w:p w14:paraId="6E1899A1">
      <w:pPr>
        <w:widowControl/>
        <w:rPr>
          <w:rFonts w:hint="eastAsia" w:ascii="仿宋" w:hAnsi="仿宋" w:eastAsia="仿宋" w:cs="仿宋"/>
          <w:b/>
          <w:bCs/>
          <w:color w:val="auto"/>
          <w:sz w:val="24"/>
          <w:szCs w:val="24"/>
          <w:highlight w:val="none"/>
        </w:rPr>
      </w:pPr>
    </w:p>
    <w:p w14:paraId="32BA14E9">
      <w:pPr>
        <w:widowControl/>
        <w:rPr>
          <w:rFonts w:hint="eastAsia" w:ascii="仿宋" w:hAnsi="仿宋" w:eastAsia="仿宋" w:cs="仿宋"/>
          <w:b/>
          <w:bCs/>
          <w:color w:val="auto"/>
          <w:sz w:val="24"/>
          <w:szCs w:val="24"/>
          <w:highlight w:val="none"/>
        </w:rPr>
      </w:pPr>
    </w:p>
    <w:p w14:paraId="088C2582">
      <w:pPr>
        <w:widowControl/>
        <w:rPr>
          <w:rFonts w:hint="eastAsia" w:ascii="仿宋" w:hAnsi="仿宋" w:eastAsia="仿宋" w:cs="仿宋"/>
          <w:b/>
          <w:bCs/>
          <w:color w:val="auto"/>
          <w:sz w:val="24"/>
          <w:szCs w:val="24"/>
          <w:highlight w:val="none"/>
        </w:rPr>
      </w:pPr>
    </w:p>
    <w:p w14:paraId="202B6C5C">
      <w:pPr>
        <w:widowControl/>
        <w:rPr>
          <w:rFonts w:hint="eastAsia" w:ascii="仿宋" w:hAnsi="仿宋" w:eastAsia="仿宋" w:cs="仿宋"/>
          <w:b/>
          <w:bCs/>
          <w:color w:val="auto"/>
          <w:sz w:val="24"/>
          <w:szCs w:val="24"/>
          <w:highlight w:val="none"/>
        </w:rPr>
      </w:pPr>
    </w:p>
    <w:p w14:paraId="7C80D807">
      <w:pPr>
        <w:widowControl/>
        <w:rPr>
          <w:rFonts w:hint="eastAsia" w:ascii="仿宋" w:hAnsi="仿宋" w:eastAsia="仿宋" w:cs="仿宋"/>
          <w:b/>
          <w:bCs/>
          <w:color w:val="auto"/>
          <w:sz w:val="24"/>
          <w:szCs w:val="24"/>
          <w:highlight w:val="none"/>
        </w:rPr>
      </w:pPr>
    </w:p>
    <w:p w14:paraId="54EAA5E4">
      <w:pPr>
        <w:widowControl/>
        <w:rPr>
          <w:rFonts w:hint="eastAsia" w:ascii="仿宋" w:hAnsi="仿宋" w:eastAsia="仿宋" w:cs="仿宋"/>
          <w:b/>
          <w:bCs/>
          <w:color w:val="auto"/>
          <w:sz w:val="24"/>
          <w:szCs w:val="24"/>
          <w:highlight w:val="none"/>
        </w:rPr>
      </w:pPr>
    </w:p>
    <w:p w14:paraId="092D14C7">
      <w:pPr>
        <w:widowControl/>
        <w:rPr>
          <w:rFonts w:hint="eastAsia" w:ascii="仿宋" w:hAnsi="仿宋" w:eastAsia="仿宋" w:cs="仿宋"/>
          <w:b/>
          <w:bCs/>
          <w:color w:val="auto"/>
          <w:sz w:val="24"/>
          <w:szCs w:val="24"/>
          <w:highlight w:val="none"/>
        </w:rPr>
      </w:pPr>
    </w:p>
    <w:p w14:paraId="0A51B833">
      <w:pPr>
        <w:widowControl/>
        <w:rPr>
          <w:rFonts w:hint="eastAsia" w:ascii="仿宋" w:hAnsi="仿宋" w:eastAsia="仿宋" w:cs="仿宋"/>
          <w:b/>
          <w:bCs/>
          <w:color w:val="auto"/>
          <w:sz w:val="24"/>
          <w:szCs w:val="24"/>
          <w:highlight w:val="none"/>
        </w:rPr>
      </w:pPr>
    </w:p>
    <w:p w14:paraId="6AC276F4">
      <w:pPr>
        <w:widowControl/>
        <w:rPr>
          <w:rFonts w:hint="eastAsia" w:ascii="仿宋" w:hAnsi="仿宋" w:eastAsia="仿宋" w:cs="仿宋"/>
          <w:b/>
          <w:bCs/>
          <w:color w:val="auto"/>
          <w:sz w:val="24"/>
          <w:szCs w:val="24"/>
          <w:highlight w:val="none"/>
        </w:rPr>
      </w:pPr>
    </w:p>
    <w:p w14:paraId="153746EC">
      <w:pPr>
        <w:widowControl/>
        <w:rPr>
          <w:rFonts w:hint="eastAsia" w:ascii="仿宋" w:hAnsi="仿宋" w:eastAsia="仿宋" w:cs="仿宋"/>
          <w:b/>
          <w:bCs/>
          <w:color w:val="auto"/>
          <w:sz w:val="24"/>
          <w:szCs w:val="24"/>
          <w:highlight w:val="none"/>
        </w:rPr>
      </w:pPr>
    </w:p>
    <w:p w14:paraId="2AA9E2A0">
      <w:pPr>
        <w:widowControl/>
        <w:rPr>
          <w:rFonts w:hint="eastAsia" w:ascii="仿宋" w:hAnsi="仿宋" w:eastAsia="仿宋" w:cs="仿宋"/>
          <w:b/>
          <w:bCs/>
          <w:color w:val="auto"/>
          <w:sz w:val="24"/>
          <w:szCs w:val="24"/>
          <w:highlight w:val="none"/>
        </w:rPr>
      </w:pPr>
    </w:p>
    <w:p w14:paraId="6FFCD051">
      <w:pPr>
        <w:widowControl/>
        <w:rPr>
          <w:rFonts w:hint="eastAsia" w:ascii="仿宋" w:hAnsi="仿宋" w:eastAsia="仿宋" w:cs="仿宋"/>
          <w:b/>
          <w:bCs/>
          <w:color w:val="auto"/>
          <w:sz w:val="24"/>
          <w:szCs w:val="24"/>
          <w:highlight w:val="none"/>
        </w:rPr>
      </w:pPr>
    </w:p>
    <w:p w14:paraId="33449FD6">
      <w:pPr>
        <w:widowControl/>
        <w:rPr>
          <w:rFonts w:hint="eastAsia" w:ascii="仿宋" w:hAnsi="仿宋" w:eastAsia="仿宋" w:cs="仿宋"/>
          <w:b/>
          <w:bCs/>
          <w:color w:val="auto"/>
          <w:sz w:val="24"/>
          <w:szCs w:val="24"/>
          <w:highlight w:val="none"/>
        </w:rPr>
      </w:pPr>
    </w:p>
    <w:p w14:paraId="60241CF3">
      <w:pPr>
        <w:spacing w:line="480" w:lineRule="exact"/>
        <w:rPr>
          <w:rFonts w:hint="eastAsia" w:ascii="黑体" w:hAnsi="黑体" w:eastAsia="黑体"/>
          <w:sz w:val="28"/>
          <w:szCs w:val="28"/>
        </w:rPr>
      </w:pPr>
      <w:r>
        <w:rPr>
          <w:rFonts w:hint="eastAsia" w:ascii="黑体" w:hAnsi="黑体" w:eastAsia="黑体"/>
          <w:sz w:val="28"/>
          <w:szCs w:val="28"/>
        </w:rPr>
        <w:t>附件</w:t>
      </w:r>
      <w:r>
        <w:rPr>
          <w:rFonts w:hint="eastAsia" w:ascii="黑体" w:hAnsi="黑体" w:eastAsia="黑体"/>
          <w:sz w:val="28"/>
          <w:szCs w:val="28"/>
          <w:lang w:val="en-US" w:eastAsia="zh-CN"/>
        </w:rPr>
        <w:t>二</w:t>
      </w:r>
      <w:r>
        <w:rPr>
          <w:rFonts w:hint="eastAsia" w:ascii="黑体" w:hAnsi="黑体" w:eastAsia="黑体"/>
          <w:sz w:val="28"/>
          <w:szCs w:val="28"/>
        </w:rPr>
        <w:t>:</w:t>
      </w:r>
    </w:p>
    <w:p w14:paraId="5D6D6346">
      <w:pPr>
        <w:pStyle w:val="41"/>
        <w:ind w:firstLine="0" w:firstLineChars="0"/>
        <w:rPr>
          <w:rFonts w:ascii="黑体" w:hAnsi="黑体" w:eastAsia="黑体"/>
          <w:color w:val="000000"/>
          <w:sz w:val="28"/>
          <w:szCs w:val="28"/>
        </w:rPr>
      </w:pPr>
      <w:r>
        <w:rPr>
          <w:rFonts w:ascii="黑体" w:hAnsi="黑体" w:eastAsia="黑体"/>
          <w:color w:val="000000"/>
          <w:szCs w:val="21"/>
        </w:rPr>
        <w:t xml:space="preserve">                                               </w:t>
      </w:r>
      <w:r>
        <w:rPr>
          <w:rFonts w:hint="eastAsia" w:ascii="黑体" w:hAnsi="黑体" w:eastAsia="黑体"/>
          <w:color w:val="000000"/>
          <w:szCs w:val="21"/>
          <w:lang w:val="en-US" w:eastAsia="zh-CN"/>
        </w:rPr>
        <w:t xml:space="preserve">                          </w:t>
      </w:r>
      <w:r>
        <w:rPr>
          <w:rFonts w:ascii="黑体" w:hAnsi="黑体" w:eastAsia="黑体"/>
          <w:color w:val="000000"/>
          <w:szCs w:val="21"/>
        </w:rPr>
        <w:t xml:space="preserve"> </w:t>
      </w:r>
      <w:r>
        <w:rPr>
          <w:rFonts w:hint="eastAsia" w:ascii="黑体" w:hAnsi="黑体" w:eastAsia="黑体"/>
          <w:color w:val="000000"/>
          <w:szCs w:val="21"/>
        </w:rPr>
        <w:t xml:space="preserve"> </w:t>
      </w:r>
    </w:p>
    <w:p w14:paraId="4C2E7802">
      <w:pPr>
        <w:adjustRightInd w:val="0"/>
        <w:snapToGrid w:val="0"/>
        <w:spacing w:line="360" w:lineRule="exact"/>
        <w:jc w:val="center"/>
        <w:rPr>
          <w:rFonts w:ascii="黑体" w:hAnsi="黑体" w:eastAsia="黑体"/>
          <w:color w:val="000000"/>
          <w:sz w:val="30"/>
          <w:szCs w:val="30"/>
        </w:rPr>
      </w:pPr>
      <w:r>
        <w:rPr>
          <w:rFonts w:hint="eastAsia" w:ascii="黑体" w:hAnsi="黑体" w:eastAsia="黑体"/>
          <w:color w:val="000000"/>
          <w:sz w:val="28"/>
          <w:szCs w:val="28"/>
        </w:rPr>
        <w:t>安全生产管理协议书（C类）</w:t>
      </w:r>
    </w:p>
    <w:p w14:paraId="1D7A793F">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甲方：</w:t>
      </w:r>
      <w:r>
        <w:rPr>
          <w:rFonts w:hint="eastAsia" w:ascii="仿宋" w:hAnsi="仿宋" w:eastAsia="仿宋" w:cs="仿宋"/>
          <w:sz w:val="28"/>
          <w:szCs w:val="28"/>
          <w:u w:val="single"/>
        </w:rPr>
        <w:t>中物流（徐州）物流有限公司</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319C6350">
      <w:pPr>
        <w:widowControl/>
        <w:spacing w:line="41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乙方：</w:t>
      </w:r>
      <w:r>
        <w:rPr>
          <w:rFonts w:hint="eastAsia" w:ascii="仿宋" w:hAnsi="仿宋" w:eastAsia="仿宋"/>
          <w:sz w:val="28"/>
          <w:szCs w:val="28"/>
          <w:highlight w:val="none"/>
          <w:u w:val="single"/>
          <w:lang w:val="en-US" w:eastAsia="zh-CN"/>
        </w:rPr>
        <w:t>北京光华荣昌汽车部件有限公司</w:t>
      </w:r>
      <w:r>
        <w:rPr>
          <w:rFonts w:hint="eastAsia" w:ascii="仿宋" w:hAnsi="仿宋" w:eastAsia="仿宋" w:cs="仿宋"/>
          <w:sz w:val="28"/>
          <w:szCs w:val="28"/>
          <w:u w:val="single"/>
          <w:lang w:val="en-US" w:eastAsia="zh-CN"/>
        </w:rPr>
        <w:t xml:space="preserve">   </w:t>
      </w:r>
    </w:p>
    <w:p w14:paraId="2F1E6F13">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val="en-US" w:eastAsia="zh-CN"/>
        </w:rPr>
        <w:t>仓储物流服务合同</w:t>
      </w:r>
    </w:p>
    <w:p w14:paraId="55A928BC">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根据《中华人民共和国安全生产法》《中华人民共和国消防法》《中华人民共和国特种设备安全法》《中华人民共和国职业病防治法》《中华人民共和国环境保护法》《江苏省安全生产条例》等法律、法规和规定，甲乙双方经充分协商，除主合同明确的双方安全环保权利义务、责任外，就乙方在甲方公司内从事各类服务作业达成如下协议：</w:t>
      </w:r>
    </w:p>
    <w:p w14:paraId="32FBA995">
      <w:pPr>
        <w:widowControl/>
        <w:spacing w:line="410" w:lineRule="exact"/>
        <w:ind w:firstLine="562" w:firstLineChars="200"/>
        <w:rPr>
          <w:rFonts w:hint="eastAsia" w:ascii="仿宋" w:hAnsi="仿宋" w:eastAsia="仿宋"/>
          <w:sz w:val="28"/>
          <w:szCs w:val="28"/>
        </w:rPr>
      </w:pPr>
      <w:r>
        <w:rPr>
          <w:rFonts w:hint="eastAsia" w:ascii="仿宋" w:hAnsi="仿宋" w:eastAsia="仿宋"/>
          <w:b/>
          <w:bCs/>
          <w:sz w:val="28"/>
          <w:szCs w:val="28"/>
        </w:rPr>
        <w:t>一、双方义务</w:t>
      </w:r>
    </w:p>
    <w:p w14:paraId="0CD47B3E">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1.甲乙双方必须认真贯彻执行《中华人民共和国安全生产法》《中华人民共和国消防法》《中华人民共和国特种设备安全法》《中华人民共和国职业病防治法》《中华人民共和国环境保护法》《江苏省安全生产条例》以及国家、地方颁布的其他有关安全生产、消防安全、职业卫生、环境保护等法律法规和其他要求。</w:t>
      </w:r>
    </w:p>
    <w:p w14:paraId="004D50E5">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2.甲乙双方必须对本单位人员负责，做好安全环保有关工作的监督与管理。</w:t>
      </w:r>
    </w:p>
    <w:p w14:paraId="641F9159">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3.甲乙双方应严禁违章指挥、强令冒险作业，及时制止“三违”行为，任何人员均有权拒绝违章指挥。</w:t>
      </w:r>
    </w:p>
    <w:p w14:paraId="3974A3A2">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4.甲乙双方应对乙方人员进行安全生产、消防安全、职业卫生、环境保护等方面的教育培训或告知。</w:t>
      </w:r>
    </w:p>
    <w:p w14:paraId="3E761238">
      <w:pPr>
        <w:widowControl/>
        <w:spacing w:line="410" w:lineRule="exact"/>
        <w:ind w:firstLine="562" w:firstLineChars="200"/>
        <w:rPr>
          <w:rFonts w:hint="eastAsia" w:ascii="仿宋" w:hAnsi="仿宋" w:eastAsia="仿宋"/>
          <w:sz w:val="28"/>
          <w:szCs w:val="28"/>
        </w:rPr>
      </w:pPr>
      <w:r>
        <w:rPr>
          <w:rFonts w:hint="eastAsia" w:ascii="仿宋" w:hAnsi="仿宋" w:eastAsia="仿宋"/>
          <w:b/>
          <w:bCs/>
          <w:sz w:val="28"/>
          <w:szCs w:val="28"/>
        </w:rPr>
        <w:t>二、甲方权利、责任和义务</w:t>
      </w:r>
    </w:p>
    <w:p w14:paraId="23751BFF">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1.建立健全相关方安全管理制度，对乙方在租赁场所内的职业健康安全环保工作进行统一协调、管理。</w:t>
      </w:r>
    </w:p>
    <w:p w14:paraId="733FD8CF">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2.开展安全风险辨识管控，并告知乙方作业场所存在的安全风险及防范措施等。</w:t>
      </w:r>
    </w:p>
    <w:p w14:paraId="70EA111C">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3.审查乙方依法应具备的相应资质（包括但不限于营业执照、安全资格证书、上岗前职业健康检查、特殊许可证等）和安全生产条件，验证提交材料的真实性。</w:t>
      </w:r>
    </w:p>
    <w:p w14:paraId="0EF1C1AD">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4.对乙方人员进行入厂职业健康安全培训，经考核合格后方可进入作业现场。</w:t>
      </w:r>
    </w:p>
    <w:p w14:paraId="326F158F">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5.对乙方的安全风险管控措施落实情况以及人员的安全生产、文明作业进行检查，及时纠正乙方人员“三违”行为，并按照有关规定给予查处。对乙方作业过程中出现的各类事故隐患，下发隐患整改通知单或通报，并督促整改。</w:t>
      </w:r>
    </w:p>
    <w:p w14:paraId="6CAB9D4E">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6.对乙方从事各类作业人员的安全教育培训、劳动保护用品配戴和使用、特种（设备）作业人员持证上岗以等各项安全管理事项提出指导意见，并监督落实整改情况。</w:t>
      </w:r>
    </w:p>
    <w:p w14:paraId="3EF9C7FF">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7.对乙方提出的危险作业申请，协助乙方办理危险作业审批，涉及多方交叉作业的，进行统一协调、管理。</w:t>
      </w:r>
    </w:p>
    <w:p w14:paraId="56DBE18C">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8.对乙方提出的安全生产需求，甲方在职责范围内应积极给予帮助和支持。</w:t>
      </w:r>
    </w:p>
    <w:p w14:paraId="18D7D258">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9.对乙方进行监督检查、年度资质审核。对检查或资质审核过程中发现乙方存在不符合安全、环保、职业卫生、消防等法定要求或甲方规章制度的，甲方有权要求乙方予以纠正，并按照本协议进行处理，情况严重的，甲方有权终止与乙方的合作关系，给甲方造成声誉、利益等损失的，乙方应按照本协议赔偿。</w:t>
      </w:r>
    </w:p>
    <w:p w14:paraId="7F6A64F1">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10.乙方在作业过程中发生生产安全事故时，甲方有义务协助乙方进行现场抢救工作。</w:t>
      </w:r>
    </w:p>
    <w:p w14:paraId="58E9AB90">
      <w:pPr>
        <w:widowControl/>
        <w:spacing w:line="410" w:lineRule="exact"/>
        <w:ind w:firstLine="562" w:firstLineChars="200"/>
        <w:rPr>
          <w:rFonts w:hint="eastAsia" w:ascii="仿宋" w:hAnsi="仿宋" w:eastAsia="仿宋"/>
          <w:b/>
          <w:bCs/>
          <w:sz w:val="28"/>
          <w:szCs w:val="28"/>
        </w:rPr>
      </w:pPr>
      <w:r>
        <w:rPr>
          <w:rFonts w:hint="eastAsia" w:ascii="仿宋" w:hAnsi="仿宋" w:eastAsia="仿宋"/>
          <w:b/>
          <w:bCs/>
          <w:sz w:val="28"/>
          <w:szCs w:val="28"/>
        </w:rPr>
        <w:t>三、乙方的权利、责任和义务</w:t>
      </w:r>
    </w:p>
    <w:p w14:paraId="739C1278">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1.乙方应当依法取得相应的经营资质，保证具备安全生产条件，并在其资质范围内承揽业务，不得转包其承揽的业务。进入租赁场所内人员需持有乙方《授权委托书》（见附件）。</w:t>
      </w:r>
    </w:p>
    <w:p w14:paraId="490D6F2D">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2.乙方应遵守国家、地方有关安全生产、消防安全、职业卫生、环境保护、交通安全等法律法规和甲乙双方各类安全管理制度，落实企业安全生产主体责任。</w:t>
      </w:r>
    </w:p>
    <w:p w14:paraId="70D24B6E">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3.乙方应建立健全安全管理规章制度，加强安全管理。乙方应依法设置安全生产管理机构或配备专（兼）职安全生产管理人员，安全管理人员必须具备与本单位所从事的生产经营活动相应的安全生产知识和管理能力并持证上岗。</w:t>
      </w:r>
    </w:p>
    <w:p w14:paraId="71CFC653">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4.乙方特种（设备）作业人员必须持证上岗作业，对从事接触职业病危害的作业人员组织上岗前、在岗期间和离岗时的职业健康检查。</w:t>
      </w:r>
    </w:p>
    <w:p w14:paraId="16E9CE65">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5.乙方作业人员必须参加工伤保险、雇主责任保险或安全生产责任保险。</w:t>
      </w:r>
    </w:p>
    <w:p w14:paraId="08A54AA3">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6.乙方应遵守有关环境保护法律法规以及甲方、乙方环境保护方面的规定，各类废弃物要规范处置、达标排放，要采取措施防止粉尘、废气、废水、固体废物、噪声、振动等对人和环境造成危害和污染。</w:t>
      </w:r>
    </w:p>
    <w:p w14:paraId="45481867">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7.乙方应对进入租赁场所内人员进行三级安全教育、安全风险辨识管控知识教育和技能培训，保证其了解本岗位安全风险基本情况，熟悉安全风险管控措施，掌握事故应急处置要点，具备必要的安全生产知识，杜绝“三违”及冒险作业发生，对本单位人员安全负责，服从甲方安全生产统一协调、管理。</w:t>
      </w:r>
    </w:p>
    <w:p w14:paraId="09AF17B0">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8.乙方应对承租的作业项目进行安全风险辨识，制定并落实管控措施、应急措施，同时应执行甲方所制定的安全风险管控措施。</w:t>
      </w:r>
    </w:p>
    <w:p w14:paraId="349EEF4B">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9.乙方带入现场的机械设备、电气设备、防护用品、工装器具等设备、设施及工具必须符合国家、省、市法律法规、标准及文件的要求。国家明令禁止的作业设备不得带入甲方现场。对承租甲方的设备设施、工装器具、工具及作业区域、作业环境进行入场前的安全检查，并确认符合安全要求，一经作业，即表示乙方已确认符合安全要求并处于安全状态。</w:t>
      </w:r>
    </w:p>
    <w:p w14:paraId="7EE2AF14">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10.乙方作业人员应穿戴好合格劳动防护用品，并经过甲方的安全知识培训合格后方可进入租赁场所作业。</w:t>
      </w:r>
    </w:p>
    <w:p w14:paraId="40DB16E2">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11.乙方人员未经甲方同意不得进入非授权范围或合理路线以外的区域，未经允许不得擅自动用甲方的设备设施、产品车辆及工装器具等。乙方车辆（含乙方委托单位的车辆）必须按照厂内规定车速、道路标识标线及标示牌指示行驶及停放。</w:t>
      </w:r>
    </w:p>
    <w:p w14:paraId="6DC61745">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12.乙方应加强现场作业安全管理，对作业场地内的设备设施、作业环境、人员行为等进行经常性巡查、日检查，发现隐患及时整改，不能立即整改的，必须制定整改方案落实防范措施，限期整改，实现闭环管理。需要甲方协助的，应书面提出，切实消除事故隐患。</w:t>
      </w:r>
    </w:p>
    <w:p w14:paraId="0E7200BE">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13.乙方交叉作业应与甲方协商监护措施，指定监护人员全程监护，乙方人员必须服从甲方统一协调、管理。</w:t>
      </w:r>
    </w:p>
    <w:p w14:paraId="0B848D20">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14.危险性较大的作业，乙方要实行封闭式管理，现场入口处及主要作业区域、危险部位应设置相应的安全警示标志牌，并根据作业区域和现场设施的变化，及时调整安全标志牌的设置。</w:t>
      </w:r>
    </w:p>
    <w:p w14:paraId="4BA3B09C">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15.乙方应严格执行危险作业审批制度，临时用电作业、高处作业、动火作业、有限空间作业等危险作业必须办理危险作业申请，并落实防护措施，指定监护人员全程监护。</w:t>
      </w:r>
    </w:p>
    <w:p w14:paraId="04B837AA">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16.乙方应当保证安全生产条件所必需的资金投入，包括用于作业过程安全设施配置、消除隐患、配备劳动防护用品、进行安全生产培训以及依法为作业人员办理工伤保险等，并对由于安全生产所必需的资金投入不足导致的后果承担全部经济赔偿责任。</w:t>
      </w:r>
    </w:p>
    <w:p w14:paraId="11805476">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17.乙方应当按照国家有关规定和甲方应急管理要求，编制生产安全事故应急预案，建立应急救援组织或指定应急救援人员，配备救援设备设施和器材，并定期组织演练。</w:t>
      </w:r>
    </w:p>
    <w:p w14:paraId="1C2095E0">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18.乙方应当严格遵守危险废物（如废油桶、废漆桶、废黄油桶、废涂料桶、废漆渣、含油废物等）管理相关规定，规范收集、入库、转移。</w:t>
      </w:r>
    </w:p>
    <w:p w14:paraId="36E7FF97">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19.乙方应当禁止焚烧沥青、油毡、橡胶、塑料、枯草、落叶、垃圾及其他产生有毒有害气体或恶臭气体的物质。</w:t>
      </w:r>
    </w:p>
    <w:p w14:paraId="320B07DE">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20.乙方应当禁止向水体、雨水管网和污水管网内排放和倾倒油类、酸液、碱液、剧毒废液、工业废渣、城镇垃圾和其他废弃物等。</w:t>
      </w:r>
    </w:p>
    <w:p w14:paraId="3007FA9E">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21.乙方应当禁止向雨水管网排放生活污水及其他废水、废弃物。</w:t>
      </w:r>
    </w:p>
    <w:p w14:paraId="3E39FC50">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22.发生生产安全、火灾、环境污染、职业病危害等事故时，乙方应采取紧急措施减少人员伤亡和事故损失，并按照有关规定及时报告属地应急管理部门和有关部门，并通知甲方。按照“四不放过”原则配合事故调查、分析和处理。</w:t>
      </w:r>
    </w:p>
    <w:p w14:paraId="7F23904E">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23.乙方应主动按照甲方《本质安全常青树企业评价标准》等相关要求，提升企业本质安全水平。</w:t>
      </w:r>
    </w:p>
    <w:p w14:paraId="3AFBD795">
      <w:pPr>
        <w:widowControl/>
        <w:spacing w:line="410" w:lineRule="exact"/>
        <w:ind w:firstLine="562" w:firstLineChars="200"/>
        <w:rPr>
          <w:rFonts w:hint="eastAsia" w:ascii="仿宋" w:hAnsi="仿宋" w:eastAsia="仿宋"/>
          <w:b/>
          <w:bCs/>
          <w:sz w:val="28"/>
          <w:szCs w:val="28"/>
        </w:rPr>
      </w:pPr>
      <w:r>
        <w:rPr>
          <w:rFonts w:hint="eastAsia" w:ascii="仿宋" w:hAnsi="仿宋" w:eastAsia="仿宋"/>
          <w:b/>
          <w:bCs/>
          <w:sz w:val="28"/>
          <w:szCs w:val="28"/>
        </w:rPr>
        <w:t>四、违约处罚</w:t>
      </w:r>
    </w:p>
    <w:p w14:paraId="0D768F97">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1.乙方人员必须接受甲方安全教育或告知，办理入厂安全手续后方可进入作业现场，否则应向甲方支付违约金1000-5000元/人次。</w:t>
      </w:r>
    </w:p>
    <w:p w14:paraId="76E53FA5">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2.乙方凡是弄虚作假，提供虚假资质证明材料的（包括但不限于企业的资质证书、特种(设备)作业人员证书等），一经查实，应向甲方支付违约金2000-5000元/次。</w:t>
      </w:r>
    </w:p>
    <w:p w14:paraId="1CDE1A87">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3.乙方因管理不到位出现“三违”行为或者事故隐患以及违反环境保护、职业卫生、特种设备有关规定的，应向甲方支付违约金500-2000元/起（处）。对于拒绝或不按期整改的，加倍支付违约金。</w:t>
      </w:r>
    </w:p>
    <w:p w14:paraId="0A7E0C16">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4.因乙方原因导致发生生产安全、火灾、环境污染、职业病危害等事故的，应承担全部责任和经济损失，并向甲方支付违约金10000-100000元/次。如因乙方的原因造成甲方经济损失、停产以及被政府部门（包括但不限于应急管理、生态环境、市场监管、职业卫生等部门）处罚的，乙方应按实际损失费用赔偿甲方且乙方还要承担其它相关责任；如乙方不能积极配合调查、处理、赔付或者对甲方造成其他影响的，应向甲方支付违约金10000-50000元/次，甲方有权暂停支付乙方的剩余款项。</w:t>
      </w:r>
    </w:p>
    <w:p w14:paraId="01206FF5">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5.乙方违反本协议但未明确处罚标准的，应向甲方支付违约金500-5000元/次。</w:t>
      </w:r>
    </w:p>
    <w:p w14:paraId="4B23D3B4">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6.由于乙方原因造成作业现场发生紧急危害安全环保的情况时，甲方有权制止并下令停止作业，由此停工造成的一切损失均由乙方承担。</w:t>
      </w:r>
    </w:p>
    <w:p w14:paraId="0880A8DA">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7.乙方在年度内发生轻伤事故2起、重伤及以上事故、瞒报事故、不具备安全生产条件等情况，甲方有权终止合同。</w:t>
      </w:r>
    </w:p>
    <w:p w14:paraId="6C9E6FE8">
      <w:pPr>
        <w:widowControl/>
        <w:spacing w:line="410" w:lineRule="exact"/>
        <w:ind w:firstLine="562" w:firstLineChars="200"/>
        <w:rPr>
          <w:rFonts w:hint="eastAsia" w:ascii="仿宋" w:hAnsi="仿宋" w:eastAsia="仿宋"/>
          <w:b/>
          <w:bCs/>
          <w:sz w:val="28"/>
          <w:szCs w:val="28"/>
        </w:rPr>
      </w:pPr>
      <w:r>
        <w:rPr>
          <w:rFonts w:hint="eastAsia" w:ascii="仿宋" w:hAnsi="仿宋" w:eastAsia="仿宋"/>
          <w:b/>
          <w:bCs/>
          <w:sz w:val="28"/>
          <w:szCs w:val="28"/>
        </w:rPr>
        <w:t>五、其他</w:t>
      </w:r>
    </w:p>
    <w:p w14:paraId="6BFD3935">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1.本协议应在合同签订后30天内签订，与主合同具有同等法律效力。</w:t>
      </w:r>
    </w:p>
    <w:p w14:paraId="718329AB">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2.本协议在履行过程中产生的争议，由甲乙双方协商解决；协商不成的，则任何一方均有权向甲方所在地人民法院提出诉讼。</w:t>
      </w:r>
    </w:p>
    <w:p w14:paraId="41C83065">
      <w:pPr>
        <w:widowControl/>
        <w:spacing w:line="410" w:lineRule="exact"/>
        <w:ind w:firstLine="560" w:firstLineChars="200"/>
        <w:rPr>
          <w:rFonts w:hint="eastAsia" w:ascii="仿宋" w:hAnsi="仿宋" w:eastAsia="仿宋"/>
          <w:sz w:val="28"/>
          <w:szCs w:val="28"/>
        </w:rPr>
      </w:pPr>
      <w:r>
        <w:rPr>
          <w:rFonts w:hint="eastAsia" w:ascii="仿宋" w:hAnsi="仿宋" w:eastAsia="仿宋"/>
          <w:sz w:val="28"/>
          <w:szCs w:val="28"/>
        </w:rPr>
        <w:t>3.本协议</w:t>
      </w:r>
      <w:r>
        <w:rPr>
          <w:rFonts w:hint="eastAsia" w:ascii="仿宋" w:hAnsi="仿宋" w:eastAsia="仿宋" w:cs="仿宋"/>
          <w:sz w:val="28"/>
          <w:szCs w:val="28"/>
        </w:rPr>
        <w:t>自双方签章后生效</w:t>
      </w:r>
      <w:r>
        <w:rPr>
          <w:rFonts w:hint="eastAsia" w:ascii="仿宋" w:hAnsi="仿宋" w:eastAsia="仿宋" w:cs="仿宋"/>
          <w:sz w:val="28"/>
          <w:szCs w:val="28"/>
          <w:lang w:eastAsia="zh-CN"/>
        </w:rPr>
        <w:t>。</w:t>
      </w:r>
      <w:r>
        <w:rPr>
          <w:rFonts w:hint="eastAsia" w:ascii="仿宋" w:hAnsi="仿宋" w:eastAsia="仿宋"/>
          <w:sz w:val="28"/>
          <w:szCs w:val="28"/>
        </w:rPr>
        <w:t>本协议一式</w:t>
      </w:r>
      <w:r>
        <w:rPr>
          <w:rFonts w:hint="eastAsia" w:ascii="仿宋" w:hAnsi="仿宋" w:eastAsia="仿宋"/>
          <w:sz w:val="28"/>
          <w:szCs w:val="28"/>
          <w:lang w:val="en-US" w:eastAsia="zh-CN"/>
        </w:rPr>
        <w:t>两</w:t>
      </w:r>
      <w:r>
        <w:rPr>
          <w:rFonts w:hint="eastAsia" w:ascii="仿宋" w:hAnsi="仿宋" w:eastAsia="仿宋"/>
          <w:sz w:val="28"/>
          <w:szCs w:val="28"/>
        </w:rPr>
        <w:t>份，甲方</w:t>
      </w:r>
      <w:r>
        <w:rPr>
          <w:rFonts w:hint="eastAsia" w:ascii="仿宋" w:hAnsi="仿宋" w:eastAsia="仿宋"/>
          <w:sz w:val="28"/>
          <w:szCs w:val="28"/>
          <w:lang w:val="en-US" w:eastAsia="zh-CN"/>
        </w:rPr>
        <w:t>一</w:t>
      </w:r>
      <w:r>
        <w:rPr>
          <w:rFonts w:hint="eastAsia" w:ascii="仿宋" w:hAnsi="仿宋" w:eastAsia="仿宋"/>
          <w:sz w:val="28"/>
          <w:szCs w:val="28"/>
        </w:rPr>
        <w:t>份、乙方一份。</w:t>
      </w:r>
    </w:p>
    <w:p w14:paraId="15C21448">
      <w:pPr>
        <w:widowControl/>
        <w:spacing w:line="410" w:lineRule="exact"/>
        <w:ind w:firstLine="560" w:firstLineChars="200"/>
        <w:rPr>
          <w:rFonts w:hint="eastAsia" w:ascii="仿宋" w:hAnsi="仿宋" w:eastAsia="仿宋"/>
          <w:sz w:val="28"/>
          <w:szCs w:val="28"/>
        </w:rPr>
      </w:pPr>
    </w:p>
    <w:p w14:paraId="2EEBA422">
      <w:pPr>
        <w:widowControl/>
        <w:spacing w:line="410" w:lineRule="exact"/>
        <w:ind w:firstLine="560" w:firstLineChars="200"/>
        <w:rPr>
          <w:rFonts w:hint="eastAsia" w:ascii="仿宋" w:hAnsi="仿宋" w:eastAsia="仿宋"/>
          <w:sz w:val="28"/>
          <w:szCs w:val="28"/>
        </w:rPr>
      </w:pPr>
    </w:p>
    <w:p w14:paraId="3D1180BD">
      <w:pPr>
        <w:adjustRightInd w:val="0"/>
        <w:snapToGrid w:val="0"/>
        <w:spacing w:before="156" w:beforeLines="50" w:after="156" w:afterLines="50"/>
        <w:ind w:left="5319" w:leftChars="133" w:hanging="5040" w:hangingChars="1800"/>
        <w:jc w:val="lef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甲方：</w:t>
      </w:r>
      <w:r>
        <w:rPr>
          <w:rFonts w:hint="eastAsia" w:ascii="仿宋" w:hAnsi="仿宋" w:eastAsia="仿宋" w:cs="仿宋"/>
          <w:sz w:val="28"/>
          <w:szCs w:val="28"/>
          <w:u w:val="single"/>
        </w:rPr>
        <w:t>中物流（徐州）物流有限公司</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乙方：</w:t>
      </w:r>
      <w:r>
        <w:rPr>
          <w:rFonts w:hint="eastAsia" w:ascii="仿宋" w:hAnsi="仿宋" w:eastAsia="仿宋"/>
          <w:sz w:val="28"/>
          <w:szCs w:val="28"/>
          <w:highlight w:val="none"/>
          <w:u w:val="single"/>
          <w:lang w:val="en-US" w:eastAsia="zh-CN"/>
        </w:rPr>
        <w:t>北京光华荣昌汽车部件有限公司</w:t>
      </w:r>
      <w:r>
        <w:rPr>
          <w:rFonts w:hint="eastAsia" w:ascii="仿宋" w:hAnsi="仿宋" w:eastAsia="仿宋" w:cs="仿宋"/>
          <w:sz w:val="28"/>
          <w:szCs w:val="28"/>
          <w:u w:val="single"/>
          <w:lang w:val="en-US" w:eastAsia="zh-CN"/>
        </w:rPr>
        <w:t xml:space="preserve">    </w:t>
      </w:r>
    </w:p>
    <w:p w14:paraId="35BE9376">
      <w:pPr>
        <w:adjustRightInd w:val="0"/>
        <w:snapToGrid w:val="0"/>
        <w:spacing w:before="156" w:beforeLines="50" w:after="156" w:afterLines="50"/>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甲方单位签章</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乙方单位签章</w:t>
      </w:r>
    </w:p>
    <w:p w14:paraId="0A435C7D">
      <w:pPr>
        <w:rPr>
          <w:rFonts w:hint="eastAsia" w:ascii="仿宋" w:hAnsi="仿宋" w:eastAsia="仿宋" w:cs="仿宋"/>
          <w:color w:val="000000"/>
          <w:sz w:val="28"/>
          <w:szCs w:val="28"/>
        </w:rPr>
      </w:pPr>
      <w:r>
        <w:rPr>
          <w:rFonts w:hint="eastAsia" w:ascii="仿宋" w:hAnsi="仿宋" w:eastAsia="仿宋" w:cs="仿宋"/>
          <w:color w:val="000000"/>
          <w:sz w:val="28"/>
          <w:szCs w:val="28"/>
        </w:rPr>
        <w:br w:type="page"/>
      </w:r>
    </w:p>
    <w:p w14:paraId="2A0FE6CB">
      <w:pPr>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t>附件</w:t>
      </w:r>
      <w:r>
        <w:rPr>
          <w:rFonts w:hint="eastAsia" w:ascii="黑体" w:hAnsi="黑体" w:eastAsia="黑体" w:cs="黑体"/>
          <w:b/>
          <w:bCs/>
          <w:color w:val="auto"/>
          <w:sz w:val="28"/>
          <w:szCs w:val="28"/>
          <w:lang w:val="en-US" w:eastAsia="zh-CN"/>
        </w:rPr>
        <w:t>三</w:t>
      </w:r>
      <w:r>
        <w:rPr>
          <w:rFonts w:hint="eastAsia" w:ascii="黑体" w:hAnsi="黑体" w:eastAsia="黑体" w:cs="黑体"/>
          <w:b/>
          <w:bCs/>
          <w:color w:val="auto"/>
          <w:sz w:val="28"/>
          <w:szCs w:val="28"/>
          <w:lang w:eastAsia="zh-CN"/>
        </w:rPr>
        <w:t>：</w:t>
      </w:r>
    </w:p>
    <w:p w14:paraId="29F4CE32">
      <w:pPr>
        <w:rPr>
          <w:rFonts w:hint="eastAsia" w:ascii="仿宋" w:hAnsi="仿宋" w:eastAsia="仿宋" w:cs="仿宋"/>
          <w:color w:val="auto"/>
          <w:sz w:val="28"/>
          <w:szCs w:val="28"/>
          <w:lang w:eastAsia="zh-CN"/>
        </w:rPr>
      </w:pPr>
    </w:p>
    <w:p w14:paraId="5B778D75">
      <w:pPr>
        <w:jc w:val="center"/>
        <w:rPr>
          <w:rFonts w:hint="eastAsia" w:ascii="黑体" w:hAnsi="黑体" w:eastAsia="黑体" w:cs="黑体"/>
          <w:b/>
          <w:bCs/>
          <w:color w:val="auto"/>
          <w:sz w:val="30"/>
          <w:szCs w:val="30"/>
          <w:lang w:eastAsia="zh-CN"/>
        </w:rPr>
      </w:pPr>
      <w:r>
        <w:rPr>
          <w:rFonts w:hint="eastAsia" w:ascii="黑体" w:hAnsi="黑体" w:eastAsia="黑体" w:cs="黑体"/>
          <w:b/>
          <w:bCs/>
          <w:color w:val="auto"/>
          <w:sz w:val="30"/>
          <w:szCs w:val="30"/>
          <w:lang w:val="en-US" w:eastAsia="zh-CN"/>
        </w:rPr>
        <w:t>指定联系人</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1681"/>
        <w:gridCol w:w="1572"/>
        <w:gridCol w:w="1553"/>
        <w:gridCol w:w="1859"/>
        <w:gridCol w:w="1386"/>
      </w:tblGrid>
      <w:tr w14:paraId="7273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93" w:type="pct"/>
            <w:vAlign w:val="top"/>
          </w:tcPr>
          <w:p w14:paraId="5BA65C47">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合同各方</w:t>
            </w:r>
          </w:p>
        </w:tc>
        <w:tc>
          <w:tcPr>
            <w:tcW w:w="878" w:type="pct"/>
            <w:vAlign w:val="top"/>
          </w:tcPr>
          <w:p w14:paraId="0CD1F7B3">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指定联系人</w:t>
            </w:r>
          </w:p>
        </w:tc>
        <w:tc>
          <w:tcPr>
            <w:tcW w:w="821" w:type="pct"/>
            <w:vAlign w:val="top"/>
          </w:tcPr>
          <w:p w14:paraId="42C6A0C7">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手机号</w:t>
            </w:r>
          </w:p>
        </w:tc>
        <w:tc>
          <w:tcPr>
            <w:tcW w:w="811" w:type="pct"/>
            <w:vAlign w:val="top"/>
          </w:tcPr>
          <w:p w14:paraId="22CE2DDB">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传真号</w:t>
            </w:r>
          </w:p>
        </w:tc>
        <w:tc>
          <w:tcPr>
            <w:tcW w:w="971" w:type="pct"/>
            <w:vAlign w:val="top"/>
          </w:tcPr>
          <w:p w14:paraId="5A3F67AA">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电子邮箱</w:t>
            </w:r>
          </w:p>
        </w:tc>
        <w:tc>
          <w:tcPr>
            <w:tcW w:w="724" w:type="pct"/>
            <w:vAlign w:val="top"/>
          </w:tcPr>
          <w:p w14:paraId="24975D23">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备注</w:t>
            </w:r>
          </w:p>
        </w:tc>
      </w:tr>
      <w:tr w14:paraId="1830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793" w:type="pct"/>
            <w:vAlign w:val="top"/>
          </w:tcPr>
          <w:p w14:paraId="1EA6EE13">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甲方</w:t>
            </w:r>
          </w:p>
        </w:tc>
        <w:tc>
          <w:tcPr>
            <w:tcW w:w="878" w:type="pct"/>
            <w:vAlign w:val="top"/>
          </w:tcPr>
          <w:p w14:paraId="2A6A5A12">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p>
        </w:tc>
        <w:tc>
          <w:tcPr>
            <w:tcW w:w="821" w:type="pct"/>
            <w:vAlign w:val="top"/>
          </w:tcPr>
          <w:p w14:paraId="63720A4C">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p>
        </w:tc>
        <w:tc>
          <w:tcPr>
            <w:tcW w:w="811" w:type="pct"/>
            <w:vAlign w:val="top"/>
          </w:tcPr>
          <w:p w14:paraId="650B975B">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p>
        </w:tc>
        <w:tc>
          <w:tcPr>
            <w:tcW w:w="971" w:type="pct"/>
            <w:vAlign w:val="top"/>
          </w:tcPr>
          <w:p w14:paraId="22BE0DBC">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p>
        </w:tc>
        <w:tc>
          <w:tcPr>
            <w:tcW w:w="724" w:type="pct"/>
            <w:vAlign w:val="top"/>
          </w:tcPr>
          <w:p w14:paraId="1A617F36">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p>
        </w:tc>
      </w:tr>
      <w:tr w14:paraId="11D6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vAlign w:val="top"/>
          </w:tcPr>
          <w:p w14:paraId="3CE4B544">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乙方</w:t>
            </w:r>
          </w:p>
        </w:tc>
        <w:tc>
          <w:tcPr>
            <w:tcW w:w="878" w:type="pct"/>
            <w:vAlign w:val="top"/>
          </w:tcPr>
          <w:p w14:paraId="1AB33468">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p>
        </w:tc>
        <w:tc>
          <w:tcPr>
            <w:tcW w:w="821" w:type="pct"/>
            <w:vAlign w:val="top"/>
          </w:tcPr>
          <w:p w14:paraId="347349DC">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p>
        </w:tc>
        <w:tc>
          <w:tcPr>
            <w:tcW w:w="811" w:type="pct"/>
            <w:vAlign w:val="top"/>
          </w:tcPr>
          <w:p w14:paraId="145436E8">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p>
        </w:tc>
        <w:tc>
          <w:tcPr>
            <w:tcW w:w="971" w:type="pct"/>
            <w:vAlign w:val="top"/>
          </w:tcPr>
          <w:p w14:paraId="4D3FE8D7">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p>
        </w:tc>
        <w:tc>
          <w:tcPr>
            <w:tcW w:w="724" w:type="pct"/>
            <w:vAlign w:val="top"/>
          </w:tcPr>
          <w:p w14:paraId="083C9490">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color w:val="auto"/>
                <w:sz w:val="28"/>
                <w:szCs w:val="28"/>
                <w:vertAlign w:val="baseline"/>
                <w:lang w:eastAsia="zh-CN"/>
              </w:rPr>
            </w:pPr>
          </w:p>
        </w:tc>
      </w:tr>
    </w:tbl>
    <w:p w14:paraId="18E90B78">
      <w:pPr>
        <w:widowControl/>
        <w:rPr>
          <w:rFonts w:hint="eastAsia" w:ascii="仿宋" w:hAnsi="仿宋" w:eastAsia="仿宋" w:cs="宋体"/>
          <w:color w:val="FF0000"/>
          <w:kern w:val="0"/>
          <w:szCs w:val="21"/>
        </w:rPr>
      </w:pPr>
    </w:p>
    <w:p w14:paraId="2621784C">
      <w:pPr>
        <w:widowControl/>
        <w:rPr>
          <w:rFonts w:hint="eastAsia" w:ascii="仿宋" w:hAnsi="仿宋" w:eastAsia="仿宋" w:cs="宋体"/>
          <w:color w:val="FF0000"/>
          <w:kern w:val="0"/>
          <w:szCs w:val="21"/>
        </w:rPr>
      </w:pPr>
    </w:p>
    <w:p w14:paraId="076D3A5C">
      <w:pPr>
        <w:widowControl/>
        <w:rPr>
          <w:rFonts w:hint="eastAsia" w:ascii="仿宋" w:hAnsi="仿宋" w:eastAsia="仿宋" w:cs="仿宋"/>
          <w:b/>
          <w:bCs/>
          <w:color w:val="auto"/>
          <w:sz w:val="24"/>
          <w:szCs w:val="24"/>
          <w:highlight w:val="none"/>
        </w:rPr>
      </w:pPr>
    </w:p>
    <w:sectPr>
      <w:type w:val="continuous"/>
      <w:pgSz w:w="11906" w:h="16838"/>
      <w:pgMar w:top="709" w:right="1274" w:bottom="568" w:left="1276" w:header="851" w:footer="5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94CA4">
    <w:pPr>
      <w:pStyle w:val="6"/>
      <w:pBdr>
        <w:top w:val="thinThickSmallGap" w:color="622423" w:sz="24" w:space="1"/>
      </w:pBdr>
      <w:tabs>
        <w:tab w:val="right" w:pos="9638"/>
        <w:tab w:val="clear" w:pos="4153"/>
        <w:tab w:val="clear" w:pos="8306"/>
      </w:tabs>
      <w:rPr>
        <w:rFonts w:ascii="Cambria" w:hAnsi="Cambri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AD2A4">
                          <w:pPr>
                            <w:pStyle w:val="6"/>
                          </w:pPr>
                          <w:r>
                            <w:fldChar w:fldCharType="begin"/>
                          </w:r>
                          <w:r>
                            <w:instrText xml:space="preserve"> PAGE  \* MERGEFORMAT </w:instrText>
                          </w:r>
                          <w:r>
                            <w:fldChar w:fldCharType="separate"/>
                          </w:r>
                          <w:r>
                            <w:t>13</w:t>
                          </w:r>
                          <w:r>
                            <w:fldChar w:fldCharType="end"/>
                          </w:r>
                          <w:r>
                            <w:t xml:space="preserve"> / </w:t>
                          </w:r>
                          <w:r>
                            <w:fldChar w:fldCharType="begin"/>
                          </w:r>
                          <w:r>
                            <w:instrText xml:space="preserve"> NUMPAGES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5AD2A4">
                    <w:pPr>
                      <w:pStyle w:val="6"/>
                    </w:pPr>
                    <w:r>
                      <w:fldChar w:fldCharType="begin"/>
                    </w:r>
                    <w:r>
                      <w:instrText xml:space="preserve"> PAGE  \* MERGEFORMAT </w:instrText>
                    </w:r>
                    <w:r>
                      <w:fldChar w:fldCharType="separate"/>
                    </w:r>
                    <w:r>
                      <w:t>13</w:t>
                    </w:r>
                    <w:r>
                      <w:fldChar w:fldCharType="end"/>
                    </w:r>
                    <w:r>
                      <w:t xml:space="preserve"> / </w:t>
                    </w:r>
                    <w:r>
                      <w:fldChar w:fldCharType="begin"/>
                    </w:r>
                    <w:r>
                      <w:instrText xml:space="preserve"> NUMPAGES  \* MERGEFORMAT </w:instrText>
                    </w:r>
                    <w:r>
                      <w:fldChar w:fldCharType="separate"/>
                    </w:r>
                    <w:r>
                      <w:t>13</w:t>
                    </w:r>
                    <w:r>
                      <w:fldChar w:fldCharType="end"/>
                    </w:r>
                  </w:p>
                </w:txbxContent>
              </v:textbox>
            </v:shape>
          </w:pict>
        </mc:Fallback>
      </mc:AlternateContent>
    </w:r>
  </w:p>
  <w:p w14:paraId="32ABE367">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E88A1">
    <w:pPr>
      <w:pStyle w:val="7"/>
      <w:pBdr>
        <w:bottom w:val="thickThinSmallGap" w:color="622423" w:sz="24" w:space="1"/>
      </w:pBdr>
      <w:jc w:val="right"/>
      <w:rPr>
        <w:rFonts w:ascii="仿宋" w:hAnsi="仿宋" w:eastAsia="仿宋"/>
        <w:sz w:val="18"/>
        <w:szCs w:val="18"/>
        <w:u w:val="none"/>
      </w:rPr>
    </w:pPr>
    <w:r>
      <w:rPr>
        <w:rFonts w:hint="eastAsia" w:ascii="仿宋" w:hAnsi="仿宋" w:eastAsia="仿宋"/>
        <w:sz w:val="21"/>
        <w:szCs w:val="21"/>
      </w:rPr>
      <w:t xml:space="preserve">                          </w:t>
    </w:r>
    <w:r>
      <w:rPr>
        <w:rFonts w:hint="eastAsia" w:ascii="仿宋" w:hAnsi="仿宋" w:eastAsia="仿宋"/>
        <w:sz w:val="18"/>
        <w:szCs w:val="18"/>
        <w:u w:val="none"/>
      </w:rPr>
      <w:t xml:space="preserve"> </w:t>
    </w:r>
    <w:r>
      <w:rPr>
        <w:rFonts w:hint="eastAsia" w:ascii="仿宋" w:hAnsi="仿宋" w:eastAsia="仿宋"/>
        <w:sz w:val="18"/>
        <w:szCs w:val="18"/>
        <w:highlight w:val="none"/>
        <w:u w:val="none"/>
        <w:lang w:val="en-US" w:eastAsia="zh-CN"/>
      </w:rPr>
      <w:t>中物流（徐州）物流有限公司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B7767"/>
    <w:multiLevelType w:val="singleLevel"/>
    <w:tmpl w:val="8A4B7767"/>
    <w:lvl w:ilvl="0" w:tentative="0">
      <w:start w:val="9"/>
      <w:numFmt w:val="decimal"/>
      <w:suff w:val="nothing"/>
      <w:lvlText w:val="%1、"/>
      <w:lvlJc w:val="left"/>
    </w:lvl>
  </w:abstractNum>
  <w:abstractNum w:abstractNumId="1">
    <w:nsid w:val="F55743D6"/>
    <w:multiLevelType w:val="singleLevel"/>
    <w:tmpl w:val="F55743D6"/>
    <w:lvl w:ilvl="0" w:tentative="0">
      <w:start w:val="8"/>
      <w:numFmt w:val="decimal"/>
      <w:suff w:val="nothing"/>
      <w:lvlText w:val="%1、"/>
      <w:lvlJc w:val="left"/>
    </w:lvl>
  </w:abstractNum>
  <w:abstractNum w:abstractNumId="2">
    <w:nsid w:val="238C6FE1"/>
    <w:multiLevelType w:val="multilevel"/>
    <w:tmpl w:val="238C6FE1"/>
    <w:lvl w:ilvl="0" w:tentative="0">
      <w:start w:val="1"/>
      <w:numFmt w:val="decimal"/>
      <w:pStyle w:val="2"/>
      <w:lvlText w:val="%1"/>
      <w:lvlJc w:val="left"/>
      <w:pPr>
        <w:tabs>
          <w:tab w:val="left" w:pos="495"/>
        </w:tabs>
        <w:ind w:left="495" w:hanging="495"/>
      </w:pPr>
      <w:rPr>
        <w:rFonts w:hint="eastAsia"/>
      </w:rPr>
    </w:lvl>
    <w:lvl w:ilvl="1" w:tentative="0">
      <w:start w:val="1"/>
      <w:numFmt w:val="decimal"/>
      <w:isLgl/>
      <w:lvlText w:val="%1.%2"/>
      <w:lvlJc w:val="left"/>
      <w:pPr>
        <w:tabs>
          <w:tab w:val="left" w:pos="705"/>
        </w:tabs>
        <w:ind w:left="705" w:hanging="705"/>
      </w:pPr>
      <w:rPr>
        <w:rFonts w:hint="eastAsia"/>
      </w:rPr>
    </w:lvl>
    <w:lvl w:ilvl="2" w:tentative="0">
      <w:start w:val="1"/>
      <w:numFmt w:val="decimal"/>
      <w:isLgl/>
      <w:lvlText w:val="%1.%2.%3"/>
      <w:lvlJc w:val="left"/>
      <w:pPr>
        <w:tabs>
          <w:tab w:val="left" w:pos="705"/>
        </w:tabs>
        <w:ind w:left="705" w:hanging="705"/>
      </w:pPr>
      <w:rPr>
        <w:rFonts w:hint="eastAsia"/>
      </w:rPr>
    </w:lvl>
    <w:lvl w:ilvl="3" w:tentative="0">
      <w:start w:val="1"/>
      <w:numFmt w:val="decimal"/>
      <w:isLgl/>
      <w:lvlText w:val="%1.%2.%3.%4"/>
      <w:lvlJc w:val="left"/>
      <w:pPr>
        <w:tabs>
          <w:tab w:val="left" w:pos="705"/>
        </w:tabs>
        <w:ind w:left="705" w:hanging="705"/>
      </w:pPr>
      <w:rPr>
        <w:rFonts w:hint="eastAsia"/>
      </w:rPr>
    </w:lvl>
    <w:lvl w:ilvl="4" w:tentative="0">
      <w:start w:val="1"/>
      <w:numFmt w:val="decimal"/>
      <w:isLgl/>
      <w:lvlText w:val="%1.%2.%3.%4.%5"/>
      <w:lvlJc w:val="left"/>
      <w:pPr>
        <w:tabs>
          <w:tab w:val="left" w:pos="705"/>
        </w:tabs>
        <w:ind w:left="705" w:hanging="705"/>
      </w:pPr>
      <w:rPr>
        <w:rFonts w:hint="eastAsia"/>
      </w:rPr>
    </w:lvl>
    <w:lvl w:ilvl="5" w:tentative="0">
      <w:start w:val="1"/>
      <w:numFmt w:val="decimal"/>
      <w:isLgl/>
      <w:lvlText w:val="%1.%2.%3.%4.%5.%6"/>
      <w:lvlJc w:val="left"/>
      <w:pPr>
        <w:tabs>
          <w:tab w:val="left" w:pos="705"/>
        </w:tabs>
        <w:ind w:left="705" w:hanging="705"/>
      </w:pPr>
      <w:rPr>
        <w:rFonts w:hint="eastAsia"/>
      </w:rPr>
    </w:lvl>
    <w:lvl w:ilvl="6" w:tentative="0">
      <w:start w:val="1"/>
      <w:numFmt w:val="decimal"/>
      <w:isLgl/>
      <w:lvlText w:val="%1.%2.%3.%4.%5.%6.%7"/>
      <w:lvlJc w:val="left"/>
      <w:pPr>
        <w:tabs>
          <w:tab w:val="left" w:pos="705"/>
        </w:tabs>
        <w:ind w:left="705" w:hanging="705"/>
      </w:pPr>
      <w:rPr>
        <w:rFonts w:hint="eastAsia"/>
      </w:rPr>
    </w:lvl>
    <w:lvl w:ilvl="7" w:tentative="0">
      <w:start w:val="1"/>
      <w:numFmt w:val="decimal"/>
      <w:isLgl/>
      <w:lvlText w:val="%1.%2.%3.%4.%5.%6.%7.%8"/>
      <w:lvlJc w:val="left"/>
      <w:pPr>
        <w:tabs>
          <w:tab w:val="left" w:pos="705"/>
        </w:tabs>
        <w:ind w:left="705" w:hanging="705"/>
      </w:pPr>
      <w:rPr>
        <w:rFonts w:hint="eastAsia"/>
      </w:rPr>
    </w:lvl>
    <w:lvl w:ilvl="8" w:tentative="0">
      <w:start w:val="1"/>
      <w:numFmt w:val="decimal"/>
      <w:isLgl/>
      <w:lvlText w:val="%1.%2.%3.%4.%5.%6.%7.%8.%9"/>
      <w:lvlJc w:val="left"/>
      <w:pPr>
        <w:tabs>
          <w:tab w:val="left" w:pos="705"/>
        </w:tabs>
        <w:ind w:left="705" w:hanging="705"/>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zMzk2MDE2OTg3MTZjMjMzZWFiMThkYzUxYjlmZDUifQ=="/>
  </w:docVars>
  <w:rsids>
    <w:rsidRoot w:val="00E04360"/>
    <w:rsid w:val="000027D3"/>
    <w:rsid w:val="000031A5"/>
    <w:rsid w:val="00004B9D"/>
    <w:rsid w:val="00006361"/>
    <w:rsid w:val="000064AB"/>
    <w:rsid w:val="000118DE"/>
    <w:rsid w:val="000167FB"/>
    <w:rsid w:val="00017200"/>
    <w:rsid w:val="000172E7"/>
    <w:rsid w:val="00017FC1"/>
    <w:rsid w:val="0002136F"/>
    <w:rsid w:val="00026525"/>
    <w:rsid w:val="000315FB"/>
    <w:rsid w:val="00032BEB"/>
    <w:rsid w:val="00034108"/>
    <w:rsid w:val="00034DF3"/>
    <w:rsid w:val="000427F4"/>
    <w:rsid w:val="0005188A"/>
    <w:rsid w:val="000531BF"/>
    <w:rsid w:val="000535EC"/>
    <w:rsid w:val="0005439D"/>
    <w:rsid w:val="00054BE7"/>
    <w:rsid w:val="000558EB"/>
    <w:rsid w:val="00061ED2"/>
    <w:rsid w:val="00067B08"/>
    <w:rsid w:val="00071783"/>
    <w:rsid w:val="00072B63"/>
    <w:rsid w:val="00073F90"/>
    <w:rsid w:val="00075188"/>
    <w:rsid w:val="00075BA6"/>
    <w:rsid w:val="000776A8"/>
    <w:rsid w:val="00080136"/>
    <w:rsid w:val="000818B6"/>
    <w:rsid w:val="00082477"/>
    <w:rsid w:val="000842CD"/>
    <w:rsid w:val="00091CFC"/>
    <w:rsid w:val="000A380F"/>
    <w:rsid w:val="000A4EA3"/>
    <w:rsid w:val="000A54CB"/>
    <w:rsid w:val="000B0CCF"/>
    <w:rsid w:val="000B2BD6"/>
    <w:rsid w:val="000B2EE2"/>
    <w:rsid w:val="000B3CEB"/>
    <w:rsid w:val="000B3E8C"/>
    <w:rsid w:val="000B5838"/>
    <w:rsid w:val="000B5991"/>
    <w:rsid w:val="000B7385"/>
    <w:rsid w:val="000C014E"/>
    <w:rsid w:val="000C09D6"/>
    <w:rsid w:val="000C1C31"/>
    <w:rsid w:val="000C3798"/>
    <w:rsid w:val="000C3D85"/>
    <w:rsid w:val="000C5723"/>
    <w:rsid w:val="000C6110"/>
    <w:rsid w:val="000D4879"/>
    <w:rsid w:val="000D5F1A"/>
    <w:rsid w:val="000D6442"/>
    <w:rsid w:val="000E2B56"/>
    <w:rsid w:val="000E420A"/>
    <w:rsid w:val="000E79A0"/>
    <w:rsid w:val="000E7FC6"/>
    <w:rsid w:val="000F1011"/>
    <w:rsid w:val="000F2500"/>
    <w:rsid w:val="000F44CE"/>
    <w:rsid w:val="000F6B4A"/>
    <w:rsid w:val="000F73C3"/>
    <w:rsid w:val="001018D8"/>
    <w:rsid w:val="001035EC"/>
    <w:rsid w:val="00103715"/>
    <w:rsid w:val="00106A25"/>
    <w:rsid w:val="001076AC"/>
    <w:rsid w:val="00110D9F"/>
    <w:rsid w:val="00111807"/>
    <w:rsid w:val="00114FE8"/>
    <w:rsid w:val="00115677"/>
    <w:rsid w:val="0012021E"/>
    <w:rsid w:val="00121A70"/>
    <w:rsid w:val="00125B9F"/>
    <w:rsid w:val="00125FC1"/>
    <w:rsid w:val="00126005"/>
    <w:rsid w:val="001262B1"/>
    <w:rsid w:val="0013043B"/>
    <w:rsid w:val="00130D3B"/>
    <w:rsid w:val="00130E5A"/>
    <w:rsid w:val="0013159B"/>
    <w:rsid w:val="0013166F"/>
    <w:rsid w:val="00134E37"/>
    <w:rsid w:val="00137369"/>
    <w:rsid w:val="0013739E"/>
    <w:rsid w:val="001413F7"/>
    <w:rsid w:val="001429AC"/>
    <w:rsid w:val="001434FC"/>
    <w:rsid w:val="00146145"/>
    <w:rsid w:val="00154303"/>
    <w:rsid w:val="00154C50"/>
    <w:rsid w:val="00156658"/>
    <w:rsid w:val="0015718D"/>
    <w:rsid w:val="001572B9"/>
    <w:rsid w:val="001612EC"/>
    <w:rsid w:val="001669D9"/>
    <w:rsid w:val="00170626"/>
    <w:rsid w:val="00170BBA"/>
    <w:rsid w:val="001717E1"/>
    <w:rsid w:val="001731C6"/>
    <w:rsid w:val="0017581A"/>
    <w:rsid w:val="00177B8E"/>
    <w:rsid w:val="00181F20"/>
    <w:rsid w:val="00183A53"/>
    <w:rsid w:val="00183F72"/>
    <w:rsid w:val="00187960"/>
    <w:rsid w:val="0019007A"/>
    <w:rsid w:val="00190E01"/>
    <w:rsid w:val="00195154"/>
    <w:rsid w:val="001953AF"/>
    <w:rsid w:val="00195D82"/>
    <w:rsid w:val="00196195"/>
    <w:rsid w:val="001A0E29"/>
    <w:rsid w:val="001A4FED"/>
    <w:rsid w:val="001A7444"/>
    <w:rsid w:val="001B03EF"/>
    <w:rsid w:val="001B54F0"/>
    <w:rsid w:val="001B6898"/>
    <w:rsid w:val="001C10D8"/>
    <w:rsid w:val="001C26DE"/>
    <w:rsid w:val="001C2F73"/>
    <w:rsid w:val="001C6FAE"/>
    <w:rsid w:val="001D0518"/>
    <w:rsid w:val="001D18DD"/>
    <w:rsid w:val="001D2743"/>
    <w:rsid w:val="001D39C6"/>
    <w:rsid w:val="001D4445"/>
    <w:rsid w:val="001D4F28"/>
    <w:rsid w:val="001D53BC"/>
    <w:rsid w:val="001D7AA1"/>
    <w:rsid w:val="001D7AA6"/>
    <w:rsid w:val="001E0006"/>
    <w:rsid w:val="001E20C7"/>
    <w:rsid w:val="001E20D7"/>
    <w:rsid w:val="001E2311"/>
    <w:rsid w:val="001E3C4C"/>
    <w:rsid w:val="001E44F8"/>
    <w:rsid w:val="001E5B22"/>
    <w:rsid w:val="001E6F62"/>
    <w:rsid w:val="001F0C67"/>
    <w:rsid w:val="001F22B0"/>
    <w:rsid w:val="001F2F87"/>
    <w:rsid w:val="001F3F68"/>
    <w:rsid w:val="001F4067"/>
    <w:rsid w:val="001F41AD"/>
    <w:rsid w:val="001F477E"/>
    <w:rsid w:val="001F7F73"/>
    <w:rsid w:val="0020104C"/>
    <w:rsid w:val="00201078"/>
    <w:rsid w:val="00201177"/>
    <w:rsid w:val="00203767"/>
    <w:rsid w:val="00203C6E"/>
    <w:rsid w:val="00204D36"/>
    <w:rsid w:val="002064A5"/>
    <w:rsid w:val="00210072"/>
    <w:rsid w:val="00212F92"/>
    <w:rsid w:val="002139D4"/>
    <w:rsid w:val="002146AF"/>
    <w:rsid w:val="00215BBA"/>
    <w:rsid w:val="0022155A"/>
    <w:rsid w:val="00225939"/>
    <w:rsid w:val="002265D1"/>
    <w:rsid w:val="00231731"/>
    <w:rsid w:val="00232913"/>
    <w:rsid w:val="00241711"/>
    <w:rsid w:val="00241A41"/>
    <w:rsid w:val="00244536"/>
    <w:rsid w:val="00244800"/>
    <w:rsid w:val="00247D94"/>
    <w:rsid w:val="002524C9"/>
    <w:rsid w:val="00252B76"/>
    <w:rsid w:val="002551F7"/>
    <w:rsid w:val="00257661"/>
    <w:rsid w:val="0026386C"/>
    <w:rsid w:val="00264725"/>
    <w:rsid w:val="002650DA"/>
    <w:rsid w:val="00266C2B"/>
    <w:rsid w:val="002672B1"/>
    <w:rsid w:val="00275E78"/>
    <w:rsid w:val="00275F37"/>
    <w:rsid w:val="002766F2"/>
    <w:rsid w:val="00277398"/>
    <w:rsid w:val="002815AB"/>
    <w:rsid w:val="00283991"/>
    <w:rsid w:val="0029294A"/>
    <w:rsid w:val="00292E12"/>
    <w:rsid w:val="00294D9D"/>
    <w:rsid w:val="0029588A"/>
    <w:rsid w:val="002A0AA3"/>
    <w:rsid w:val="002A0C4C"/>
    <w:rsid w:val="002A3816"/>
    <w:rsid w:val="002A3E11"/>
    <w:rsid w:val="002A6F90"/>
    <w:rsid w:val="002B4073"/>
    <w:rsid w:val="002B71C3"/>
    <w:rsid w:val="002B7B8C"/>
    <w:rsid w:val="002C2111"/>
    <w:rsid w:val="002C2FD3"/>
    <w:rsid w:val="002C4F7B"/>
    <w:rsid w:val="002C5C79"/>
    <w:rsid w:val="002C61F7"/>
    <w:rsid w:val="002C697A"/>
    <w:rsid w:val="002C6A5A"/>
    <w:rsid w:val="002C6F74"/>
    <w:rsid w:val="002C7D74"/>
    <w:rsid w:val="002D0DDD"/>
    <w:rsid w:val="002D27FA"/>
    <w:rsid w:val="002D29E9"/>
    <w:rsid w:val="002D2FD0"/>
    <w:rsid w:val="002D4911"/>
    <w:rsid w:val="002E23AD"/>
    <w:rsid w:val="002E38C4"/>
    <w:rsid w:val="002E42F2"/>
    <w:rsid w:val="002E636C"/>
    <w:rsid w:val="002F10CC"/>
    <w:rsid w:val="002F5CF2"/>
    <w:rsid w:val="00300FDD"/>
    <w:rsid w:val="0030135B"/>
    <w:rsid w:val="00301851"/>
    <w:rsid w:val="00302BEB"/>
    <w:rsid w:val="00303303"/>
    <w:rsid w:val="00303A92"/>
    <w:rsid w:val="00307E5A"/>
    <w:rsid w:val="0031163B"/>
    <w:rsid w:val="003129A1"/>
    <w:rsid w:val="00312AA9"/>
    <w:rsid w:val="003140ED"/>
    <w:rsid w:val="00314E0C"/>
    <w:rsid w:val="003154E2"/>
    <w:rsid w:val="00315B2E"/>
    <w:rsid w:val="00315B5B"/>
    <w:rsid w:val="003222B0"/>
    <w:rsid w:val="0032242B"/>
    <w:rsid w:val="0032255A"/>
    <w:rsid w:val="003247A9"/>
    <w:rsid w:val="003253DE"/>
    <w:rsid w:val="003257E5"/>
    <w:rsid w:val="003258B5"/>
    <w:rsid w:val="00326487"/>
    <w:rsid w:val="00326A60"/>
    <w:rsid w:val="00327938"/>
    <w:rsid w:val="00331534"/>
    <w:rsid w:val="0033431B"/>
    <w:rsid w:val="0033465E"/>
    <w:rsid w:val="0033548A"/>
    <w:rsid w:val="003356C4"/>
    <w:rsid w:val="00336748"/>
    <w:rsid w:val="0034006A"/>
    <w:rsid w:val="003406E7"/>
    <w:rsid w:val="00340C1B"/>
    <w:rsid w:val="00342F5D"/>
    <w:rsid w:val="003436C6"/>
    <w:rsid w:val="00345454"/>
    <w:rsid w:val="0034777F"/>
    <w:rsid w:val="00350957"/>
    <w:rsid w:val="00351622"/>
    <w:rsid w:val="00356E36"/>
    <w:rsid w:val="0035742D"/>
    <w:rsid w:val="00361057"/>
    <w:rsid w:val="003617F1"/>
    <w:rsid w:val="00367A2F"/>
    <w:rsid w:val="00373B17"/>
    <w:rsid w:val="00375F01"/>
    <w:rsid w:val="00375F67"/>
    <w:rsid w:val="003779A2"/>
    <w:rsid w:val="00383883"/>
    <w:rsid w:val="00383B17"/>
    <w:rsid w:val="00384193"/>
    <w:rsid w:val="00386E56"/>
    <w:rsid w:val="0039106A"/>
    <w:rsid w:val="003957A3"/>
    <w:rsid w:val="00396E80"/>
    <w:rsid w:val="0039715A"/>
    <w:rsid w:val="003A0341"/>
    <w:rsid w:val="003A22B3"/>
    <w:rsid w:val="003A3532"/>
    <w:rsid w:val="003A682D"/>
    <w:rsid w:val="003B2524"/>
    <w:rsid w:val="003B5020"/>
    <w:rsid w:val="003C1090"/>
    <w:rsid w:val="003C1195"/>
    <w:rsid w:val="003C11ED"/>
    <w:rsid w:val="003C1E92"/>
    <w:rsid w:val="003C213D"/>
    <w:rsid w:val="003C432E"/>
    <w:rsid w:val="003C79D3"/>
    <w:rsid w:val="003D1C1F"/>
    <w:rsid w:val="003D25A1"/>
    <w:rsid w:val="003D4260"/>
    <w:rsid w:val="003D48D9"/>
    <w:rsid w:val="003D6B19"/>
    <w:rsid w:val="003E1B5E"/>
    <w:rsid w:val="003E1FD0"/>
    <w:rsid w:val="003E3200"/>
    <w:rsid w:val="003E512B"/>
    <w:rsid w:val="003E5396"/>
    <w:rsid w:val="003F3690"/>
    <w:rsid w:val="003F5599"/>
    <w:rsid w:val="003F6612"/>
    <w:rsid w:val="003F6AEB"/>
    <w:rsid w:val="003F7CC3"/>
    <w:rsid w:val="0040029C"/>
    <w:rsid w:val="0040088B"/>
    <w:rsid w:val="0040456F"/>
    <w:rsid w:val="004051AF"/>
    <w:rsid w:val="0041036E"/>
    <w:rsid w:val="00413DA5"/>
    <w:rsid w:val="00415A87"/>
    <w:rsid w:val="00420AB7"/>
    <w:rsid w:val="00420B9A"/>
    <w:rsid w:val="00421D6D"/>
    <w:rsid w:val="00422ED3"/>
    <w:rsid w:val="004239E7"/>
    <w:rsid w:val="00424720"/>
    <w:rsid w:val="00424E2D"/>
    <w:rsid w:val="00425156"/>
    <w:rsid w:val="00426227"/>
    <w:rsid w:val="004267F7"/>
    <w:rsid w:val="004271E3"/>
    <w:rsid w:val="00427BCC"/>
    <w:rsid w:val="0043103D"/>
    <w:rsid w:val="00432676"/>
    <w:rsid w:val="004327DC"/>
    <w:rsid w:val="004338DB"/>
    <w:rsid w:val="00435E6F"/>
    <w:rsid w:val="0043714D"/>
    <w:rsid w:val="00437419"/>
    <w:rsid w:val="00440DD6"/>
    <w:rsid w:val="00440DE4"/>
    <w:rsid w:val="004417DD"/>
    <w:rsid w:val="00442927"/>
    <w:rsid w:val="00442BB5"/>
    <w:rsid w:val="004447FA"/>
    <w:rsid w:val="00445362"/>
    <w:rsid w:val="004459A7"/>
    <w:rsid w:val="0044623C"/>
    <w:rsid w:val="0044784B"/>
    <w:rsid w:val="00451279"/>
    <w:rsid w:val="004517E3"/>
    <w:rsid w:val="00451D09"/>
    <w:rsid w:val="0045296F"/>
    <w:rsid w:val="004539BF"/>
    <w:rsid w:val="004540B4"/>
    <w:rsid w:val="00454361"/>
    <w:rsid w:val="00455C84"/>
    <w:rsid w:val="00456505"/>
    <w:rsid w:val="00457480"/>
    <w:rsid w:val="00457A70"/>
    <w:rsid w:val="00457D3C"/>
    <w:rsid w:val="004600BE"/>
    <w:rsid w:val="0046205D"/>
    <w:rsid w:val="004643FB"/>
    <w:rsid w:val="0046541F"/>
    <w:rsid w:val="00465CFA"/>
    <w:rsid w:val="004672E7"/>
    <w:rsid w:val="00470D9E"/>
    <w:rsid w:val="00476D67"/>
    <w:rsid w:val="00480BCB"/>
    <w:rsid w:val="00480F91"/>
    <w:rsid w:val="00481DD0"/>
    <w:rsid w:val="004823F8"/>
    <w:rsid w:val="0048734C"/>
    <w:rsid w:val="004901A4"/>
    <w:rsid w:val="00490C46"/>
    <w:rsid w:val="004911CE"/>
    <w:rsid w:val="0049353B"/>
    <w:rsid w:val="00493C78"/>
    <w:rsid w:val="00495062"/>
    <w:rsid w:val="0049541F"/>
    <w:rsid w:val="00496429"/>
    <w:rsid w:val="00497B4B"/>
    <w:rsid w:val="004A234C"/>
    <w:rsid w:val="004A43E0"/>
    <w:rsid w:val="004A554E"/>
    <w:rsid w:val="004A618E"/>
    <w:rsid w:val="004B0EE2"/>
    <w:rsid w:val="004B20F9"/>
    <w:rsid w:val="004B2D19"/>
    <w:rsid w:val="004B2FA7"/>
    <w:rsid w:val="004B5509"/>
    <w:rsid w:val="004B5C91"/>
    <w:rsid w:val="004B734D"/>
    <w:rsid w:val="004B7FDC"/>
    <w:rsid w:val="004C052B"/>
    <w:rsid w:val="004C4526"/>
    <w:rsid w:val="004C55C8"/>
    <w:rsid w:val="004C7C8A"/>
    <w:rsid w:val="004D02F8"/>
    <w:rsid w:val="004D0DFF"/>
    <w:rsid w:val="004D0F7B"/>
    <w:rsid w:val="004D46AE"/>
    <w:rsid w:val="004D4E9B"/>
    <w:rsid w:val="004D7972"/>
    <w:rsid w:val="004E1414"/>
    <w:rsid w:val="004E3A9A"/>
    <w:rsid w:val="004E3AA6"/>
    <w:rsid w:val="004E4277"/>
    <w:rsid w:val="004E5894"/>
    <w:rsid w:val="004E66F2"/>
    <w:rsid w:val="004E7876"/>
    <w:rsid w:val="004E7FB3"/>
    <w:rsid w:val="004F67A4"/>
    <w:rsid w:val="0050370E"/>
    <w:rsid w:val="0050439E"/>
    <w:rsid w:val="005050C4"/>
    <w:rsid w:val="0050518F"/>
    <w:rsid w:val="00505EA1"/>
    <w:rsid w:val="00506BF6"/>
    <w:rsid w:val="00507999"/>
    <w:rsid w:val="00511EEB"/>
    <w:rsid w:val="00514536"/>
    <w:rsid w:val="00514F41"/>
    <w:rsid w:val="0051676B"/>
    <w:rsid w:val="00525163"/>
    <w:rsid w:val="0053012A"/>
    <w:rsid w:val="005310B5"/>
    <w:rsid w:val="005357D2"/>
    <w:rsid w:val="00536FD6"/>
    <w:rsid w:val="00541D00"/>
    <w:rsid w:val="00542724"/>
    <w:rsid w:val="0054300F"/>
    <w:rsid w:val="005430F4"/>
    <w:rsid w:val="00543B94"/>
    <w:rsid w:val="00544F69"/>
    <w:rsid w:val="00545A99"/>
    <w:rsid w:val="00546413"/>
    <w:rsid w:val="005517CB"/>
    <w:rsid w:val="0055276D"/>
    <w:rsid w:val="00552C14"/>
    <w:rsid w:val="0055323D"/>
    <w:rsid w:val="0055595E"/>
    <w:rsid w:val="00556047"/>
    <w:rsid w:val="00561216"/>
    <w:rsid w:val="00561227"/>
    <w:rsid w:val="005625AA"/>
    <w:rsid w:val="00562CFB"/>
    <w:rsid w:val="00563F66"/>
    <w:rsid w:val="00567081"/>
    <w:rsid w:val="00571372"/>
    <w:rsid w:val="00571B35"/>
    <w:rsid w:val="00574F79"/>
    <w:rsid w:val="005808BA"/>
    <w:rsid w:val="005812B9"/>
    <w:rsid w:val="00581A9D"/>
    <w:rsid w:val="00581BB3"/>
    <w:rsid w:val="00585206"/>
    <w:rsid w:val="00587E96"/>
    <w:rsid w:val="00590513"/>
    <w:rsid w:val="0059223F"/>
    <w:rsid w:val="005922BB"/>
    <w:rsid w:val="0059460D"/>
    <w:rsid w:val="005A07C5"/>
    <w:rsid w:val="005A1C91"/>
    <w:rsid w:val="005A3A9B"/>
    <w:rsid w:val="005B25FF"/>
    <w:rsid w:val="005B3EE6"/>
    <w:rsid w:val="005B48D2"/>
    <w:rsid w:val="005B5BDB"/>
    <w:rsid w:val="005C0247"/>
    <w:rsid w:val="005C4151"/>
    <w:rsid w:val="005C4EB3"/>
    <w:rsid w:val="005C62C0"/>
    <w:rsid w:val="005C6955"/>
    <w:rsid w:val="005C69AC"/>
    <w:rsid w:val="005C7C45"/>
    <w:rsid w:val="005D0D55"/>
    <w:rsid w:val="005D1D52"/>
    <w:rsid w:val="005D491B"/>
    <w:rsid w:val="005E06BB"/>
    <w:rsid w:val="005E0D5E"/>
    <w:rsid w:val="005E177F"/>
    <w:rsid w:val="005E42FD"/>
    <w:rsid w:val="005E43A9"/>
    <w:rsid w:val="005E4482"/>
    <w:rsid w:val="005E6606"/>
    <w:rsid w:val="005F0E33"/>
    <w:rsid w:val="005F140A"/>
    <w:rsid w:val="005F2FF7"/>
    <w:rsid w:val="005F45C3"/>
    <w:rsid w:val="005F563C"/>
    <w:rsid w:val="005F6164"/>
    <w:rsid w:val="005F6BCD"/>
    <w:rsid w:val="006014A1"/>
    <w:rsid w:val="00602FDA"/>
    <w:rsid w:val="00605757"/>
    <w:rsid w:val="00611741"/>
    <w:rsid w:val="00612CF0"/>
    <w:rsid w:val="00614A11"/>
    <w:rsid w:val="00614AE9"/>
    <w:rsid w:val="00614FE6"/>
    <w:rsid w:val="006155D2"/>
    <w:rsid w:val="00620059"/>
    <w:rsid w:val="0062231D"/>
    <w:rsid w:val="00622DC1"/>
    <w:rsid w:val="0062570B"/>
    <w:rsid w:val="006257ED"/>
    <w:rsid w:val="00625AE0"/>
    <w:rsid w:val="0062621B"/>
    <w:rsid w:val="0063655E"/>
    <w:rsid w:val="0063797E"/>
    <w:rsid w:val="00640588"/>
    <w:rsid w:val="00641092"/>
    <w:rsid w:val="00641917"/>
    <w:rsid w:val="00641A07"/>
    <w:rsid w:val="00650C3E"/>
    <w:rsid w:val="00653507"/>
    <w:rsid w:val="00653707"/>
    <w:rsid w:val="00654654"/>
    <w:rsid w:val="00656878"/>
    <w:rsid w:val="00657BEC"/>
    <w:rsid w:val="0066192A"/>
    <w:rsid w:val="00662C33"/>
    <w:rsid w:val="006740A5"/>
    <w:rsid w:val="00674B69"/>
    <w:rsid w:val="006805A9"/>
    <w:rsid w:val="00681F1F"/>
    <w:rsid w:val="00683078"/>
    <w:rsid w:val="00683784"/>
    <w:rsid w:val="00684A0E"/>
    <w:rsid w:val="00686BA7"/>
    <w:rsid w:val="0068770B"/>
    <w:rsid w:val="006940C5"/>
    <w:rsid w:val="00694272"/>
    <w:rsid w:val="006A2FE7"/>
    <w:rsid w:val="006B0016"/>
    <w:rsid w:val="006B076D"/>
    <w:rsid w:val="006B2C5A"/>
    <w:rsid w:val="006B748B"/>
    <w:rsid w:val="006C22D8"/>
    <w:rsid w:val="006C3494"/>
    <w:rsid w:val="006C36BF"/>
    <w:rsid w:val="006C382F"/>
    <w:rsid w:val="006C41BF"/>
    <w:rsid w:val="006C5183"/>
    <w:rsid w:val="006C5C82"/>
    <w:rsid w:val="006C6628"/>
    <w:rsid w:val="006D0115"/>
    <w:rsid w:val="006D1A61"/>
    <w:rsid w:val="006D5D55"/>
    <w:rsid w:val="006D6837"/>
    <w:rsid w:val="006E3AA0"/>
    <w:rsid w:val="006E3D80"/>
    <w:rsid w:val="006E46FD"/>
    <w:rsid w:val="006E5157"/>
    <w:rsid w:val="006E5F4A"/>
    <w:rsid w:val="006E67FE"/>
    <w:rsid w:val="006E7080"/>
    <w:rsid w:val="006F0416"/>
    <w:rsid w:val="006F2F18"/>
    <w:rsid w:val="006F30F8"/>
    <w:rsid w:val="006F3103"/>
    <w:rsid w:val="006F3842"/>
    <w:rsid w:val="006F4819"/>
    <w:rsid w:val="006F5500"/>
    <w:rsid w:val="006F616A"/>
    <w:rsid w:val="00705240"/>
    <w:rsid w:val="007110D1"/>
    <w:rsid w:val="00712D9C"/>
    <w:rsid w:val="0071429E"/>
    <w:rsid w:val="00714B42"/>
    <w:rsid w:val="00715BBF"/>
    <w:rsid w:val="007164BD"/>
    <w:rsid w:val="00717122"/>
    <w:rsid w:val="00720377"/>
    <w:rsid w:val="00720FE3"/>
    <w:rsid w:val="007229CD"/>
    <w:rsid w:val="00725530"/>
    <w:rsid w:val="00725DF7"/>
    <w:rsid w:val="00731EE1"/>
    <w:rsid w:val="007328E8"/>
    <w:rsid w:val="00735058"/>
    <w:rsid w:val="00737BA4"/>
    <w:rsid w:val="00741473"/>
    <w:rsid w:val="00741753"/>
    <w:rsid w:val="00743D64"/>
    <w:rsid w:val="00743DCC"/>
    <w:rsid w:val="00744615"/>
    <w:rsid w:val="007614A3"/>
    <w:rsid w:val="00762D34"/>
    <w:rsid w:val="007644F3"/>
    <w:rsid w:val="00764577"/>
    <w:rsid w:val="007673A7"/>
    <w:rsid w:val="00767C6E"/>
    <w:rsid w:val="00767D5D"/>
    <w:rsid w:val="00770075"/>
    <w:rsid w:val="007707CB"/>
    <w:rsid w:val="007709C8"/>
    <w:rsid w:val="00774453"/>
    <w:rsid w:val="00774E05"/>
    <w:rsid w:val="007757C7"/>
    <w:rsid w:val="00775DBC"/>
    <w:rsid w:val="00775DFA"/>
    <w:rsid w:val="00776F5C"/>
    <w:rsid w:val="00777613"/>
    <w:rsid w:val="00782C41"/>
    <w:rsid w:val="00783140"/>
    <w:rsid w:val="00786BF2"/>
    <w:rsid w:val="007956D3"/>
    <w:rsid w:val="00796DB7"/>
    <w:rsid w:val="00797256"/>
    <w:rsid w:val="007A3DAE"/>
    <w:rsid w:val="007A6525"/>
    <w:rsid w:val="007A7598"/>
    <w:rsid w:val="007B00C8"/>
    <w:rsid w:val="007B1B0F"/>
    <w:rsid w:val="007B2A20"/>
    <w:rsid w:val="007B3A7E"/>
    <w:rsid w:val="007B59C8"/>
    <w:rsid w:val="007C10FD"/>
    <w:rsid w:val="007C18FC"/>
    <w:rsid w:val="007C2C5C"/>
    <w:rsid w:val="007C4761"/>
    <w:rsid w:val="007C6DF5"/>
    <w:rsid w:val="007D0D7A"/>
    <w:rsid w:val="007D3331"/>
    <w:rsid w:val="007D4065"/>
    <w:rsid w:val="007E03D1"/>
    <w:rsid w:val="007E19B2"/>
    <w:rsid w:val="007E1FDC"/>
    <w:rsid w:val="007E2A53"/>
    <w:rsid w:val="007E3613"/>
    <w:rsid w:val="007E4077"/>
    <w:rsid w:val="007E55AB"/>
    <w:rsid w:val="007E56BB"/>
    <w:rsid w:val="007F0561"/>
    <w:rsid w:val="007F0DC8"/>
    <w:rsid w:val="007F1352"/>
    <w:rsid w:val="007F22A4"/>
    <w:rsid w:val="007F3A99"/>
    <w:rsid w:val="007F44C1"/>
    <w:rsid w:val="007F5E36"/>
    <w:rsid w:val="007F65DF"/>
    <w:rsid w:val="007F675F"/>
    <w:rsid w:val="0080004C"/>
    <w:rsid w:val="008026E1"/>
    <w:rsid w:val="00802890"/>
    <w:rsid w:val="00802EDD"/>
    <w:rsid w:val="00802F04"/>
    <w:rsid w:val="00806934"/>
    <w:rsid w:val="008077BF"/>
    <w:rsid w:val="0081210C"/>
    <w:rsid w:val="008143BE"/>
    <w:rsid w:val="00814810"/>
    <w:rsid w:val="008179E7"/>
    <w:rsid w:val="008202BE"/>
    <w:rsid w:val="008207CB"/>
    <w:rsid w:val="00820E1B"/>
    <w:rsid w:val="00821251"/>
    <w:rsid w:val="008223C6"/>
    <w:rsid w:val="00823E1F"/>
    <w:rsid w:val="008255E5"/>
    <w:rsid w:val="008259A2"/>
    <w:rsid w:val="00827C97"/>
    <w:rsid w:val="00833B1B"/>
    <w:rsid w:val="00834568"/>
    <w:rsid w:val="00840ED4"/>
    <w:rsid w:val="0084104D"/>
    <w:rsid w:val="0084235B"/>
    <w:rsid w:val="008433E1"/>
    <w:rsid w:val="0084539E"/>
    <w:rsid w:val="008454C8"/>
    <w:rsid w:val="00846816"/>
    <w:rsid w:val="00847206"/>
    <w:rsid w:val="008517E6"/>
    <w:rsid w:val="0085554F"/>
    <w:rsid w:val="00857994"/>
    <w:rsid w:val="00861A9D"/>
    <w:rsid w:val="00863047"/>
    <w:rsid w:val="00864092"/>
    <w:rsid w:val="00865F31"/>
    <w:rsid w:val="00866908"/>
    <w:rsid w:val="00866F49"/>
    <w:rsid w:val="0087392F"/>
    <w:rsid w:val="0087799A"/>
    <w:rsid w:val="00884204"/>
    <w:rsid w:val="0088481B"/>
    <w:rsid w:val="008858D5"/>
    <w:rsid w:val="00885B27"/>
    <w:rsid w:val="0088727B"/>
    <w:rsid w:val="00893F09"/>
    <w:rsid w:val="008977E4"/>
    <w:rsid w:val="00897ED1"/>
    <w:rsid w:val="008A0FDB"/>
    <w:rsid w:val="008A48B1"/>
    <w:rsid w:val="008A6B60"/>
    <w:rsid w:val="008B61BF"/>
    <w:rsid w:val="008B64AB"/>
    <w:rsid w:val="008C6C45"/>
    <w:rsid w:val="008D172B"/>
    <w:rsid w:val="008D6FAA"/>
    <w:rsid w:val="008E041F"/>
    <w:rsid w:val="008E2994"/>
    <w:rsid w:val="008E56A3"/>
    <w:rsid w:val="008E5B25"/>
    <w:rsid w:val="008F10CF"/>
    <w:rsid w:val="008F3437"/>
    <w:rsid w:val="008F7FBA"/>
    <w:rsid w:val="009001CD"/>
    <w:rsid w:val="00900711"/>
    <w:rsid w:val="009023E7"/>
    <w:rsid w:val="00905C75"/>
    <w:rsid w:val="00913AC3"/>
    <w:rsid w:val="009152C9"/>
    <w:rsid w:val="00916322"/>
    <w:rsid w:val="00916DA6"/>
    <w:rsid w:val="009213F8"/>
    <w:rsid w:val="00923458"/>
    <w:rsid w:val="00923558"/>
    <w:rsid w:val="00924040"/>
    <w:rsid w:val="00924246"/>
    <w:rsid w:val="00925C4A"/>
    <w:rsid w:val="00925E37"/>
    <w:rsid w:val="009270CF"/>
    <w:rsid w:val="00931B28"/>
    <w:rsid w:val="00931C91"/>
    <w:rsid w:val="00935099"/>
    <w:rsid w:val="009401CF"/>
    <w:rsid w:val="00941A61"/>
    <w:rsid w:val="0094333D"/>
    <w:rsid w:val="009439B9"/>
    <w:rsid w:val="00952497"/>
    <w:rsid w:val="0095559D"/>
    <w:rsid w:val="00955FFF"/>
    <w:rsid w:val="00956122"/>
    <w:rsid w:val="00957206"/>
    <w:rsid w:val="00961B61"/>
    <w:rsid w:val="009624B6"/>
    <w:rsid w:val="0096296A"/>
    <w:rsid w:val="009704F7"/>
    <w:rsid w:val="0097079B"/>
    <w:rsid w:val="009750F8"/>
    <w:rsid w:val="00975BCA"/>
    <w:rsid w:val="00980E96"/>
    <w:rsid w:val="0098512F"/>
    <w:rsid w:val="00992DD4"/>
    <w:rsid w:val="009A16F4"/>
    <w:rsid w:val="009A1917"/>
    <w:rsid w:val="009A2B54"/>
    <w:rsid w:val="009A5F62"/>
    <w:rsid w:val="009A67C0"/>
    <w:rsid w:val="009B0F6B"/>
    <w:rsid w:val="009B23EA"/>
    <w:rsid w:val="009B2EE2"/>
    <w:rsid w:val="009B4578"/>
    <w:rsid w:val="009B59CA"/>
    <w:rsid w:val="009B6D3A"/>
    <w:rsid w:val="009C04EA"/>
    <w:rsid w:val="009C2D67"/>
    <w:rsid w:val="009C442D"/>
    <w:rsid w:val="009C4A60"/>
    <w:rsid w:val="009C5B0C"/>
    <w:rsid w:val="009D1B24"/>
    <w:rsid w:val="009D354A"/>
    <w:rsid w:val="009D3AB6"/>
    <w:rsid w:val="009D4234"/>
    <w:rsid w:val="009D79F2"/>
    <w:rsid w:val="009D7BDB"/>
    <w:rsid w:val="009F3EF0"/>
    <w:rsid w:val="009F4F55"/>
    <w:rsid w:val="009F59C3"/>
    <w:rsid w:val="00A00B43"/>
    <w:rsid w:val="00A03ADD"/>
    <w:rsid w:val="00A06CE0"/>
    <w:rsid w:val="00A138E5"/>
    <w:rsid w:val="00A142EA"/>
    <w:rsid w:val="00A1438F"/>
    <w:rsid w:val="00A14E29"/>
    <w:rsid w:val="00A15EB8"/>
    <w:rsid w:val="00A15FC1"/>
    <w:rsid w:val="00A16F11"/>
    <w:rsid w:val="00A17655"/>
    <w:rsid w:val="00A17AFE"/>
    <w:rsid w:val="00A17F94"/>
    <w:rsid w:val="00A23CA2"/>
    <w:rsid w:val="00A25ED9"/>
    <w:rsid w:val="00A27641"/>
    <w:rsid w:val="00A27788"/>
    <w:rsid w:val="00A31D5E"/>
    <w:rsid w:val="00A33A8E"/>
    <w:rsid w:val="00A341C1"/>
    <w:rsid w:val="00A364C9"/>
    <w:rsid w:val="00A368BF"/>
    <w:rsid w:val="00A36AB2"/>
    <w:rsid w:val="00A42018"/>
    <w:rsid w:val="00A4201A"/>
    <w:rsid w:val="00A50C62"/>
    <w:rsid w:val="00A513B5"/>
    <w:rsid w:val="00A54766"/>
    <w:rsid w:val="00A56545"/>
    <w:rsid w:val="00A5715C"/>
    <w:rsid w:val="00A575D6"/>
    <w:rsid w:val="00A60817"/>
    <w:rsid w:val="00A63A99"/>
    <w:rsid w:val="00A641C6"/>
    <w:rsid w:val="00A64D2D"/>
    <w:rsid w:val="00A6569B"/>
    <w:rsid w:val="00A660C1"/>
    <w:rsid w:val="00A674BE"/>
    <w:rsid w:val="00A70B4E"/>
    <w:rsid w:val="00A722F7"/>
    <w:rsid w:val="00A72C18"/>
    <w:rsid w:val="00A74C51"/>
    <w:rsid w:val="00A8142D"/>
    <w:rsid w:val="00A81657"/>
    <w:rsid w:val="00A83C0C"/>
    <w:rsid w:val="00A85B73"/>
    <w:rsid w:val="00A86BF8"/>
    <w:rsid w:val="00A9270D"/>
    <w:rsid w:val="00A92A7F"/>
    <w:rsid w:val="00A934D3"/>
    <w:rsid w:val="00AA0CE0"/>
    <w:rsid w:val="00AA5019"/>
    <w:rsid w:val="00AB0653"/>
    <w:rsid w:val="00AB583A"/>
    <w:rsid w:val="00AB73FB"/>
    <w:rsid w:val="00AB7781"/>
    <w:rsid w:val="00AC10BD"/>
    <w:rsid w:val="00AC1940"/>
    <w:rsid w:val="00AC30F9"/>
    <w:rsid w:val="00AC3EA5"/>
    <w:rsid w:val="00AC46F7"/>
    <w:rsid w:val="00AC52A9"/>
    <w:rsid w:val="00AC6D41"/>
    <w:rsid w:val="00AC72C2"/>
    <w:rsid w:val="00AD089E"/>
    <w:rsid w:val="00AD6AA3"/>
    <w:rsid w:val="00AD79FC"/>
    <w:rsid w:val="00AE283D"/>
    <w:rsid w:val="00AE2F0A"/>
    <w:rsid w:val="00AE492B"/>
    <w:rsid w:val="00AE58F3"/>
    <w:rsid w:val="00AF0A02"/>
    <w:rsid w:val="00AF0B38"/>
    <w:rsid w:val="00AF32E0"/>
    <w:rsid w:val="00AF676A"/>
    <w:rsid w:val="00AF6FF0"/>
    <w:rsid w:val="00AF7893"/>
    <w:rsid w:val="00AF7C92"/>
    <w:rsid w:val="00B03880"/>
    <w:rsid w:val="00B050DF"/>
    <w:rsid w:val="00B06A21"/>
    <w:rsid w:val="00B133FA"/>
    <w:rsid w:val="00B16EA5"/>
    <w:rsid w:val="00B17842"/>
    <w:rsid w:val="00B205CC"/>
    <w:rsid w:val="00B222B1"/>
    <w:rsid w:val="00B22AA4"/>
    <w:rsid w:val="00B259D4"/>
    <w:rsid w:val="00B26EAE"/>
    <w:rsid w:val="00B33029"/>
    <w:rsid w:val="00B33987"/>
    <w:rsid w:val="00B35F4E"/>
    <w:rsid w:val="00B4338B"/>
    <w:rsid w:val="00B47412"/>
    <w:rsid w:val="00B51562"/>
    <w:rsid w:val="00B54B04"/>
    <w:rsid w:val="00B54F3B"/>
    <w:rsid w:val="00B631C2"/>
    <w:rsid w:val="00B64654"/>
    <w:rsid w:val="00B70BDB"/>
    <w:rsid w:val="00B73B62"/>
    <w:rsid w:val="00B7448F"/>
    <w:rsid w:val="00B755AB"/>
    <w:rsid w:val="00B76EA2"/>
    <w:rsid w:val="00B773C4"/>
    <w:rsid w:val="00B77DD9"/>
    <w:rsid w:val="00B77E00"/>
    <w:rsid w:val="00B82268"/>
    <w:rsid w:val="00B83E76"/>
    <w:rsid w:val="00B84F02"/>
    <w:rsid w:val="00B86A67"/>
    <w:rsid w:val="00B86AAC"/>
    <w:rsid w:val="00B874D7"/>
    <w:rsid w:val="00B905B8"/>
    <w:rsid w:val="00B9205E"/>
    <w:rsid w:val="00B92E76"/>
    <w:rsid w:val="00B930A7"/>
    <w:rsid w:val="00B9433E"/>
    <w:rsid w:val="00B946C9"/>
    <w:rsid w:val="00B958BA"/>
    <w:rsid w:val="00B9667D"/>
    <w:rsid w:val="00B96D3E"/>
    <w:rsid w:val="00B971AD"/>
    <w:rsid w:val="00B97D1F"/>
    <w:rsid w:val="00BA10F6"/>
    <w:rsid w:val="00BA1D13"/>
    <w:rsid w:val="00BA2DB3"/>
    <w:rsid w:val="00BA628B"/>
    <w:rsid w:val="00BB2CAE"/>
    <w:rsid w:val="00BB2E6A"/>
    <w:rsid w:val="00BB3332"/>
    <w:rsid w:val="00BB4F5E"/>
    <w:rsid w:val="00BB57DF"/>
    <w:rsid w:val="00BB6EC9"/>
    <w:rsid w:val="00BC24C9"/>
    <w:rsid w:val="00BC4F31"/>
    <w:rsid w:val="00BC6B9C"/>
    <w:rsid w:val="00BD1D5B"/>
    <w:rsid w:val="00BD3F65"/>
    <w:rsid w:val="00BD6B75"/>
    <w:rsid w:val="00BD7658"/>
    <w:rsid w:val="00BE1E04"/>
    <w:rsid w:val="00BE47E4"/>
    <w:rsid w:val="00BE64EF"/>
    <w:rsid w:val="00BE7580"/>
    <w:rsid w:val="00BE794F"/>
    <w:rsid w:val="00BE7EBF"/>
    <w:rsid w:val="00BF1FB5"/>
    <w:rsid w:val="00BF366A"/>
    <w:rsid w:val="00BF5E97"/>
    <w:rsid w:val="00BF61EC"/>
    <w:rsid w:val="00BF74CA"/>
    <w:rsid w:val="00C016AA"/>
    <w:rsid w:val="00C0276A"/>
    <w:rsid w:val="00C03780"/>
    <w:rsid w:val="00C037BF"/>
    <w:rsid w:val="00C046FC"/>
    <w:rsid w:val="00C058A5"/>
    <w:rsid w:val="00C05D42"/>
    <w:rsid w:val="00C060EF"/>
    <w:rsid w:val="00C06B0A"/>
    <w:rsid w:val="00C10F4B"/>
    <w:rsid w:val="00C11086"/>
    <w:rsid w:val="00C15C54"/>
    <w:rsid w:val="00C168A1"/>
    <w:rsid w:val="00C16C29"/>
    <w:rsid w:val="00C2046A"/>
    <w:rsid w:val="00C20576"/>
    <w:rsid w:val="00C306D3"/>
    <w:rsid w:val="00C31C48"/>
    <w:rsid w:val="00C326E3"/>
    <w:rsid w:val="00C3274D"/>
    <w:rsid w:val="00C32925"/>
    <w:rsid w:val="00C32E89"/>
    <w:rsid w:val="00C3365E"/>
    <w:rsid w:val="00C33F09"/>
    <w:rsid w:val="00C36210"/>
    <w:rsid w:val="00C3737C"/>
    <w:rsid w:val="00C41D78"/>
    <w:rsid w:val="00C449FF"/>
    <w:rsid w:val="00C455C5"/>
    <w:rsid w:val="00C457B5"/>
    <w:rsid w:val="00C4675D"/>
    <w:rsid w:val="00C46AB4"/>
    <w:rsid w:val="00C47D62"/>
    <w:rsid w:val="00C50852"/>
    <w:rsid w:val="00C5111D"/>
    <w:rsid w:val="00C51FAC"/>
    <w:rsid w:val="00C569B6"/>
    <w:rsid w:val="00C56D79"/>
    <w:rsid w:val="00C61D2E"/>
    <w:rsid w:val="00C62485"/>
    <w:rsid w:val="00C63626"/>
    <w:rsid w:val="00C6614A"/>
    <w:rsid w:val="00C663BB"/>
    <w:rsid w:val="00C70256"/>
    <w:rsid w:val="00C723B8"/>
    <w:rsid w:val="00C80687"/>
    <w:rsid w:val="00C80BAC"/>
    <w:rsid w:val="00C830C4"/>
    <w:rsid w:val="00C837FB"/>
    <w:rsid w:val="00C846CF"/>
    <w:rsid w:val="00C8513B"/>
    <w:rsid w:val="00C86875"/>
    <w:rsid w:val="00C86A26"/>
    <w:rsid w:val="00C8720D"/>
    <w:rsid w:val="00C92CB6"/>
    <w:rsid w:val="00C939CC"/>
    <w:rsid w:val="00C94D83"/>
    <w:rsid w:val="00C96698"/>
    <w:rsid w:val="00C971C7"/>
    <w:rsid w:val="00C9773E"/>
    <w:rsid w:val="00CA1896"/>
    <w:rsid w:val="00CA23EB"/>
    <w:rsid w:val="00CA412E"/>
    <w:rsid w:val="00CA4B2D"/>
    <w:rsid w:val="00CA4E95"/>
    <w:rsid w:val="00CA4F1A"/>
    <w:rsid w:val="00CA6B0B"/>
    <w:rsid w:val="00CA6B72"/>
    <w:rsid w:val="00CA7754"/>
    <w:rsid w:val="00CB0F85"/>
    <w:rsid w:val="00CB2470"/>
    <w:rsid w:val="00CB40DD"/>
    <w:rsid w:val="00CB45DD"/>
    <w:rsid w:val="00CC4619"/>
    <w:rsid w:val="00CC46E1"/>
    <w:rsid w:val="00CC770A"/>
    <w:rsid w:val="00CD1908"/>
    <w:rsid w:val="00CD291E"/>
    <w:rsid w:val="00CD479B"/>
    <w:rsid w:val="00CD4B20"/>
    <w:rsid w:val="00CD5E41"/>
    <w:rsid w:val="00CD6FF2"/>
    <w:rsid w:val="00CE20CD"/>
    <w:rsid w:val="00CF5DD6"/>
    <w:rsid w:val="00CF7D96"/>
    <w:rsid w:val="00D004C9"/>
    <w:rsid w:val="00D015AF"/>
    <w:rsid w:val="00D0485C"/>
    <w:rsid w:val="00D04949"/>
    <w:rsid w:val="00D04BED"/>
    <w:rsid w:val="00D05AF5"/>
    <w:rsid w:val="00D06C95"/>
    <w:rsid w:val="00D11839"/>
    <w:rsid w:val="00D13CFD"/>
    <w:rsid w:val="00D13D21"/>
    <w:rsid w:val="00D149DF"/>
    <w:rsid w:val="00D22A5B"/>
    <w:rsid w:val="00D24EE8"/>
    <w:rsid w:val="00D254C1"/>
    <w:rsid w:val="00D2613B"/>
    <w:rsid w:val="00D27F15"/>
    <w:rsid w:val="00D30354"/>
    <w:rsid w:val="00D30654"/>
    <w:rsid w:val="00D321B7"/>
    <w:rsid w:val="00D32710"/>
    <w:rsid w:val="00D3332B"/>
    <w:rsid w:val="00D3400F"/>
    <w:rsid w:val="00D41077"/>
    <w:rsid w:val="00D432C8"/>
    <w:rsid w:val="00D439EC"/>
    <w:rsid w:val="00D47C6B"/>
    <w:rsid w:val="00D47FD9"/>
    <w:rsid w:val="00D512C0"/>
    <w:rsid w:val="00D51A81"/>
    <w:rsid w:val="00D523B5"/>
    <w:rsid w:val="00D53384"/>
    <w:rsid w:val="00D53B85"/>
    <w:rsid w:val="00D55106"/>
    <w:rsid w:val="00D57096"/>
    <w:rsid w:val="00D57B6A"/>
    <w:rsid w:val="00D60A4F"/>
    <w:rsid w:val="00D618FB"/>
    <w:rsid w:val="00D61B91"/>
    <w:rsid w:val="00D62126"/>
    <w:rsid w:val="00D7176E"/>
    <w:rsid w:val="00D72EB6"/>
    <w:rsid w:val="00D733FC"/>
    <w:rsid w:val="00D73E17"/>
    <w:rsid w:val="00D753F2"/>
    <w:rsid w:val="00D75566"/>
    <w:rsid w:val="00D760D0"/>
    <w:rsid w:val="00D8208B"/>
    <w:rsid w:val="00D833DA"/>
    <w:rsid w:val="00D87E55"/>
    <w:rsid w:val="00D93210"/>
    <w:rsid w:val="00D9577D"/>
    <w:rsid w:val="00DA1430"/>
    <w:rsid w:val="00DA5310"/>
    <w:rsid w:val="00DA5A8C"/>
    <w:rsid w:val="00DB28DE"/>
    <w:rsid w:val="00DB2ECC"/>
    <w:rsid w:val="00DB544A"/>
    <w:rsid w:val="00DB7211"/>
    <w:rsid w:val="00DC2F65"/>
    <w:rsid w:val="00DC6A69"/>
    <w:rsid w:val="00DD266A"/>
    <w:rsid w:val="00DD2B89"/>
    <w:rsid w:val="00DD4341"/>
    <w:rsid w:val="00DE3EB4"/>
    <w:rsid w:val="00DE5336"/>
    <w:rsid w:val="00DE5B09"/>
    <w:rsid w:val="00DE6DD0"/>
    <w:rsid w:val="00DF1245"/>
    <w:rsid w:val="00DF3CF8"/>
    <w:rsid w:val="00DF5660"/>
    <w:rsid w:val="00DF6776"/>
    <w:rsid w:val="00E04360"/>
    <w:rsid w:val="00E0556B"/>
    <w:rsid w:val="00E0715D"/>
    <w:rsid w:val="00E10CB4"/>
    <w:rsid w:val="00E12A7A"/>
    <w:rsid w:val="00E12C17"/>
    <w:rsid w:val="00E13DB8"/>
    <w:rsid w:val="00E15A08"/>
    <w:rsid w:val="00E168EB"/>
    <w:rsid w:val="00E17084"/>
    <w:rsid w:val="00E178A0"/>
    <w:rsid w:val="00E178AA"/>
    <w:rsid w:val="00E20E9D"/>
    <w:rsid w:val="00E221BF"/>
    <w:rsid w:val="00E236A0"/>
    <w:rsid w:val="00E2566C"/>
    <w:rsid w:val="00E26728"/>
    <w:rsid w:val="00E302BB"/>
    <w:rsid w:val="00E32234"/>
    <w:rsid w:val="00E3276B"/>
    <w:rsid w:val="00E37B91"/>
    <w:rsid w:val="00E37CDA"/>
    <w:rsid w:val="00E44675"/>
    <w:rsid w:val="00E44787"/>
    <w:rsid w:val="00E46A9A"/>
    <w:rsid w:val="00E51428"/>
    <w:rsid w:val="00E51CF1"/>
    <w:rsid w:val="00E60192"/>
    <w:rsid w:val="00E61F26"/>
    <w:rsid w:val="00E62C15"/>
    <w:rsid w:val="00E64FDC"/>
    <w:rsid w:val="00E669AA"/>
    <w:rsid w:val="00E67487"/>
    <w:rsid w:val="00E720E8"/>
    <w:rsid w:val="00E75AAA"/>
    <w:rsid w:val="00E7712F"/>
    <w:rsid w:val="00E82F0B"/>
    <w:rsid w:val="00E83B30"/>
    <w:rsid w:val="00E83DE8"/>
    <w:rsid w:val="00E847A8"/>
    <w:rsid w:val="00E937C0"/>
    <w:rsid w:val="00E95DDA"/>
    <w:rsid w:val="00E960E1"/>
    <w:rsid w:val="00EA09D6"/>
    <w:rsid w:val="00EA462F"/>
    <w:rsid w:val="00EA5AA0"/>
    <w:rsid w:val="00EA779C"/>
    <w:rsid w:val="00EB07CC"/>
    <w:rsid w:val="00EB0D10"/>
    <w:rsid w:val="00EB17CB"/>
    <w:rsid w:val="00EB35AF"/>
    <w:rsid w:val="00EB3BAD"/>
    <w:rsid w:val="00EB51DD"/>
    <w:rsid w:val="00EC4B96"/>
    <w:rsid w:val="00EC6B56"/>
    <w:rsid w:val="00ED078C"/>
    <w:rsid w:val="00ED1BAD"/>
    <w:rsid w:val="00ED3DF6"/>
    <w:rsid w:val="00ED78F6"/>
    <w:rsid w:val="00EE429E"/>
    <w:rsid w:val="00EE4553"/>
    <w:rsid w:val="00EF08A0"/>
    <w:rsid w:val="00EF2733"/>
    <w:rsid w:val="00EF4DA1"/>
    <w:rsid w:val="00EF52F7"/>
    <w:rsid w:val="00EF623E"/>
    <w:rsid w:val="00EF6280"/>
    <w:rsid w:val="00EF683A"/>
    <w:rsid w:val="00EF7A01"/>
    <w:rsid w:val="00F004D0"/>
    <w:rsid w:val="00F0091A"/>
    <w:rsid w:val="00F015E0"/>
    <w:rsid w:val="00F01650"/>
    <w:rsid w:val="00F01B10"/>
    <w:rsid w:val="00F03B31"/>
    <w:rsid w:val="00F05268"/>
    <w:rsid w:val="00F11130"/>
    <w:rsid w:val="00F17A2D"/>
    <w:rsid w:val="00F232BF"/>
    <w:rsid w:val="00F27027"/>
    <w:rsid w:val="00F3037B"/>
    <w:rsid w:val="00F316F4"/>
    <w:rsid w:val="00F31E7A"/>
    <w:rsid w:val="00F3260D"/>
    <w:rsid w:val="00F3287E"/>
    <w:rsid w:val="00F32F46"/>
    <w:rsid w:val="00F3308E"/>
    <w:rsid w:val="00F338AC"/>
    <w:rsid w:val="00F369A3"/>
    <w:rsid w:val="00F37A14"/>
    <w:rsid w:val="00F37D13"/>
    <w:rsid w:val="00F41EB6"/>
    <w:rsid w:val="00F42D7A"/>
    <w:rsid w:val="00F4311F"/>
    <w:rsid w:val="00F435D4"/>
    <w:rsid w:val="00F436BD"/>
    <w:rsid w:val="00F522FE"/>
    <w:rsid w:val="00F52546"/>
    <w:rsid w:val="00F5256C"/>
    <w:rsid w:val="00F52A70"/>
    <w:rsid w:val="00F532D8"/>
    <w:rsid w:val="00F61078"/>
    <w:rsid w:val="00F62D20"/>
    <w:rsid w:val="00F72DEA"/>
    <w:rsid w:val="00F75FF3"/>
    <w:rsid w:val="00F7685A"/>
    <w:rsid w:val="00F77E3E"/>
    <w:rsid w:val="00F80FC3"/>
    <w:rsid w:val="00F82688"/>
    <w:rsid w:val="00F82FC0"/>
    <w:rsid w:val="00F83B18"/>
    <w:rsid w:val="00F86E96"/>
    <w:rsid w:val="00F87D06"/>
    <w:rsid w:val="00F904BC"/>
    <w:rsid w:val="00F93CEF"/>
    <w:rsid w:val="00F97613"/>
    <w:rsid w:val="00FA1043"/>
    <w:rsid w:val="00FA2D28"/>
    <w:rsid w:val="00FA35E1"/>
    <w:rsid w:val="00FA43D2"/>
    <w:rsid w:val="00FA4BD4"/>
    <w:rsid w:val="00FA5A66"/>
    <w:rsid w:val="00FB00A2"/>
    <w:rsid w:val="00FB154D"/>
    <w:rsid w:val="00FB244D"/>
    <w:rsid w:val="00FB4278"/>
    <w:rsid w:val="00FC0EA0"/>
    <w:rsid w:val="00FC29EE"/>
    <w:rsid w:val="00FC452A"/>
    <w:rsid w:val="00FC4878"/>
    <w:rsid w:val="00FC5F93"/>
    <w:rsid w:val="00FC788C"/>
    <w:rsid w:val="00FD0BD5"/>
    <w:rsid w:val="00FD4161"/>
    <w:rsid w:val="00FD6A6D"/>
    <w:rsid w:val="00FE0654"/>
    <w:rsid w:val="00FE0834"/>
    <w:rsid w:val="00FE093E"/>
    <w:rsid w:val="00FE1469"/>
    <w:rsid w:val="00FE171C"/>
    <w:rsid w:val="00FE3167"/>
    <w:rsid w:val="00FE33F6"/>
    <w:rsid w:val="00FF0C37"/>
    <w:rsid w:val="00FF2D8E"/>
    <w:rsid w:val="00FF3211"/>
    <w:rsid w:val="00FF3439"/>
    <w:rsid w:val="00FF3621"/>
    <w:rsid w:val="00FF5687"/>
    <w:rsid w:val="00FF57E3"/>
    <w:rsid w:val="00FF7D9E"/>
    <w:rsid w:val="01DB4736"/>
    <w:rsid w:val="02292F4D"/>
    <w:rsid w:val="02807A50"/>
    <w:rsid w:val="030A4193"/>
    <w:rsid w:val="039E5A1C"/>
    <w:rsid w:val="03B4469B"/>
    <w:rsid w:val="042D7643"/>
    <w:rsid w:val="04894582"/>
    <w:rsid w:val="04CE75CA"/>
    <w:rsid w:val="04EB2329"/>
    <w:rsid w:val="057C50A8"/>
    <w:rsid w:val="05F11A75"/>
    <w:rsid w:val="063073EB"/>
    <w:rsid w:val="06620502"/>
    <w:rsid w:val="06D47DE0"/>
    <w:rsid w:val="06E16751"/>
    <w:rsid w:val="07153E89"/>
    <w:rsid w:val="086377CD"/>
    <w:rsid w:val="08AC5BE2"/>
    <w:rsid w:val="08B871C5"/>
    <w:rsid w:val="0A2608C7"/>
    <w:rsid w:val="0AB44EAA"/>
    <w:rsid w:val="0D183D8B"/>
    <w:rsid w:val="0D5E3C27"/>
    <w:rsid w:val="0DF61ECA"/>
    <w:rsid w:val="0E3756DF"/>
    <w:rsid w:val="0ECF2B6F"/>
    <w:rsid w:val="0EDB2EE8"/>
    <w:rsid w:val="0F5B7151"/>
    <w:rsid w:val="0FCE2E27"/>
    <w:rsid w:val="104E65AC"/>
    <w:rsid w:val="105848CD"/>
    <w:rsid w:val="10756656"/>
    <w:rsid w:val="107F484D"/>
    <w:rsid w:val="112D1A55"/>
    <w:rsid w:val="11AA1B96"/>
    <w:rsid w:val="11AA3420"/>
    <w:rsid w:val="12693A11"/>
    <w:rsid w:val="12765F23"/>
    <w:rsid w:val="12EA1CFE"/>
    <w:rsid w:val="13CE08B5"/>
    <w:rsid w:val="13E563DA"/>
    <w:rsid w:val="1418602B"/>
    <w:rsid w:val="149F5481"/>
    <w:rsid w:val="159E00C1"/>
    <w:rsid w:val="165C24FA"/>
    <w:rsid w:val="166B13D0"/>
    <w:rsid w:val="172C0EB4"/>
    <w:rsid w:val="174F3A55"/>
    <w:rsid w:val="17E2094C"/>
    <w:rsid w:val="17E32F74"/>
    <w:rsid w:val="183F5F81"/>
    <w:rsid w:val="1B112D76"/>
    <w:rsid w:val="1BB23882"/>
    <w:rsid w:val="1D0415D2"/>
    <w:rsid w:val="1DC6632D"/>
    <w:rsid w:val="1DF12B02"/>
    <w:rsid w:val="1E110C1C"/>
    <w:rsid w:val="1E3F6C3A"/>
    <w:rsid w:val="1EC700A2"/>
    <w:rsid w:val="1F065E52"/>
    <w:rsid w:val="1F28462F"/>
    <w:rsid w:val="1F4E49A8"/>
    <w:rsid w:val="1F576995"/>
    <w:rsid w:val="203E07CD"/>
    <w:rsid w:val="205E3D53"/>
    <w:rsid w:val="20F1189D"/>
    <w:rsid w:val="211A2370"/>
    <w:rsid w:val="214A45FA"/>
    <w:rsid w:val="229121BE"/>
    <w:rsid w:val="23144FD3"/>
    <w:rsid w:val="232B1485"/>
    <w:rsid w:val="23755C7E"/>
    <w:rsid w:val="23953177"/>
    <w:rsid w:val="23EF63E3"/>
    <w:rsid w:val="24CA3D4C"/>
    <w:rsid w:val="24F904EE"/>
    <w:rsid w:val="252653A4"/>
    <w:rsid w:val="253D662D"/>
    <w:rsid w:val="254F3083"/>
    <w:rsid w:val="2556149D"/>
    <w:rsid w:val="264B6832"/>
    <w:rsid w:val="26B60B5F"/>
    <w:rsid w:val="26BC6D69"/>
    <w:rsid w:val="270E26BE"/>
    <w:rsid w:val="27F82C55"/>
    <w:rsid w:val="282C4737"/>
    <w:rsid w:val="2A0B1068"/>
    <w:rsid w:val="2A415E0F"/>
    <w:rsid w:val="2A790FA6"/>
    <w:rsid w:val="2AA21DD4"/>
    <w:rsid w:val="2BA63BE3"/>
    <w:rsid w:val="2BC628A0"/>
    <w:rsid w:val="2C4A5F44"/>
    <w:rsid w:val="2C4D5350"/>
    <w:rsid w:val="2C6770F0"/>
    <w:rsid w:val="2C870DDE"/>
    <w:rsid w:val="2D3C366E"/>
    <w:rsid w:val="2D403EF7"/>
    <w:rsid w:val="2DFA5DEF"/>
    <w:rsid w:val="2E1A2547"/>
    <w:rsid w:val="2E727C4C"/>
    <w:rsid w:val="30B034C4"/>
    <w:rsid w:val="31E8472A"/>
    <w:rsid w:val="323A537B"/>
    <w:rsid w:val="327318E0"/>
    <w:rsid w:val="32F41FEF"/>
    <w:rsid w:val="33092D7E"/>
    <w:rsid w:val="33A40EE3"/>
    <w:rsid w:val="33B1372F"/>
    <w:rsid w:val="33C93A16"/>
    <w:rsid w:val="34026351"/>
    <w:rsid w:val="34083F6D"/>
    <w:rsid w:val="36714388"/>
    <w:rsid w:val="36BC2AAA"/>
    <w:rsid w:val="37976071"/>
    <w:rsid w:val="38681F18"/>
    <w:rsid w:val="389E342F"/>
    <w:rsid w:val="38FD070E"/>
    <w:rsid w:val="390F406C"/>
    <w:rsid w:val="39597CCC"/>
    <w:rsid w:val="395D6EAE"/>
    <w:rsid w:val="39616936"/>
    <w:rsid w:val="3A8C5D16"/>
    <w:rsid w:val="3AC14675"/>
    <w:rsid w:val="3AC345D4"/>
    <w:rsid w:val="3B20637D"/>
    <w:rsid w:val="3B3C72F0"/>
    <w:rsid w:val="3B561E4D"/>
    <w:rsid w:val="3B59226A"/>
    <w:rsid w:val="3BC5245C"/>
    <w:rsid w:val="3BEC625F"/>
    <w:rsid w:val="3C4D5A73"/>
    <w:rsid w:val="3D22516B"/>
    <w:rsid w:val="3DC271E1"/>
    <w:rsid w:val="3E9D7D3C"/>
    <w:rsid w:val="3EC44615"/>
    <w:rsid w:val="3F172290"/>
    <w:rsid w:val="3F2B7381"/>
    <w:rsid w:val="401A12CA"/>
    <w:rsid w:val="412A20FF"/>
    <w:rsid w:val="41AC1CBD"/>
    <w:rsid w:val="4214428D"/>
    <w:rsid w:val="42B25054"/>
    <w:rsid w:val="42B70508"/>
    <w:rsid w:val="42E000A5"/>
    <w:rsid w:val="44A616A1"/>
    <w:rsid w:val="44AA7908"/>
    <w:rsid w:val="44D4046B"/>
    <w:rsid w:val="44EF7333"/>
    <w:rsid w:val="45716ED2"/>
    <w:rsid w:val="463E625B"/>
    <w:rsid w:val="46400866"/>
    <w:rsid w:val="465D3B30"/>
    <w:rsid w:val="46E75FA1"/>
    <w:rsid w:val="46E979DA"/>
    <w:rsid w:val="477B7E7F"/>
    <w:rsid w:val="479712E6"/>
    <w:rsid w:val="48054FFE"/>
    <w:rsid w:val="485B7953"/>
    <w:rsid w:val="487F0F47"/>
    <w:rsid w:val="48C35BCE"/>
    <w:rsid w:val="492C4DD3"/>
    <w:rsid w:val="49831FB1"/>
    <w:rsid w:val="49BA0AA9"/>
    <w:rsid w:val="4A117B3A"/>
    <w:rsid w:val="4ACC071F"/>
    <w:rsid w:val="4AFA0054"/>
    <w:rsid w:val="4B5E3FED"/>
    <w:rsid w:val="4B706857"/>
    <w:rsid w:val="4B8B09DF"/>
    <w:rsid w:val="4B9A1834"/>
    <w:rsid w:val="4BE30F44"/>
    <w:rsid w:val="4C4344C1"/>
    <w:rsid w:val="4CC0688A"/>
    <w:rsid w:val="4D670B0A"/>
    <w:rsid w:val="4DB07D8F"/>
    <w:rsid w:val="4DF53699"/>
    <w:rsid w:val="4DF54A34"/>
    <w:rsid w:val="4E593C28"/>
    <w:rsid w:val="4F447C94"/>
    <w:rsid w:val="4F54009E"/>
    <w:rsid w:val="4FF053D1"/>
    <w:rsid w:val="4FFF7C55"/>
    <w:rsid w:val="50175D54"/>
    <w:rsid w:val="502E4041"/>
    <w:rsid w:val="50FF5C96"/>
    <w:rsid w:val="51760FBD"/>
    <w:rsid w:val="51AF2E80"/>
    <w:rsid w:val="523573DB"/>
    <w:rsid w:val="53051A78"/>
    <w:rsid w:val="535B3B51"/>
    <w:rsid w:val="53871C7E"/>
    <w:rsid w:val="53C96FE0"/>
    <w:rsid w:val="53DA13D0"/>
    <w:rsid w:val="542D7E04"/>
    <w:rsid w:val="54A66B22"/>
    <w:rsid w:val="552427A4"/>
    <w:rsid w:val="55256E9D"/>
    <w:rsid w:val="55630263"/>
    <w:rsid w:val="575116C4"/>
    <w:rsid w:val="57C66EBC"/>
    <w:rsid w:val="57ED06D1"/>
    <w:rsid w:val="57F23CAC"/>
    <w:rsid w:val="586913DC"/>
    <w:rsid w:val="586B571C"/>
    <w:rsid w:val="59040C3D"/>
    <w:rsid w:val="598C3218"/>
    <w:rsid w:val="59F63852"/>
    <w:rsid w:val="5ABC0938"/>
    <w:rsid w:val="5AEE70D3"/>
    <w:rsid w:val="5B0D0B43"/>
    <w:rsid w:val="5B8175B1"/>
    <w:rsid w:val="5D2673CB"/>
    <w:rsid w:val="5D2E11ED"/>
    <w:rsid w:val="5E236AF0"/>
    <w:rsid w:val="5E521D73"/>
    <w:rsid w:val="5EDB5F93"/>
    <w:rsid w:val="5F3560BF"/>
    <w:rsid w:val="5FE47F05"/>
    <w:rsid w:val="603154C1"/>
    <w:rsid w:val="60B12A71"/>
    <w:rsid w:val="60F86B4F"/>
    <w:rsid w:val="61672B5B"/>
    <w:rsid w:val="61E21F20"/>
    <w:rsid w:val="620E0977"/>
    <w:rsid w:val="629728D0"/>
    <w:rsid w:val="629C5BB3"/>
    <w:rsid w:val="62AB7133"/>
    <w:rsid w:val="6380148D"/>
    <w:rsid w:val="658165ED"/>
    <w:rsid w:val="65FA66F0"/>
    <w:rsid w:val="66602909"/>
    <w:rsid w:val="67043A26"/>
    <w:rsid w:val="670B7518"/>
    <w:rsid w:val="670D042D"/>
    <w:rsid w:val="672C1AEE"/>
    <w:rsid w:val="67C55456"/>
    <w:rsid w:val="68052295"/>
    <w:rsid w:val="68F656BB"/>
    <w:rsid w:val="68F87A9C"/>
    <w:rsid w:val="69160DD1"/>
    <w:rsid w:val="6AA44888"/>
    <w:rsid w:val="6AB052D0"/>
    <w:rsid w:val="6C303D8F"/>
    <w:rsid w:val="6C763DC3"/>
    <w:rsid w:val="6C9D3E2B"/>
    <w:rsid w:val="6DDC2207"/>
    <w:rsid w:val="6E445360"/>
    <w:rsid w:val="6EF8626E"/>
    <w:rsid w:val="6F4719AC"/>
    <w:rsid w:val="6F666E1F"/>
    <w:rsid w:val="6F8C7562"/>
    <w:rsid w:val="6FC84312"/>
    <w:rsid w:val="702F6B01"/>
    <w:rsid w:val="71C33C17"/>
    <w:rsid w:val="720E289F"/>
    <w:rsid w:val="724B1BB8"/>
    <w:rsid w:val="72681350"/>
    <w:rsid w:val="72814495"/>
    <w:rsid w:val="72A02F1B"/>
    <w:rsid w:val="72E17536"/>
    <w:rsid w:val="72E323BD"/>
    <w:rsid w:val="73396415"/>
    <w:rsid w:val="73822D2E"/>
    <w:rsid w:val="7530098F"/>
    <w:rsid w:val="75882A1F"/>
    <w:rsid w:val="758E37C9"/>
    <w:rsid w:val="775E1CB1"/>
    <w:rsid w:val="77672BA1"/>
    <w:rsid w:val="77B67A5E"/>
    <w:rsid w:val="77D43CEE"/>
    <w:rsid w:val="77E16EF0"/>
    <w:rsid w:val="78025D0B"/>
    <w:rsid w:val="78326A8D"/>
    <w:rsid w:val="7906525F"/>
    <w:rsid w:val="7923774A"/>
    <w:rsid w:val="792606CF"/>
    <w:rsid w:val="79292CBA"/>
    <w:rsid w:val="793D3F81"/>
    <w:rsid w:val="794532B6"/>
    <w:rsid w:val="7ACF112F"/>
    <w:rsid w:val="7C4E416D"/>
    <w:rsid w:val="7CB93391"/>
    <w:rsid w:val="7D3F4158"/>
    <w:rsid w:val="7DFC31C0"/>
    <w:rsid w:val="7E1E4052"/>
    <w:rsid w:val="7E337E47"/>
    <w:rsid w:val="7E5F6EB8"/>
    <w:rsid w:val="7E862A88"/>
    <w:rsid w:val="7EA83AE7"/>
    <w:rsid w:val="7F596073"/>
    <w:rsid w:val="7F8F5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0"/>
    <w:pPr>
      <w:keepNext/>
      <w:keepLines/>
      <w:numPr>
        <w:ilvl w:val="0"/>
        <w:numId w:val="1"/>
      </w:numPr>
      <w:spacing w:before="340" w:after="330" w:line="578" w:lineRule="auto"/>
      <w:outlineLvl w:val="0"/>
    </w:pPr>
    <w:rPr>
      <w:rFonts w:ascii="仿宋_GB2312" w:eastAsia="仿宋_GB2312"/>
      <w:b/>
      <w:kern w:val="44"/>
      <w:sz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qFormat/>
    <w:uiPriority w:val="0"/>
    <w:pPr>
      <w:jc w:val="left"/>
    </w:pPr>
  </w:style>
  <w:style w:type="paragraph" w:styleId="4">
    <w:name w:val="Body Text Indent"/>
    <w:basedOn w:val="1"/>
    <w:autoRedefine/>
    <w:qFormat/>
    <w:uiPriority w:val="0"/>
    <w:pPr>
      <w:ind w:left="164"/>
    </w:pPr>
  </w:style>
  <w:style w:type="paragraph" w:styleId="5">
    <w:name w:val="Balloon Text"/>
    <w:basedOn w:val="1"/>
    <w:autoRedefine/>
    <w:semiHidden/>
    <w:qFormat/>
    <w:uiPriority w:val="0"/>
    <w:rPr>
      <w:sz w:val="16"/>
      <w:szCs w:val="16"/>
    </w:rPr>
  </w:style>
  <w:style w:type="paragraph" w:styleId="6">
    <w:name w:val="footer"/>
    <w:basedOn w:val="1"/>
    <w:link w:val="17"/>
    <w:autoRedefine/>
    <w:qFormat/>
    <w:uiPriority w:val="99"/>
    <w:pPr>
      <w:tabs>
        <w:tab w:val="center" w:pos="4153"/>
        <w:tab w:val="right" w:pos="8306"/>
      </w:tabs>
      <w:snapToGrid w:val="0"/>
      <w:jc w:val="left"/>
    </w:pPr>
    <w:rPr>
      <w:sz w:val="18"/>
    </w:rPr>
  </w:style>
  <w:style w:type="paragraph" w:styleId="7">
    <w:name w:val="header"/>
    <w:basedOn w:val="1"/>
    <w:link w:val="16"/>
    <w:autoRedefine/>
    <w:qFormat/>
    <w:uiPriority w:val="99"/>
    <w:pPr>
      <w:pBdr>
        <w:bottom w:val="single" w:color="auto" w:sz="6" w:space="1"/>
      </w:pBdr>
      <w:tabs>
        <w:tab w:val="center" w:pos="4153"/>
        <w:tab w:val="right" w:pos="8306"/>
      </w:tabs>
      <w:snapToGrid w:val="0"/>
      <w:jc w:val="center"/>
    </w:pPr>
    <w:rPr>
      <w:sz w:val="18"/>
    </w:rPr>
  </w:style>
  <w:style w:type="paragraph" w:styleId="8">
    <w:name w:val="Body Text Indent 3"/>
    <w:basedOn w:val="1"/>
    <w:autoRedefine/>
    <w:qFormat/>
    <w:uiPriority w:val="0"/>
    <w:pPr>
      <w:spacing w:after="120"/>
      <w:ind w:left="420" w:leftChars="200"/>
    </w:pPr>
    <w:rPr>
      <w:sz w:val="16"/>
      <w:szCs w:val="16"/>
    </w:rPr>
  </w:style>
  <w:style w:type="paragraph" w:styleId="9">
    <w:name w:val="annotation subject"/>
    <w:basedOn w:val="3"/>
    <w:next w:val="3"/>
    <w:autoRedefine/>
    <w:semiHidden/>
    <w:qFormat/>
    <w:uiPriority w:val="0"/>
    <w:rPr>
      <w:b/>
      <w:bCs/>
    </w:rPr>
  </w:style>
  <w:style w:type="table" w:styleId="11">
    <w:name w:val="Table Grid"/>
    <w:basedOn w:val="10"/>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FollowedHyperlink"/>
    <w:basedOn w:val="12"/>
    <w:autoRedefine/>
    <w:unhideWhenUsed/>
    <w:qFormat/>
    <w:uiPriority w:val="99"/>
    <w:rPr>
      <w:color w:val="800080"/>
      <w:u w:val="single"/>
    </w:rPr>
  </w:style>
  <w:style w:type="character" w:styleId="14">
    <w:name w:val="Hyperlink"/>
    <w:basedOn w:val="12"/>
    <w:autoRedefine/>
    <w:unhideWhenUsed/>
    <w:qFormat/>
    <w:uiPriority w:val="99"/>
    <w:rPr>
      <w:color w:val="0000FF"/>
      <w:u w:val="single"/>
    </w:rPr>
  </w:style>
  <w:style w:type="character" w:styleId="15">
    <w:name w:val="annotation reference"/>
    <w:autoRedefine/>
    <w:semiHidden/>
    <w:qFormat/>
    <w:uiPriority w:val="0"/>
    <w:rPr>
      <w:sz w:val="21"/>
      <w:szCs w:val="21"/>
    </w:rPr>
  </w:style>
  <w:style w:type="character" w:customStyle="1" w:styleId="16">
    <w:name w:val="页眉 Char"/>
    <w:link w:val="7"/>
    <w:autoRedefine/>
    <w:qFormat/>
    <w:uiPriority w:val="99"/>
    <w:rPr>
      <w:kern w:val="2"/>
      <w:sz w:val="18"/>
    </w:rPr>
  </w:style>
  <w:style w:type="character" w:customStyle="1" w:styleId="17">
    <w:name w:val="页脚 Char"/>
    <w:link w:val="6"/>
    <w:autoRedefine/>
    <w:qFormat/>
    <w:uiPriority w:val="99"/>
    <w:rPr>
      <w:kern w:val="2"/>
      <w:sz w:val="18"/>
    </w:rPr>
  </w:style>
  <w:style w:type="character" w:customStyle="1" w:styleId="18">
    <w:name w:val="标题 1 Char"/>
    <w:link w:val="2"/>
    <w:autoRedefine/>
    <w:qFormat/>
    <w:uiPriority w:val="0"/>
    <w:rPr>
      <w:rFonts w:ascii="仿宋_GB2312" w:eastAsia="仿宋_GB2312"/>
      <w:b/>
      <w:kern w:val="44"/>
      <w:sz w:val="32"/>
    </w:rPr>
  </w:style>
  <w:style w:type="paragraph" w:styleId="19">
    <w:name w:val="List Paragraph"/>
    <w:basedOn w:val="1"/>
    <w:link w:val="20"/>
    <w:autoRedefine/>
    <w:qFormat/>
    <w:uiPriority w:val="34"/>
    <w:pPr>
      <w:ind w:firstLine="420" w:firstLineChars="200"/>
    </w:pPr>
    <w:rPr>
      <w:rFonts w:ascii="Calibri" w:hAnsi="Calibri"/>
      <w:szCs w:val="22"/>
    </w:rPr>
  </w:style>
  <w:style w:type="character" w:customStyle="1" w:styleId="20">
    <w:name w:val="列出段落 Char"/>
    <w:link w:val="19"/>
    <w:autoRedefine/>
    <w:qFormat/>
    <w:uiPriority w:val="34"/>
    <w:rPr>
      <w:rFonts w:ascii="Calibri" w:hAnsi="Calibri"/>
      <w:kern w:val="2"/>
      <w:sz w:val="21"/>
      <w:szCs w:val="22"/>
    </w:rPr>
  </w:style>
  <w:style w:type="paragraph" w:customStyle="1" w:styleId="21">
    <w:name w:val="合同二级标题"/>
    <w:basedOn w:val="19"/>
    <w:link w:val="22"/>
    <w:autoRedefine/>
    <w:qFormat/>
    <w:uiPriority w:val="0"/>
    <w:pPr>
      <w:spacing w:line="360" w:lineRule="auto"/>
      <w:ind w:firstLine="0" w:firstLineChars="0"/>
    </w:pPr>
    <w:rPr>
      <w:rFonts w:ascii="微软雅黑" w:hAnsi="微软雅黑" w:eastAsia="微软雅黑"/>
      <w:b/>
      <w:iCs/>
    </w:rPr>
  </w:style>
  <w:style w:type="character" w:customStyle="1" w:styleId="22">
    <w:name w:val="合同二级标题 Char"/>
    <w:link w:val="21"/>
    <w:autoRedefine/>
    <w:qFormat/>
    <w:uiPriority w:val="0"/>
    <w:rPr>
      <w:rFonts w:ascii="微软雅黑" w:hAnsi="微软雅黑" w:eastAsia="微软雅黑"/>
      <w:b/>
      <w:iCs/>
      <w:kern w:val="2"/>
      <w:sz w:val="21"/>
      <w:szCs w:val="22"/>
    </w:rPr>
  </w:style>
  <w:style w:type="paragraph" w:customStyle="1" w:styleId="2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6"/>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5">
    <w:name w:val="xl6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26">
    <w:name w:val="xl66"/>
    <w:basedOn w:val="1"/>
    <w:autoRedefine/>
    <w:qFormat/>
    <w:uiPriority w:val="0"/>
    <w:pPr>
      <w:widowControl/>
      <w:pBdr>
        <w:bottom w:val="single" w:color="auto" w:sz="4" w:space="0"/>
      </w:pBdr>
      <w:shd w:val="clear" w:color="000000" w:fill="FFFFFF"/>
      <w:spacing w:before="100" w:beforeAutospacing="1" w:after="100" w:afterAutospacing="1"/>
      <w:jc w:val="center"/>
    </w:pPr>
    <w:rPr>
      <w:rFonts w:ascii="黑体" w:hAnsi="黑体" w:eastAsia="黑体" w:cs="宋体"/>
      <w:kern w:val="0"/>
      <w:sz w:val="32"/>
      <w:szCs w:val="32"/>
    </w:rPr>
  </w:style>
  <w:style w:type="paragraph" w:customStyle="1" w:styleId="27">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8">
    <w:name w:val="xl68"/>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9">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3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31">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32">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33">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34">
    <w:name w:val="xl74"/>
    <w:basedOn w:val="1"/>
    <w:autoRedefine/>
    <w:qFormat/>
    <w:uiPriority w:val="0"/>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35">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36">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37">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38">
    <w:name w:val="xl78"/>
    <w:basedOn w:val="1"/>
    <w:autoRedefine/>
    <w:qFormat/>
    <w:uiPriority w:val="0"/>
    <w:pPr>
      <w:widowControl/>
      <w:pBdr>
        <w:bottom w:val="single" w:color="auto" w:sz="4" w:space="0"/>
      </w:pBdr>
      <w:shd w:val="clear" w:color="000000" w:fill="FFFFFF"/>
      <w:spacing w:before="100" w:beforeAutospacing="1" w:after="100" w:afterAutospacing="1"/>
      <w:jc w:val="center"/>
    </w:pPr>
    <w:rPr>
      <w:rFonts w:ascii="黑体" w:hAnsi="黑体" w:eastAsia="黑体" w:cs="宋体"/>
      <w:kern w:val="0"/>
      <w:sz w:val="32"/>
      <w:szCs w:val="32"/>
    </w:rPr>
  </w:style>
  <w:style w:type="paragraph" w:customStyle="1" w:styleId="39">
    <w:name w:val="列出段落1"/>
    <w:basedOn w:val="1"/>
    <w:autoRedefine/>
    <w:qFormat/>
    <w:uiPriority w:val="1"/>
    <w:pPr>
      <w:ind w:left="279" w:right="242" w:firstLine="560"/>
    </w:pPr>
  </w:style>
  <w:style w:type="paragraph" w:customStyle="1" w:styleId="40">
    <w:name w:val="列出段落3"/>
    <w:basedOn w:val="1"/>
    <w:autoRedefine/>
    <w:qFormat/>
    <w:uiPriority w:val="1"/>
    <w:pPr>
      <w:ind w:left="279" w:right="242" w:firstLine="560"/>
    </w:pPr>
  </w:style>
  <w:style w:type="paragraph" w:customStyle="1" w:styleId="4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15</Pages>
  <Words>8657</Words>
  <Characters>9083</Characters>
  <Lines>68</Lines>
  <Paragraphs>19</Paragraphs>
  <TotalTime>9</TotalTime>
  <ScaleCrop>false</ScaleCrop>
  <LinksUpToDate>false</LinksUpToDate>
  <CharactersWithSpaces>9363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2023-10-07T01:55:00Z</dcterms:created>
  <dc:creator>carolyh.chen</dc:creator>
  <cp:lastModifiedBy>내 생각</cp:lastModifiedBy>
  <cp:lastPrinted>2023-11-28T00:36:00Z</cp:lastPrinted>
  <dcterms:modified xsi:type="dcterms:W3CDTF">2025-09-19T13:47:47Z</dcterms:modified>
  <dc:title>徐工集团工程机械股份有限公司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58D083B43ADB4C86B16B70C9FD5992EC_13</vt:lpwstr>
  </property>
  <property fmtid="{D5CDD505-2E9C-101B-9397-08002B2CF9AE}" pid="4" name="KSOTemplateDocerSaveRecord">
    <vt:lpwstr>eyJoZGlkIjoiZjcwZTM5OTNlYTAyMzc1MjNkMTA2Y2Y1MjdiNDZmZjUiLCJ1c2VySWQiOiI5MjcwMDMzNTcifQ==</vt:lpwstr>
  </property>
</Properties>
</file>