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623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3B7288F">
      <w:pPr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</w:t>
      </w:r>
      <w:r>
        <w:rPr>
          <w:rFonts w:hint="eastAsia" w:ascii="仿宋" w:hAnsi="仿宋" w:eastAsia="仿宋"/>
          <w:sz w:val="24"/>
          <w:lang w:val="en-US" w:eastAsia="zh-CN"/>
        </w:rPr>
        <w:t>50540</w:t>
      </w:r>
    </w:p>
    <w:p w14:paraId="0DC5F682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94BCB7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7B2826F1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7E3F9A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乙方：青岛汉华工业设计有限公司</w:t>
      </w:r>
    </w:p>
    <w:p w14:paraId="4FD60616">
      <w:pPr>
        <w:spacing w:line="360" w:lineRule="auto"/>
        <w:rPr>
          <w:rFonts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91370214334127490X</w:t>
      </w:r>
    </w:p>
    <w:p w14:paraId="7167A25E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BBD703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7"/>
        <w:tblW w:w="993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15"/>
        <w:gridCol w:w="796"/>
        <w:gridCol w:w="519"/>
        <w:gridCol w:w="590"/>
        <w:gridCol w:w="1176"/>
        <w:gridCol w:w="1056"/>
        <w:gridCol w:w="1011"/>
        <w:gridCol w:w="980"/>
        <w:gridCol w:w="936"/>
      </w:tblGrid>
      <w:tr w14:paraId="614B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DB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高配安全带出口罩壳</w:t>
            </w:r>
          </w:p>
        </w:tc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喷漆服务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1886.792</w:t>
            </w:r>
          </w:p>
        </w:tc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1886.79</w:t>
            </w:r>
          </w:p>
        </w:tc>
        <w:tc>
          <w:tcPr>
            <w:tcW w:w="10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113.21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ZY2537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按照色板，塑料件喷灰色、钣金件喷翎羽棕色</w:t>
            </w:r>
          </w:p>
        </w:tc>
      </w:tr>
      <w:tr w14:paraId="56AD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安全带高调解锁按钮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3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1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AA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C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9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E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3C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E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C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安全带高调解锁按钮底座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C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32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C5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8F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D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D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3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8A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7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安全带高调解锁按钮限位块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C3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B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49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6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7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C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F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AF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1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安全带固定点、锁舌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0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7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6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B9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6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04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B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4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F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副驾底座</w:t>
            </w:r>
          </w:p>
        </w:tc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2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17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CF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7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57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5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5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5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A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2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2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F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1886.79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020E06C7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16795D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2A1B2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5E00D9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FA3A5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产品符合行业标准或者国家标准，并符合甲方要求同时满足合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24"/>
        </w:rPr>
        <w:t xml:space="preserve">同目的。 </w:t>
      </w:r>
    </w:p>
    <w:p w14:paraId="2FDEC80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482119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0DEEA3A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0F865730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1EDD317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1DA5732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41810B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FFB9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7271B33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402C04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BFE5C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A0C7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6F385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A0AE3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68991C2D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05FC3052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>甲方:  北京光华荣昌汽车部件有限公司       乙方: 青岛汉华工业设计有限公司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9C911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29DB91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E51604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09CBC4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C9A7E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EFD0C20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AB04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4D30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2BFADC7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  <w:rsid w:val="14751297"/>
    <w:rsid w:val="17E94CA2"/>
    <w:rsid w:val="2BC03B14"/>
    <w:rsid w:val="2D3827CA"/>
    <w:rsid w:val="30420F9B"/>
    <w:rsid w:val="3AEA4709"/>
    <w:rsid w:val="4A857FAB"/>
    <w:rsid w:val="4C003EE7"/>
    <w:rsid w:val="57A06424"/>
    <w:rsid w:val="5B294560"/>
    <w:rsid w:val="63CB06B0"/>
    <w:rsid w:val="6D3671B7"/>
    <w:rsid w:val="75265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0"/>
    <w:rPr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1226</Words>
  <Characters>1329</Characters>
  <Lines>12</Lines>
  <Paragraphs>3</Paragraphs>
  <TotalTime>895</TotalTime>
  <ScaleCrop>false</ScaleCrop>
  <LinksUpToDate>false</LinksUpToDate>
  <CharactersWithSpaces>1566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2025-09-25T03:38:48Z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DE0FFDD9518B417D9EDBEC03947713A0_12</vt:lpwstr>
  </property>
</Properties>
</file>