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3F607A">
      <w:pPr>
        <w:rPr>
          <w:szCs w:val="20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-489585</wp:posOffset>
            </wp:positionV>
            <wp:extent cx="2404745" cy="475615"/>
            <wp:effectExtent l="0" t="0" r="0" b="63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11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9"/>
        <w:gridCol w:w="3446"/>
        <w:gridCol w:w="1189"/>
        <w:gridCol w:w="1418"/>
        <w:gridCol w:w="3402"/>
      </w:tblGrid>
      <w:tr w14:paraId="5C60A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64" w:type="dxa"/>
            <w:gridSpan w:val="3"/>
            <w:vMerge w:val="restart"/>
            <w:tcBorders>
              <w:top w:val="single" w:color="auto" w:sz="12" w:space="0"/>
              <w:left w:val="single" w:color="auto" w:sz="12" w:space="0"/>
            </w:tcBorders>
          </w:tcPr>
          <w:p w14:paraId="656503F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福田A6旋转座椅数据冻结请示报告</w:t>
            </w:r>
          </w:p>
          <w:p w14:paraId="6F55AD76">
            <w:pPr>
              <w:rPr>
                <w:b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■</w:t>
            </w:r>
            <w:r>
              <w:rPr>
                <w:rFonts w:hint="eastAsia"/>
                <w:szCs w:val="21"/>
              </w:rPr>
              <w:t xml:space="preserve">请示 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通知 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通报 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纪要 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计划</w:t>
            </w:r>
          </w:p>
        </w:tc>
        <w:tc>
          <w:tcPr>
            <w:tcW w:w="1418" w:type="dxa"/>
            <w:tcBorders>
              <w:top w:val="single" w:color="auto" w:sz="12" w:space="0"/>
            </w:tcBorders>
            <w:vAlign w:val="center"/>
          </w:tcPr>
          <w:p w14:paraId="44EC717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发放日期</w:t>
            </w:r>
          </w:p>
        </w:tc>
        <w:tc>
          <w:tcPr>
            <w:tcW w:w="3402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3DC8D35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  <w:r>
              <w:rPr>
                <w:sz w:val="24"/>
              </w:rPr>
              <w:t>25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>
              <w:rPr>
                <w:sz w:val="24"/>
              </w:rPr>
              <w:t>15</w:t>
            </w:r>
            <w:r>
              <w:rPr>
                <w:rFonts w:hint="eastAsia"/>
                <w:sz w:val="24"/>
              </w:rPr>
              <w:t xml:space="preserve"> 日</w:t>
            </w:r>
          </w:p>
        </w:tc>
      </w:tr>
      <w:tr w14:paraId="34C09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364" w:type="dxa"/>
            <w:gridSpan w:val="3"/>
            <w:vMerge w:val="continue"/>
            <w:tcBorders>
              <w:left w:val="single" w:color="auto" w:sz="12" w:space="0"/>
            </w:tcBorders>
          </w:tcPr>
          <w:p w14:paraId="022FC09C">
            <w:pPr>
              <w:rPr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CFCE22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文件编号</w:t>
            </w:r>
          </w:p>
        </w:tc>
        <w:tc>
          <w:tcPr>
            <w:tcW w:w="3402" w:type="dxa"/>
            <w:tcBorders>
              <w:right w:val="single" w:color="auto" w:sz="12" w:space="0"/>
            </w:tcBorders>
          </w:tcPr>
          <w:p w14:paraId="0C7D0F4C">
            <w:pPr>
              <w:jc w:val="center"/>
              <w:rPr>
                <w:sz w:val="24"/>
              </w:rPr>
            </w:pPr>
          </w:p>
        </w:tc>
      </w:tr>
      <w:tr w14:paraId="703AD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729" w:type="dxa"/>
            <w:tcBorders>
              <w:left w:val="single" w:color="auto" w:sz="12" w:space="0"/>
            </w:tcBorders>
            <w:vAlign w:val="center"/>
          </w:tcPr>
          <w:p w14:paraId="5C5E1E8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拟文</w:t>
            </w:r>
          </w:p>
        </w:tc>
        <w:tc>
          <w:tcPr>
            <w:tcW w:w="3446" w:type="dxa"/>
            <w:vAlign w:val="center"/>
          </w:tcPr>
          <w:p w14:paraId="21C71A29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vAlign w:val="center"/>
          </w:tcPr>
          <w:p w14:paraId="6E4351E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审核</w:t>
            </w:r>
          </w:p>
        </w:tc>
        <w:tc>
          <w:tcPr>
            <w:tcW w:w="4820" w:type="dxa"/>
            <w:gridSpan w:val="2"/>
            <w:tcBorders>
              <w:right w:val="single" w:color="auto" w:sz="12" w:space="0"/>
            </w:tcBorders>
            <w:vAlign w:val="center"/>
          </w:tcPr>
          <w:p w14:paraId="27AB4320">
            <w:pPr>
              <w:jc w:val="center"/>
              <w:rPr>
                <w:sz w:val="24"/>
              </w:rPr>
            </w:pPr>
          </w:p>
        </w:tc>
      </w:tr>
      <w:tr w14:paraId="1B820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729" w:type="dxa"/>
            <w:tcBorders>
              <w:left w:val="single" w:color="auto" w:sz="12" w:space="0"/>
            </w:tcBorders>
            <w:vAlign w:val="center"/>
          </w:tcPr>
          <w:p w14:paraId="1D036BCF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会签人签字</w:t>
            </w:r>
          </w:p>
        </w:tc>
        <w:tc>
          <w:tcPr>
            <w:tcW w:w="9455" w:type="dxa"/>
            <w:gridSpan w:val="4"/>
            <w:tcBorders>
              <w:right w:val="single" w:color="auto" w:sz="12" w:space="0"/>
            </w:tcBorders>
            <w:vAlign w:val="center"/>
          </w:tcPr>
          <w:p w14:paraId="274BA191">
            <w:pPr>
              <w:jc w:val="left"/>
              <w:rPr>
                <w:sz w:val="24"/>
              </w:rPr>
            </w:pPr>
          </w:p>
        </w:tc>
      </w:tr>
      <w:tr w14:paraId="0D085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729" w:type="dxa"/>
            <w:tcBorders>
              <w:left w:val="single" w:color="auto" w:sz="12" w:space="0"/>
            </w:tcBorders>
            <w:vAlign w:val="center"/>
          </w:tcPr>
          <w:p w14:paraId="668AF645">
            <w:pPr>
              <w:ind w:firstLine="360" w:firstLineChars="150"/>
              <w:rPr>
                <w:sz w:val="24"/>
              </w:rPr>
            </w:pPr>
            <w:r>
              <w:rPr>
                <w:rFonts w:hint="eastAsia"/>
                <w:sz w:val="24"/>
              </w:rPr>
              <w:t>审定</w:t>
            </w:r>
          </w:p>
        </w:tc>
        <w:tc>
          <w:tcPr>
            <w:tcW w:w="3446" w:type="dxa"/>
          </w:tcPr>
          <w:p w14:paraId="7C16B4BE">
            <w:pPr>
              <w:jc w:val="center"/>
              <w:rPr>
                <w:sz w:val="24"/>
              </w:rPr>
            </w:pPr>
          </w:p>
        </w:tc>
        <w:tc>
          <w:tcPr>
            <w:tcW w:w="1189" w:type="dxa"/>
            <w:vAlign w:val="center"/>
          </w:tcPr>
          <w:p w14:paraId="0E20CA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批准</w:t>
            </w:r>
          </w:p>
        </w:tc>
        <w:tc>
          <w:tcPr>
            <w:tcW w:w="4820" w:type="dxa"/>
            <w:gridSpan w:val="2"/>
            <w:tcBorders>
              <w:right w:val="single" w:color="auto" w:sz="12" w:space="0"/>
            </w:tcBorders>
          </w:tcPr>
          <w:p w14:paraId="1B0AEBE4">
            <w:pPr>
              <w:jc w:val="center"/>
              <w:rPr>
                <w:sz w:val="24"/>
              </w:rPr>
            </w:pPr>
          </w:p>
        </w:tc>
      </w:tr>
      <w:tr w14:paraId="0F3B6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1729" w:type="dxa"/>
            <w:tcBorders>
              <w:left w:val="single" w:color="auto" w:sz="12" w:space="0"/>
            </w:tcBorders>
            <w:vAlign w:val="center"/>
          </w:tcPr>
          <w:p w14:paraId="14CD9557">
            <w:pPr>
              <w:ind w:firstLine="360" w:firstLineChars="150"/>
              <w:rPr>
                <w:sz w:val="24"/>
              </w:rPr>
            </w:pPr>
            <w:r>
              <w:rPr>
                <w:rFonts w:hint="eastAsia"/>
                <w:sz w:val="24"/>
              </w:rPr>
              <w:t>主送</w:t>
            </w:r>
          </w:p>
        </w:tc>
        <w:tc>
          <w:tcPr>
            <w:tcW w:w="9455" w:type="dxa"/>
            <w:gridSpan w:val="4"/>
            <w:tcBorders>
              <w:right w:val="single" w:color="auto" w:sz="12" w:space="0"/>
            </w:tcBorders>
            <w:vAlign w:val="center"/>
          </w:tcPr>
          <w:p w14:paraId="2DE6EDBE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李斗斗、冯敬乾、滕克强、张领、张建伟、朱鹏昌、刘文正</w:t>
            </w:r>
          </w:p>
        </w:tc>
      </w:tr>
      <w:tr w14:paraId="2B99E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1729" w:type="dxa"/>
            <w:tcBorders>
              <w:left w:val="single" w:color="auto" w:sz="12" w:space="0"/>
            </w:tcBorders>
            <w:vAlign w:val="center"/>
          </w:tcPr>
          <w:p w14:paraId="7435DF82">
            <w:pPr>
              <w:ind w:firstLine="360" w:firstLineChars="150"/>
              <w:rPr>
                <w:sz w:val="24"/>
              </w:rPr>
            </w:pPr>
            <w:r>
              <w:rPr>
                <w:rFonts w:hint="eastAsia"/>
                <w:sz w:val="24"/>
              </w:rPr>
              <w:t>抄送</w:t>
            </w:r>
          </w:p>
        </w:tc>
        <w:tc>
          <w:tcPr>
            <w:tcW w:w="9455" w:type="dxa"/>
            <w:gridSpan w:val="4"/>
            <w:tcBorders>
              <w:right w:val="single" w:color="auto" w:sz="12" w:space="0"/>
            </w:tcBorders>
            <w:vAlign w:val="center"/>
          </w:tcPr>
          <w:p w14:paraId="51CC7463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苏东、王庆岭、冯总</w:t>
            </w:r>
          </w:p>
        </w:tc>
      </w:tr>
      <w:tr w14:paraId="57029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8" w:hRule="atLeast"/>
          <w:jc w:val="center"/>
        </w:trPr>
        <w:tc>
          <w:tcPr>
            <w:tcW w:w="11184" w:type="dxa"/>
            <w:gridSpan w:val="5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0F015D43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内容及决议：</w:t>
            </w:r>
          </w:p>
          <w:p w14:paraId="42639ABF">
            <w:pPr>
              <w:pStyle w:val="12"/>
              <w:numPr>
                <w:ilvl w:val="0"/>
                <w:numId w:val="1"/>
              </w:numPr>
              <w:ind w:firstLineChars="0"/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A6座椅以下零件数据，经评审满足冻结条件，现申请数据冻结。</w:t>
            </w:r>
          </w:p>
          <w:p w14:paraId="5C689DBD">
            <w:pPr>
              <w:ind w:firstLine="280" w:firstLineChars="100"/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冻结数据清单如下：</w:t>
            </w:r>
          </w:p>
          <w:tbl>
            <w:tblPr>
              <w:tblStyle w:val="6"/>
              <w:tblW w:w="11038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860"/>
              <w:gridCol w:w="1701"/>
              <w:gridCol w:w="2835"/>
              <w:gridCol w:w="1275"/>
              <w:gridCol w:w="4367"/>
            </w:tblGrid>
            <w:tr w14:paraId="7D4FAB2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3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E437C2D">
                  <w:pP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序号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DFFB01B">
                  <w:pP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零部件编号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13A28C">
                  <w:pPr>
                    <w:ind w:firstLine="480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零部件名称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 w14:paraId="7DCDE171">
                  <w:pPr>
                    <w:ind w:firstLine="480"/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图片</w:t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vAlign w:val="center"/>
                </w:tcPr>
                <w:p w14:paraId="243EA3C5">
                  <w:pPr>
                    <w:ind w:firstLine="480"/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b/>
                      <w:bCs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t>备注</w:t>
                  </w:r>
                </w:p>
              </w:tc>
            </w:tr>
            <w:tr w14:paraId="2C4DB341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466C0C6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4FE6DA2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SHT0018338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FC0A383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转盘总成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095E805E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-1905</wp:posOffset>
                        </wp:positionV>
                        <wp:extent cx="796925" cy="586740"/>
                        <wp:effectExtent l="0" t="0" r="3175" b="3810"/>
                        <wp:wrapNone/>
                        <wp:docPr id="20" name="图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586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128A97B1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5"/>
                      <w:szCs w:val="15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5"/>
                      <w:szCs w:val="15"/>
                    </w:rPr>
                    <w:t>新增副驾手动转盘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5"/>
                      <w:szCs w:val="15"/>
                    </w:rPr>
                    <w:t>，在SHT0015620左旋气动转盘总成基础上优化，安装点不变，</w:t>
                  </w:r>
                  <w:r>
                    <w:rPr>
                      <w:rFonts w:hint="eastAsia" w:asciiTheme="minorEastAsia" w:hAnsiTheme="minorEastAsia" w:eastAsiaTheme="minorEastAsia" w:cstheme="minorBidi"/>
                      <w:b/>
                      <w:bCs/>
                      <w:color w:val="FF0000"/>
                      <w:kern w:val="24"/>
                      <w:sz w:val="15"/>
                      <w:szCs w:val="15"/>
                    </w:rPr>
                    <w:t>最大向左旋转90°同时取消SHT0015146转盘解锁气缸总成</w:t>
                  </w:r>
                </w:p>
              </w:tc>
            </w:tr>
            <w:tr w14:paraId="2C367DA3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BE29636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EA96809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SHT0015135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40919FB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气动转盘解锁钣金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10454FD2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151765</wp:posOffset>
                        </wp:positionH>
                        <wp:positionV relativeFrom="paragraph">
                          <wp:posOffset>8890</wp:posOffset>
                        </wp:positionV>
                        <wp:extent cx="410845" cy="403860"/>
                        <wp:effectExtent l="0" t="0" r="8890" b="0"/>
                        <wp:wrapNone/>
                        <wp:docPr id="15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32" cy="40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5359F03F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5"/>
                      <w:szCs w:val="15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5"/>
                      <w:szCs w:val="15"/>
                    </w:rPr>
                    <w:t>修模变更-设变ECR0011944</w:t>
                  </w:r>
                </w:p>
                <w:p w14:paraId="54F23F0A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5"/>
                      <w:szCs w:val="15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5"/>
                      <w:szCs w:val="15"/>
                    </w:rPr>
                    <w:t>在SHT0015135气动转盘解锁钣金基础上新增豁口，详见数据。</w:t>
                  </w:r>
                </w:p>
              </w:tc>
            </w:tr>
            <w:tr w14:paraId="465182C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7EACAF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1.2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3B38094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14:textFill>
                        <w14:solidFill>
                          <w14:schemeClr w14:val="tx1"/>
                        </w14:solidFill>
                      </w14:textFill>
                    </w:rPr>
                    <w:t>SHT0018426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85880CA">
                  <w:pPr>
                    <w:jc w:val="left"/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14:textFill>
                        <w14:solidFill>
                          <w14:schemeClr w14:val="tx1"/>
                        </w14:solidFill>
                      </w14:textFill>
                    </w:rPr>
                    <w:t>齿板</w:t>
                  </w: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（</w:t>
                  </w: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待定</w:t>
                  </w: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:highlight w:val="yellow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）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6EC28F6E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194945</wp:posOffset>
                        </wp:positionH>
                        <wp:positionV relativeFrom="paragraph">
                          <wp:posOffset>50800</wp:posOffset>
                        </wp:positionV>
                        <wp:extent cx="357505" cy="315595"/>
                        <wp:effectExtent l="1587" t="0" r="6668" b="6667"/>
                        <wp:wrapNone/>
                        <wp:docPr id="14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57260" cy="315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2ACB6F12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5"/>
                      <w:szCs w:val="15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5"/>
                      <w:szCs w:val="15"/>
                    </w:rPr>
                    <w:t>修模新增状态</w:t>
                  </w:r>
                </w:p>
                <w:p w14:paraId="1F91B97B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5"/>
                      <w:szCs w:val="15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5"/>
                      <w:szCs w:val="15"/>
                    </w:rPr>
                    <w:t>SHT0015122气动齿板基础上增加左旋70°位置，详见数据。</w:t>
                  </w:r>
                </w:p>
              </w:tc>
            </w:tr>
            <w:tr w14:paraId="5C971905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82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E5F3E0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7C9D8E0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SHT0018341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591F6FE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旋转座椅滑轨支架焊接总成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7BBD6482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233680</wp:posOffset>
                        </wp:positionV>
                        <wp:extent cx="796925" cy="422910"/>
                        <wp:effectExtent l="0" t="0" r="3175" b="0"/>
                        <wp:wrapNone/>
                        <wp:docPr id="4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2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7411532A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</w:rPr>
                    <w:t>新增件</w:t>
                  </w:r>
                </w:p>
                <w:p w14:paraId="2BC5C158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</w:t>
                  </w:r>
                  <w:r>
                    <w:rPr>
                      <w:rFonts w:cs="Calibri" w:asciiTheme="minorEastAsia" w:hAnsiTheme="minorEastAsia" w:eastAsiaTheme="minorEastAsia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SHT0015270</w:t>
                  </w:r>
                  <w:r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转盘上连接框总成基础上左右框连接板重新开孔，成型不变，前连接框落料调整，焊接位置不变，详见数据</w:t>
                  </w:r>
                </w:p>
              </w:tc>
            </w:tr>
            <w:tr w14:paraId="02EE2C3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5FAEE5A">
                  <w:pPr>
                    <w:jc w:val="center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2.1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96C592">
                  <w:pPr>
                    <w:pStyle w:val="5"/>
                    <w:spacing w:before="0" w:beforeAutospacing="0" w:after="0" w:afterAutospacing="0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SHT0018925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1262178">
                  <w:pPr>
                    <w:pStyle w:val="5"/>
                    <w:spacing w:before="0" w:beforeAutospacing="0" w:after="0" w:afterAutospacing="0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滑轨支架左框连接板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1EDED19C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-34290</wp:posOffset>
                        </wp:positionH>
                        <wp:positionV relativeFrom="paragraph">
                          <wp:posOffset>56515</wp:posOffset>
                        </wp:positionV>
                        <wp:extent cx="796925" cy="241300"/>
                        <wp:effectExtent l="0" t="0" r="3175" b="6350"/>
                        <wp:wrapNone/>
                        <wp:docPr id="9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vMerge w:val="restart"/>
                  <w:tcBorders>
                    <w:top w:val="single" w:color="000000" w:sz="8" w:space="0"/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23FC2F08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</w:rPr>
                    <w:t>修模新增状态</w:t>
                  </w:r>
                </w:p>
                <w:p w14:paraId="651C1F6B">
                  <w:pPr>
                    <w:jc w:val="left"/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</w:t>
                  </w:r>
                  <w:r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SHT0015274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右框连接板</w:t>
                  </w:r>
                  <w:r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SHT0015272/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框连接板基础上成型不变，重新开孔</w:t>
                  </w:r>
                </w:p>
                <w:p w14:paraId="5E6DC92B">
                  <w:pPr>
                    <w:jc w:val="left"/>
                    <w:rPr>
                      <w:rFonts w:hint="default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新开冲孔</w:t>
                  </w:r>
                </w:p>
              </w:tc>
            </w:tr>
            <w:tr w14:paraId="720B9CA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3AF3792">
                  <w:pPr>
                    <w:jc w:val="center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2</w:t>
                  </w:r>
                  <w:r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.2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3F3CB75">
                  <w:pPr>
                    <w:pStyle w:val="5"/>
                    <w:spacing w:before="0" w:beforeAutospacing="0" w:after="0" w:afterAutospacing="0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SHT0018925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AD1252A">
                  <w:pPr>
                    <w:pStyle w:val="5"/>
                    <w:spacing w:before="0" w:beforeAutospacing="0" w:after="0" w:afterAutospacing="0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滑轨支架左框连接板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548B980B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-13970</wp:posOffset>
                        </wp:positionH>
                        <wp:positionV relativeFrom="paragraph">
                          <wp:posOffset>28575</wp:posOffset>
                        </wp:positionV>
                        <wp:extent cx="796925" cy="241300"/>
                        <wp:effectExtent l="0" t="0" r="3175" b="6350"/>
                        <wp:wrapNone/>
                        <wp:docPr id="5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4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vMerge w:val="continue"/>
                  <w:tcBorders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0A54CB65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 w14:paraId="18F8F8DE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35F2F9D">
                  <w:pPr>
                    <w:jc w:val="center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2.</w:t>
                  </w:r>
                  <w:r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5B27E4B">
                  <w:pPr>
                    <w:jc w:val="left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SHT0018399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BA3B812">
                  <w:pPr>
                    <w:jc w:val="left"/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前连接框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42D9668D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70485</wp:posOffset>
                        </wp:positionV>
                        <wp:extent cx="796925" cy="294640"/>
                        <wp:effectExtent l="0" t="0" r="3175" b="0"/>
                        <wp:wrapNone/>
                        <wp:docPr id="10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29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6005C90C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</w:rPr>
                    <w:t>修模新增状态</w:t>
                  </w:r>
                </w:p>
                <w:p w14:paraId="29400B29">
                  <w:pPr>
                    <w:jc w:val="left"/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</w:t>
                  </w:r>
                  <w:r>
                    <w:rPr>
                      <w:rFonts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SHT0015275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前连接框基础上调整落料模具</w:t>
                  </w:r>
                </w:p>
                <w:p w14:paraId="5E809F35">
                  <w:pPr>
                    <w:jc w:val="left"/>
                    <w:rPr>
                      <w:rFonts w:hint="default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修落料模具，可实现共用</w:t>
                  </w:r>
                </w:p>
              </w:tc>
            </w:tr>
            <w:tr w14:paraId="3D104E3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CB9854E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3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43BED9C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SHT0018400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A173F35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旋转副驾底支架焊接总成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38E09D4F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-49530</wp:posOffset>
                        </wp:positionV>
                        <wp:extent cx="796925" cy="434975"/>
                        <wp:effectExtent l="0" t="0" r="3175" b="3175"/>
                        <wp:wrapNone/>
                        <wp:docPr id="16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3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3436620</wp:posOffset>
                        </wp:positionV>
                        <wp:extent cx="842645" cy="418465"/>
                        <wp:effectExtent l="19050" t="57150" r="34290" b="20320"/>
                        <wp:wrapNone/>
                        <wp:docPr id="30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842444" cy="418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7710C8A7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1BFFBD5D">
                  <w:pPr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在SHT0017824-20250319基础上重新开孔</w:t>
                  </w:r>
                </w:p>
              </w:tc>
            </w:tr>
            <w:tr w14:paraId="634B6ECD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59534A6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3.1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11A5A3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SHT0018401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80C362F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21"/>
                      <w:szCs w:val="21"/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旋转副驾底支架后侧钣金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278765FE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64770</wp:posOffset>
                        </wp:positionV>
                        <wp:extent cx="588010" cy="403225"/>
                        <wp:effectExtent l="0" t="0" r="3175" b="0"/>
                        <wp:wrapNone/>
                        <wp:docPr id="24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7828" cy="4032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34D15185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10608E9A">
                  <w:pP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在SHT0016146-宽车主驾驶后侧钣金基础上优化，避让转盘</w:t>
                  </w:r>
                </w:p>
                <w:p w14:paraId="70D12F54">
                  <w:pPr>
                    <w:rPr>
                      <w:rFonts w:hint="default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:highlight w:val="yellow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新走开模指令</w:t>
                  </w:r>
                  <w:bookmarkStart w:id="0" w:name="_GoBack"/>
                  <w:bookmarkEnd w:id="0"/>
                </w:p>
              </w:tc>
            </w:tr>
            <w:tr w14:paraId="3E010BA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5FE6ABE7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3.2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F5D994E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21"/>
                      <w:szCs w:val="21"/>
                    </w:rPr>
                  </w:pPr>
                  <w:r>
                    <w:rPr>
                      <w:rFonts w:cs="Calibri" w:asciiTheme="minorEastAsia" w:hAnsiTheme="minorEastAsia" w:eastAsiaTheme="minorEastAsia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SHT0016148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4CF1DC1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21"/>
                      <w:szCs w:val="21"/>
                    </w:rPr>
                  </w:pPr>
                  <w:r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 w:val="2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宽车主驾驶左侧钣金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08B5357B">
                  <w:pP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577215" cy="286385"/>
                        <wp:effectExtent l="19050" t="38100" r="13335" b="37465"/>
                        <wp:docPr id="12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587362" cy="291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7" w:type="dxa"/>
                  <w:vMerge w:val="restart"/>
                  <w:tcBorders>
                    <w:top w:val="single" w:color="000000" w:sz="8" w:space="0"/>
                    <w:left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43F0AFC8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修模变更-设变ECR0011944</w:t>
                  </w:r>
                </w:p>
                <w:p w14:paraId="2AD16449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在SHT0016148-宽车主驾驶左侧钣金/HT0016149-宽车主驾驶右侧钣金基础上优化新增开孔</w:t>
                  </w:r>
                </w:p>
              </w:tc>
            </w:tr>
            <w:tr w14:paraId="0622189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927E16D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3</w:t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.3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9FFE672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cs="Calibri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SHT0016149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93860B6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宽车主驾驶右侧钣金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52E2C98F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344805</wp:posOffset>
                        </wp:positionV>
                        <wp:extent cx="796925" cy="412750"/>
                        <wp:effectExtent l="0" t="0" r="3175" b="6350"/>
                        <wp:wrapNone/>
                        <wp:docPr id="17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inline distT="0" distB="0" distL="0" distR="0">
                        <wp:extent cx="577215" cy="286385"/>
                        <wp:effectExtent l="19050" t="38100" r="13335" b="37465"/>
                        <wp:docPr id="13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59229">
                                  <a:off x="0" y="0"/>
                                  <a:ext cx="587362" cy="291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67" w:type="dxa"/>
                  <w:vMerge w:val="continue"/>
                  <w:tcBorders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615B4991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</w:tr>
            <w:tr w14:paraId="0ABFF77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1DD5531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319FB7C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SHT0018404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6D1B736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旋转副驾坐垫骨架焊接总成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766E737F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0C30FB8A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36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28"/>
                    </w:rPr>
                    <w:t>新增件</w:t>
                  </w:r>
                </w:p>
                <w:p w14:paraId="0651CA06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28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在SHT0016211宽车副驾驶坐垫骨架焊接总成基础上增加了旋转座椅解锁机构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28"/>
                    </w:rPr>
                    <w:t>，详见数据。</w:t>
                  </w:r>
                </w:p>
              </w:tc>
            </w:tr>
            <w:tr w14:paraId="3D24C62A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18534F3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E4D01E7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SHT0018923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B4EDA88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旋转副驾坐垫骨架焊接分总成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3B2249BB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7620</wp:posOffset>
                        </wp:positionV>
                        <wp:extent cx="668020" cy="377825"/>
                        <wp:effectExtent l="0" t="0" r="0" b="3175"/>
                        <wp:wrapNone/>
                        <wp:docPr id="8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7970" cy="377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6B3504EE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36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28"/>
                    </w:rPr>
                    <w:t>新增件</w:t>
                  </w:r>
                </w:p>
                <w:p w14:paraId="2D7358DC">
                  <w:pPr>
                    <w:ind w:firstLine="480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28"/>
                    </w:rPr>
                    <w:t>详见数据。</w:t>
                  </w:r>
                </w:p>
              </w:tc>
            </w:tr>
            <w:tr w14:paraId="2AC42507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6D315B8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4.1.1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2AF5133B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SHT0018405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EF7AAE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右侧钣金焊接分总成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7C421A2F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4445</wp:posOffset>
                        </wp:positionV>
                        <wp:extent cx="796925" cy="451485"/>
                        <wp:effectExtent l="0" t="0" r="3175" b="5715"/>
                        <wp:wrapNone/>
                        <wp:docPr id="18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6925" cy="45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4513B3FB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0EF36707">
                  <w:pPr>
                    <w:ind w:firstLine="480"/>
                    <w:jc w:val="left"/>
                    <w:rPr>
                      <w:rFonts w:hint="default" w:asciiTheme="minorEastAsia" w:hAnsiTheme="minorEastAsia" w:eastAsiaTheme="minorEastAsia"/>
                      <w:color w:val="000000" w:themeColor="text1"/>
                      <w:sz w:val="13"/>
                      <w:szCs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  <w:lang w:val="en-US" w:eastAsia="zh-CN"/>
                    </w:rPr>
                    <w:t>新开焊胎。与4.2合并</w:t>
                  </w:r>
                </w:p>
              </w:tc>
            </w:tr>
            <w:tr w14:paraId="1B0C3F61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1CD3AD6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4.1.1.1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956ED8B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SHT0018406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6E3EA7B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右侧钣金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40A72343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49530</wp:posOffset>
                        </wp:positionV>
                        <wp:extent cx="682625" cy="341630"/>
                        <wp:effectExtent l="0" t="0" r="3175" b="1270"/>
                        <wp:wrapNone/>
                        <wp:docPr id="19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21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2831" cy="341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4F7794AB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67008C1E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在SHT0016215右侧钣金基础上增加了开孔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，详见数据。</w:t>
                  </w:r>
                </w:p>
              </w:tc>
            </w:tr>
            <w:tr w14:paraId="029154A4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FE835F8">
                  <w:pPr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4.2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A6B3ABE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SHT0018407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EB96816">
                  <w:pPr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旋转解锁机构焊接总成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79DADE65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7696" behindDoc="0" locked="0" layoutInCell="1" allowOverlap="1">
                        <wp:simplePos x="0" y="0"/>
                        <wp:positionH relativeFrom="column">
                          <wp:posOffset>45085</wp:posOffset>
                        </wp:positionH>
                        <wp:positionV relativeFrom="paragraph">
                          <wp:posOffset>0</wp:posOffset>
                        </wp:positionV>
                        <wp:extent cx="516890" cy="567690"/>
                        <wp:effectExtent l="0" t="0" r="0" b="4445"/>
                        <wp:wrapNone/>
                        <wp:docPr id="21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577" cy="567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495CA01D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新增件</w:t>
                  </w:r>
                </w:p>
                <w:p w14:paraId="5C92B0B1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在SHT0017137仰角调节机构焊接总成基础上焊SHT0018340旋转解锁把手支架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，详见数据。</w:t>
                  </w:r>
                </w:p>
              </w:tc>
            </w:tr>
            <w:tr w14:paraId="7C4CF13F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1A31709E">
                  <w:pPr>
                    <w:jc w:val="center"/>
                    <w:rPr>
                      <w:rFonts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4.2.1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5BA137E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SHT0018340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E8ACE84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旋转解锁机构支架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2E21A700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78720" behindDoc="0" locked="0" layoutInCell="1" allowOverlap="1">
                        <wp:simplePos x="0" y="0"/>
                        <wp:positionH relativeFrom="column">
                          <wp:posOffset>300355</wp:posOffset>
                        </wp:positionH>
                        <wp:positionV relativeFrom="paragraph">
                          <wp:posOffset>0</wp:posOffset>
                        </wp:positionV>
                        <wp:extent cx="189865" cy="342265"/>
                        <wp:effectExtent l="0" t="0" r="635" b="1270"/>
                        <wp:wrapNone/>
                        <wp:docPr id="2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006" cy="342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5A4996EA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开模新增件</w:t>
                  </w:r>
                </w:p>
                <w:p w14:paraId="5C106704">
                  <w:pPr>
                    <w:ind w:firstLine="480"/>
                    <w:jc w:val="left"/>
                    <w:rPr>
                      <w:rFonts w:hint="eastAsia" w:asciiTheme="minorEastAsia" w:hAnsiTheme="minorEastAsia" w:eastAsiaTheme="minorEastAsia"/>
                      <w:color w:val="000000" w:themeColor="text1"/>
                      <w:sz w:val="13"/>
                      <w:szCs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  <w:lang w:val="en-US" w:eastAsia="zh-CN"/>
                    </w:rPr>
                    <w:t>新开</w:t>
                  </w:r>
                </w:p>
              </w:tc>
            </w:tr>
            <w:tr w14:paraId="5E282ED8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CFEF7D5">
                  <w:pPr>
                    <w:jc w:val="center"/>
                    <w:rPr>
                      <w:rFonts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5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C76901B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SHT0018824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B831AAD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滑轨解锁手柄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2FA32189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1D319D67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修模新增状态</w:t>
                  </w:r>
                </w:p>
                <w:p w14:paraId="204A5193">
                  <w:pPr>
                    <w:ind w:firstLine="480"/>
                    <w:jc w:val="left"/>
                    <w:rPr>
                      <w:rFonts w:hint="default" w:asciiTheme="minorEastAsia" w:hAnsiTheme="minorEastAsia" w:eastAsiaTheme="minorEastAsia"/>
                      <w:color w:val="000000" w:themeColor="text1"/>
                      <w:sz w:val="13"/>
                      <w:szCs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  <w:t>9.26评审的样件已经体现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szCs w:val="13"/>
                      <w:lang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，</w:t>
                  </w: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 w:val="13"/>
                      <w:szCs w:val="13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新开</w:t>
                  </w:r>
                </w:p>
              </w:tc>
            </w:tr>
            <w:tr w14:paraId="30B2E44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8948B95">
                  <w:pPr>
                    <w:jc w:val="center"/>
                    <w:rPr>
                      <w:rFonts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  <w:t>6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35BBB3B6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SHT0018408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7CEA2C1F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拉线总成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3EABADC1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47625</wp:posOffset>
                        </wp:positionH>
                        <wp:positionV relativeFrom="paragraph">
                          <wp:posOffset>41910</wp:posOffset>
                        </wp:positionV>
                        <wp:extent cx="740410" cy="201930"/>
                        <wp:effectExtent l="0" t="0" r="3175" b="8255"/>
                        <wp:wrapNone/>
                        <wp:docPr id="3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8310" cy="2095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199390</wp:posOffset>
                        </wp:positionH>
                        <wp:positionV relativeFrom="paragraph">
                          <wp:posOffset>-346710</wp:posOffset>
                        </wp:positionV>
                        <wp:extent cx="466725" cy="259080"/>
                        <wp:effectExtent l="0" t="0" r="0" b="8255"/>
                        <wp:wrapNone/>
                        <wp:docPr id="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564" cy="2615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552D9560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外采-新增件</w:t>
                  </w:r>
                </w:p>
                <w:p w14:paraId="5B358EC4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详见数据。</w:t>
                  </w:r>
                </w:p>
              </w:tc>
            </w:tr>
            <w:tr w14:paraId="4F5E887C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atLeast"/>
              </w:trPr>
              <w:tc>
                <w:tcPr>
                  <w:tcW w:w="860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0B983FF3">
                  <w:pPr>
                    <w:jc w:val="center"/>
                    <w:rPr>
                      <w:rFonts w:cs="Arial" w:asciiTheme="minorEastAsia" w:hAnsiTheme="minorEastAsia" w:eastAsiaTheme="minorEastAsia"/>
                      <w:color w:val="000000"/>
                      <w:kern w:val="24"/>
                      <w:szCs w:val="21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7</w:t>
                  </w:r>
                </w:p>
              </w:tc>
              <w:tc>
                <w:tcPr>
                  <w:tcW w:w="1701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6ADA1728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SHT0018905</w:t>
                  </w:r>
                </w:p>
              </w:tc>
              <w:tc>
                <w:tcPr>
                  <w:tcW w:w="283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14:paraId="4BB7371E">
                  <w:pPr>
                    <w:jc w:val="left"/>
                    <w:rPr>
                      <w:rFonts w:cs="Arial" w:asciiTheme="minorEastAsia" w:hAnsiTheme="minorEastAsia" w:eastAsiaTheme="minorEastAsia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 w:themeColor="text1"/>
                      <w:kern w:val="24"/>
                      <w:szCs w:val="21"/>
                      <w14:textFill>
                        <w14:solidFill>
                          <w14:schemeClr w14:val="tx1"/>
                        </w14:solidFill>
                      </w14:textFill>
                    </w:rPr>
                    <w:t>仰角手柄</w:t>
                  </w:r>
                </w:p>
              </w:tc>
              <w:tc>
                <w:tcPr>
                  <w:tcW w:w="127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</w:tcPr>
                <w:p w14:paraId="4ECA4ECB">
                  <w:pPr>
                    <w:ind w:firstLine="480"/>
                    <w:jc w:val="center"/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asciiTheme="minorEastAsia" w:hAnsiTheme="minorEastAsia" w:eastAsiaTheme="minorEastAsia"/>
                      <w:color w:val="000000" w:themeColor="text1"/>
                      <w:sz w:val="24"/>
                      <w14:textFill>
                        <w14:solidFill>
                          <w14:schemeClr w14:val="tx1"/>
                        </w14:solidFill>
                      </w14:textFill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201295</wp:posOffset>
                        </wp:positionH>
                        <wp:positionV relativeFrom="paragraph">
                          <wp:posOffset>-26035</wp:posOffset>
                        </wp:positionV>
                        <wp:extent cx="443865" cy="415925"/>
                        <wp:effectExtent l="0" t="0" r="0" b="3175"/>
                        <wp:wrapNone/>
                        <wp:docPr id="6" name="图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010" cy="416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367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auto"/>
                  <w:vAlign w:val="center"/>
                </w:tcPr>
                <w:p w14:paraId="31F3C4D3">
                  <w:pPr>
                    <w:pStyle w:val="5"/>
                    <w:spacing w:before="0" w:beforeAutospacing="0" w:after="0" w:afterAutospacing="0"/>
                    <w:rPr>
                      <w:rFonts w:cs="Arial" w:asciiTheme="minorEastAsia" w:hAnsiTheme="minorEastAsia" w:eastAsiaTheme="minorEastAsia"/>
                      <w:sz w:val="13"/>
                      <w:szCs w:val="13"/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FF0000"/>
                      <w:kern w:val="24"/>
                      <w:sz w:val="13"/>
                      <w:szCs w:val="13"/>
                    </w:rPr>
                    <w:t>新增件-不涉及模具</w:t>
                  </w:r>
                </w:p>
                <w:p w14:paraId="423D93DE">
                  <w:pPr>
                    <w:ind w:firstLine="480"/>
                    <w:jc w:val="left"/>
                    <w:rPr>
                      <w:rFonts w:asciiTheme="minorEastAsia" w:hAnsiTheme="minorEastAsia" w:eastAsiaTheme="minorEastAsia"/>
                      <w:color w:val="000000" w:themeColor="text1"/>
                      <w:sz w:val="13"/>
                      <w:szCs w:val="13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Theme="minorEastAsia" w:hAnsiTheme="minorEastAsia" w:eastAsiaTheme="minorEastAsia" w:cstheme="minorBidi"/>
                      <w:color w:val="000000"/>
                      <w:kern w:val="24"/>
                      <w:sz w:val="13"/>
                      <w:szCs w:val="13"/>
                    </w:rPr>
                    <w:t>在SQX3000-6906200在此基础上更改,灰色更改为黑色，取消标识。</w:t>
                  </w:r>
                </w:p>
              </w:tc>
            </w:tr>
          </w:tbl>
          <w:p w14:paraId="3DAAA82D">
            <w:pPr>
              <w:ind w:firstLine="480"/>
              <w:jc w:val="center"/>
              <w:rPr>
                <w:rFonts w:asciiTheme="minorEastAsia" w:hAnsiTheme="minorEastAsia" w:eastAsiaTheme="minorEastAsia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1974F25F">
      <w:pPr>
        <w:rPr>
          <w:szCs w:val="20"/>
        </w:rPr>
      </w:pPr>
      <w:r>
        <w:drawing>
          <wp:inline distT="0" distB="0" distL="0" distR="0">
            <wp:extent cx="5543550" cy="3905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295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060E6">
    <w:pPr>
      <w:pStyle w:val="4"/>
      <w:pBdr>
        <w:bottom w:val="none" w:color="auto" w:sz="0" w:space="0"/>
      </w:pBdr>
      <w:rPr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EC5045"/>
    <w:multiLevelType w:val="multilevel"/>
    <w:tmpl w:val="7FEC504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B7"/>
    <w:rsid w:val="00002C76"/>
    <w:rsid w:val="000036A8"/>
    <w:rsid w:val="00012FE0"/>
    <w:rsid w:val="0002345A"/>
    <w:rsid w:val="00025A6D"/>
    <w:rsid w:val="00025EE7"/>
    <w:rsid w:val="00026A45"/>
    <w:rsid w:val="00033F75"/>
    <w:rsid w:val="0003413F"/>
    <w:rsid w:val="0003468D"/>
    <w:rsid w:val="00035FCE"/>
    <w:rsid w:val="00040175"/>
    <w:rsid w:val="0004125C"/>
    <w:rsid w:val="000421C1"/>
    <w:rsid w:val="00043041"/>
    <w:rsid w:val="000431EA"/>
    <w:rsid w:val="0004502C"/>
    <w:rsid w:val="00050F82"/>
    <w:rsid w:val="00051496"/>
    <w:rsid w:val="00052BFC"/>
    <w:rsid w:val="00061669"/>
    <w:rsid w:val="00065342"/>
    <w:rsid w:val="0006613F"/>
    <w:rsid w:val="0006719A"/>
    <w:rsid w:val="00072CB6"/>
    <w:rsid w:val="00073257"/>
    <w:rsid w:val="0007628A"/>
    <w:rsid w:val="00076F60"/>
    <w:rsid w:val="00082819"/>
    <w:rsid w:val="00083259"/>
    <w:rsid w:val="00090319"/>
    <w:rsid w:val="00097629"/>
    <w:rsid w:val="000A078D"/>
    <w:rsid w:val="000A07D2"/>
    <w:rsid w:val="000A1143"/>
    <w:rsid w:val="000A5D5B"/>
    <w:rsid w:val="000A6529"/>
    <w:rsid w:val="000B1B01"/>
    <w:rsid w:val="000B42A7"/>
    <w:rsid w:val="000B66DC"/>
    <w:rsid w:val="000B7807"/>
    <w:rsid w:val="000D369C"/>
    <w:rsid w:val="000E69A7"/>
    <w:rsid w:val="000F202C"/>
    <w:rsid w:val="000F23CE"/>
    <w:rsid w:val="000F2519"/>
    <w:rsid w:val="000F564E"/>
    <w:rsid w:val="001001A9"/>
    <w:rsid w:val="00112062"/>
    <w:rsid w:val="00112BBA"/>
    <w:rsid w:val="00116893"/>
    <w:rsid w:val="00120DC8"/>
    <w:rsid w:val="001228CE"/>
    <w:rsid w:val="001234B5"/>
    <w:rsid w:val="00127D82"/>
    <w:rsid w:val="00127E09"/>
    <w:rsid w:val="00131156"/>
    <w:rsid w:val="00131839"/>
    <w:rsid w:val="001338BC"/>
    <w:rsid w:val="0013653E"/>
    <w:rsid w:val="0014416A"/>
    <w:rsid w:val="00147434"/>
    <w:rsid w:val="00147ABD"/>
    <w:rsid w:val="00151F39"/>
    <w:rsid w:val="0016326C"/>
    <w:rsid w:val="001705E6"/>
    <w:rsid w:val="00180C27"/>
    <w:rsid w:val="001824DB"/>
    <w:rsid w:val="001866E1"/>
    <w:rsid w:val="00186ECA"/>
    <w:rsid w:val="001943E7"/>
    <w:rsid w:val="001A121B"/>
    <w:rsid w:val="001A2A84"/>
    <w:rsid w:val="001A5E29"/>
    <w:rsid w:val="001A64B4"/>
    <w:rsid w:val="001A6D7F"/>
    <w:rsid w:val="001B167C"/>
    <w:rsid w:val="001C291E"/>
    <w:rsid w:val="001D4EBF"/>
    <w:rsid w:val="001E2310"/>
    <w:rsid w:val="001E7989"/>
    <w:rsid w:val="001F2780"/>
    <w:rsid w:val="001F3954"/>
    <w:rsid w:val="002009ED"/>
    <w:rsid w:val="00205F66"/>
    <w:rsid w:val="00217EEA"/>
    <w:rsid w:val="002216BE"/>
    <w:rsid w:val="0022441E"/>
    <w:rsid w:val="00227115"/>
    <w:rsid w:val="00246D3C"/>
    <w:rsid w:val="00250AC1"/>
    <w:rsid w:val="0025458E"/>
    <w:rsid w:val="00260B50"/>
    <w:rsid w:val="002614DE"/>
    <w:rsid w:val="00262A80"/>
    <w:rsid w:val="00262DB1"/>
    <w:rsid w:val="00272746"/>
    <w:rsid w:val="00275A3E"/>
    <w:rsid w:val="002810AC"/>
    <w:rsid w:val="00284ED3"/>
    <w:rsid w:val="0029014A"/>
    <w:rsid w:val="002A377B"/>
    <w:rsid w:val="002A5FD0"/>
    <w:rsid w:val="002A6B48"/>
    <w:rsid w:val="002B3E7F"/>
    <w:rsid w:val="002B6050"/>
    <w:rsid w:val="002B6277"/>
    <w:rsid w:val="002B72C2"/>
    <w:rsid w:val="002C34F2"/>
    <w:rsid w:val="002D185D"/>
    <w:rsid w:val="002D579D"/>
    <w:rsid w:val="002E3D7E"/>
    <w:rsid w:val="002F0B2D"/>
    <w:rsid w:val="002F34B3"/>
    <w:rsid w:val="0030202E"/>
    <w:rsid w:val="003061D4"/>
    <w:rsid w:val="00307B10"/>
    <w:rsid w:val="003215F8"/>
    <w:rsid w:val="00336794"/>
    <w:rsid w:val="00342F79"/>
    <w:rsid w:val="00344D8A"/>
    <w:rsid w:val="00346ABD"/>
    <w:rsid w:val="00351989"/>
    <w:rsid w:val="003560E9"/>
    <w:rsid w:val="003562F3"/>
    <w:rsid w:val="00372575"/>
    <w:rsid w:val="003729D4"/>
    <w:rsid w:val="00382E0A"/>
    <w:rsid w:val="003833DA"/>
    <w:rsid w:val="0038744B"/>
    <w:rsid w:val="00390667"/>
    <w:rsid w:val="00391594"/>
    <w:rsid w:val="003938AC"/>
    <w:rsid w:val="003A5AC7"/>
    <w:rsid w:val="003B0149"/>
    <w:rsid w:val="003B6682"/>
    <w:rsid w:val="003C03D3"/>
    <w:rsid w:val="003C61D9"/>
    <w:rsid w:val="003D0C2D"/>
    <w:rsid w:val="003D47FB"/>
    <w:rsid w:val="003D67C4"/>
    <w:rsid w:val="003F18CF"/>
    <w:rsid w:val="003F748A"/>
    <w:rsid w:val="004117DC"/>
    <w:rsid w:val="00421BD0"/>
    <w:rsid w:val="0042381D"/>
    <w:rsid w:val="004249E4"/>
    <w:rsid w:val="004269CC"/>
    <w:rsid w:val="00427507"/>
    <w:rsid w:val="00432C17"/>
    <w:rsid w:val="004353C0"/>
    <w:rsid w:val="00435D7B"/>
    <w:rsid w:val="00441E88"/>
    <w:rsid w:val="00445496"/>
    <w:rsid w:val="0045008D"/>
    <w:rsid w:val="004542C2"/>
    <w:rsid w:val="00454F69"/>
    <w:rsid w:val="004551F8"/>
    <w:rsid w:val="00456A96"/>
    <w:rsid w:val="00461BE7"/>
    <w:rsid w:val="004632C4"/>
    <w:rsid w:val="004639AC"/>
    <w:rsid w:val="0048433C"/>
    <w:rsid w:val="004847F3"/>
    <w:rsid w:val="00486CD5"/>
    <w:rsid w:val="0049627F"/>
    <w:rsid w:val="00497775"/>
    <w:rsid w:val="00497B14"/>
    <w:rsid w:val="004A322F"/>
    <w:rsid w:val="004A41DB"/>
    <w:rsid w:val="004D1997"/>
    <w:rsid w:val="004E2857"/>
    <w:rsid w:val="004E4850"/>
    <w:rsid w:val="004E543B"/>
    <w:rsid w:val="004E70B3"/>
    <w:rsid w:val="004E7A63"/>
    <w:rsid w:val="00501B7F"/>
    <w:rsid w:val="00502E4F"/>
    <w:rsid w:val="0050458E"/>
    <w:rsid w:val="00511859"/>
    <w:rsid w:val="00514BE7"/>
    <w:rsid w:val="00514EA0"/>
    <w:rsid w:val="0051726B"/>
    <w:rsid w:val="00523404"/>
    <w:rsid w:val="00523D27"/>
    <w:rsid w:val="00526076"/>
    <w:rsid w:val="00530C31"/>
    <w:rsid w:val="00537731"/>
    <w:rsid w:val="00540390"/>
    <w:rsid w:val="00540965"/>
    <w:rsid w:val="005438EC"/>
    <w:rsid w:val="005439E8"/>
    <w:rsid w:val="005442D9"/>
    <w:rsid w:val="00544711"/>
    <w:rsid w:val="005505C5"/>
    <w:rsid w:val="00552A8F"/>
    <w:rsid w:val="00552E73"/>
    <w:rsid w:val="005564C5"/>
    <w:rsid w:val="005565B8"/>
    <w:rsid w:val="00561B55"/>
    <w:rsid w:val="0056318C"/>
    <w:rsid w:val="00564DCF"/>
    <w:rsid w:val="00565B97"/>
    <w:rsid w:val="00566C8D"/>
    <w:rsid w:val="00572410"/>
    <w:rsid w:val="00572C39"/>
    <w:rsid w:val="005731D1"/>
    <w:rsid w:val="005738E5"/>
    <w:rsid w:val="0058024B"/>
    <w:rsid w:val="00583836"/>
    <w:rsid w:val="00587A15"/>
    <w:rsid w:val="0059021B"/>
    <w:rsid w:val="005907D7"/>
    <w:rsid w:val="00592B47"/>
    <w:rsid w:val="00592FB5"/>
    <w:rsid w:val="005A1DFA"/>
    <w:rsid w:val="005A29C9"/>
    <w:rsid w:val="005B2618"/>
    <w:rsid w:val="005B43EE"/>
    <w:rsid w:val="005B618E"/>
    <w:rsid w:val="005B6688"/>
    <w:rsid w:val="005C086E"/>
    <w:rsid w:val="005C25A2"/>
    <w:rsid w:val="005C7965"/>
    <w:rsid w:val="005D1F75"/>
    <w:rsid w:val="005D264B"/>
    <w:rsid w:val="005E2966"/>
    <w:rsid w:val="005E6511"/>
    <w:rsid w:val="005F0F1D"/>
    <w:rsid w:val="005F37B9"/>
    <w:rsid w:val="005F5DF0"/>
    <w:rsid w:val="005F6673"/>
    <w:rsid w:val="006104C2"/>
    <w:rsid w:val="006137F7"/>
    <w:rsid w:val="006172C4"/>
    <w:rsid w:val="00632093"/>
    <w:rsid w:val="006359ED"/>
    <w:rsid w:val="00636243"/>
    <w:rsid w:val="00637DCD"/>
    <w:rsid w:val="00640EF5"/>
    <w:rsid w:val="0064457D"/>
    <w:rsid w:val="00650F1A"/>
    <w:rsid w:val="0065554F"/>
    <w:rsid w:val="00660954"/>
    <w:rsid w:val="0066149C"/>
    <w:rsid w:val="00662BAB"/>
    <w:rsid w:val="00663D8B"/>
    <w:rsid w:val="00666A4C"/>
    <w:rsid w:val="00677404"/>
    <w:rsid w:val="00677DFD"/>
    <w:rsid w:val="00691D92"/>
    <w:rsid w:val="006B040A"/>
    <w:rsid w:val="006B1C3E"/>
    <w:rsid w:val="006B38BD"/>
    <w:rsid w:val="006B771E"/>
    <w:rsid w:val="006C0C7F"/>
    <w:rsid w:val="006C52F2"/>
    <w:rsid w:val="006C549A"/>
    <w:rsid w:val="006D1F6F"/>
    <w:rsid w:val="006D46C8"/>
    <w:rsid w:val="006D7729"/>
    <w:rsid w:val="006E4644"/>
    <w:rsid w:val="006E5B0F"/>
    <w:rsid w:val="006F4DEE"/>
    <w:rsid w:val="006F65F4"/>
    <w:rsid w:val="00705A1B"/>
    <w:rsid w:val="0070776B"/>
    <w:rsid w:val="007170A4"/>
    <w:rsid w:val="00726823"/>
    <w:rsid w:val="007277C8"/>
    <w:rsid w:val="00731E99"/>
    <w:rsid w:val="00733CEB"/>
    <w:rsid w:val="00734E5C"/>
    <w:rsid w:val="0073571A"/>
    <w:rsid w:val="0074451C"/>
    <w:rsid w:val="00762EF9"/>
    <w:rsid w:val="007636AE"/>
    <w:rsid w:val="00763D4D"/>
    <w:rsid w:val="007665AF"/>
    <w:rsid w:val="00766E41"/>
    <w:rsid w:val="00772E38"/>
    <w:rsid w:val="00775942"/>
    <w:rsid w:val="00781BD9"/>
    <w:rsid w:val="007845E9"/>
    <w:rsid w:val="00793628"/>
    <w:rsid w:val="00793C3C"/>
    <w:rsid w:val="00794332"/>
    <w:rsid w:val="007A2070"/>
    <w:rsid w:val="007A3779"/>
    <w:rsid w:val="007B0609"/>
    <w:rsid w:val="007B2A32"/>
    <w:rsid w:val="007C5D20"/>
    <w:rsid w:val="007C6674"/>
    <w:rsid w:val="007C7B82"/>
    <w:rsid w:val="007E4729"/>
    <w:rsid w:val="007F2208"/>
    <w:rsid w:val="007F54F7"/>
    <w:rsid w:val="0080250A"/>
    <w:rsid w:val="0080564A"/>
    <w:rsid w:val="008060E1"/>
    <w:rsid w:val="00806522"/>
    <w:rsid w:val="0080733D"/>
    <w:rsid w:val="008168B5"/>
    <w:rsid w:val="00820EBF"/>
    <w:rsid w:val="0082234D"/>
    <w:rsid w:val="00824D2D"/>
    <w:rsid w:val="00830644"/>
    <w:rsid w:val="00835398"/>
    <w:rsid w:val="00836C73"/>
    <w:rsid w:val="00837069"/>
    <w:rsid w:val="008403AD"/>
    <w:rsid w:val="00851B01"/>
    <w:rsid w:val="00851FDE"/>
    <w:rsid w:val="008532AF"/>
    <w:rsid w:val="00857AD1"/>
    <w:rsid w:val="008601C4"/>
    <w:rsid w:val="00864A18"/>
    <w:rsid w:val="00864C35"/>
    <w:rsid w:val="00880DF8"/>
    <w:rsid w:val="00884344"/>
    <w:rsid w:val="00885478"/>
    <w:rsid w:val="00887442"/>
    <w:rsid w:val="008953E7"/>
    <w:rsid w:val="00895A66"/>
    <w:rsid w:val="008A184E"/>
    <w:rsid w:val="008A26CE"/>
    <w:rsid w:val="008A70DB"/>
    <w:rsid w:val="008B5661"/>
    <w:rsid w:val="008C0108"/>
    <w:rsid w:val="008C1226"/>
    <w:rsid w:val="008C1945"/>
    <w:rsid w:val="008C5A63"/>
    <w:rsid w:val="008D00B7"/>
    <w:rsid w:val="008D4060"/>
    <w:rsid w:val="008D5D2D"/>
    <w:rsid w:val="008E45DE"/>
    <w:rsid w:val="008E7113"/>
    <w:rsid w:val="008F53B0"/>
    <w:rsid w:val="009011AA"/>
    <w:rsid w:val="009074A0"/>
    <w:rsid w:val="009136DA"/>
    <w:rsid w:val="00916174"/>
    <w:rsid w:val="009171E6"/>
    <w:rsid w:val="009206A8"/>
    <w:rsid w:val="00922E5E"/>
    <w:rsid w:val="00926E71"/>
    <w:rsid w:val="00935E22"/>
    <w:rsid w:val="009402E4"/>
    <w:rsid w:val="009463C1"/>
    <w:rsid w:val="009475AF"/>
    <w:rsid w:val="00961CAA"/>
    <w:rsid w:val="009671D1"/>
    <w:rsid w:val="009705AD"/>
    <w:rsid w:val="00971905"/>
    <w:rsid w:val="00981439"/>
    <w:rsid w:val="009815EA"/>
    <w:rsid w:val="00986AAB"/>
    <w:rsid w:val="00996B0B"/>
    <w:rsid w:val="009A1E9E"/>
    <w:rsid w:val="009A7E8D"/>
    <w:rsid w:val="009B2F2E"/>
    <w:rsid w:val="009C0A0F"/>
    <w:rsid w:val="009C21C0"/>
    <w:rsid w:val="009C453F"/>
    <w:rsid w:val="009C5E22"/>
    <w:rsid w:val="009E0579"/>
    <w:rsid w:val="009E5B57"/>
    <w:rsid w:val="009E720E"/>
    <w:rsid w:val="009F2AA0"/>
    <w:rsid w:val="00A025AA"/>
    <w:rsid w:val="00A03AE5"/>
    <w:rsid w:val="00A056A2"/>
    <w:rsid w:val="00A128A9"/>
    <w:rsid w:val="00A157AB"/>
    <w:rsid w:val="00A17B06"/>
    <w:rsid w:val="00A17C54"/>
    <w:rsid w:val="00A17CDC"/>
    <w:rsid w:val="00A32EF9"/>
    <w:rsid w:val="00A37DFF"/>
    <w:rsid w:val="00A40FE3"/>
    <w:rsid w:val="00A45F3D"/>
    <w:rsid w:val="00A4661C"/>
    <w:rsid w:val="00A5120E"/>
    <w:rsid w:val="00A53C0D"/>
    <w:rsid w:val="00A57F21"/>
    <w:rsid w:val="00A729A2"/>
    <w:rsid w:val="00A72C1C"/>
    <w:rsid w:val="00A73196"/>
    <w:rsid w:val="00A75065"/>
    <w:rsid w:val="00A81A20"/>
    <w:rsid w:val="00A87AB2"/>
    <w:rsid w:val="00A902D9"/>
    <w:rsid w:val="00A910E1"/>
    <w:rsid w:val="00A93E55"/>
    <w:rsid w:val="00AA7297"/>
    <w:rsid w:val="00AB25CB"/>
    <w:rsid w:val="00AB3D48"/>
    <w:rsid w:val="00AB4722"/>
    <w:rsid w:val="00AC07BD"/>
    <w:rsid w:val="00AD49EC"/>
    <w:rsid w:val="00AD7A6C"/>
    <w:rsid w:val="00AE33FC"/>
    <w:rsid w:val="00AE4AE7"/>
    <w:rsid w:val="00AF5930"/>
    <w:rsid w:val="00B01A24"/>
    <w:rsid w:val="00B04CB3"/>
    <w:rsid w:val="00B07167"/>
    <w:rsid w:val="00B075D9"/>
    <w:rsid w:val="00B12ACE"/>
    <w:rsid w:val="00B12F09"/>
    <w:rsid w:val="00B16163"/>
    <w:rsid w:val="00B175C7"/>
    <w:rsid w:val="00B24921"/>
    <w:rsid w:val="00B27799"/>
    <w:rsid w:val="00B32E92"/>
    <w:rsid w:val="00B33609"/>
    <w:rsid w:val="00B37B16"/>
    <w:rsid w:val="00B40B06"/>
    <w:rsid w:val="00B4161D"/>
    <w:rsid w:val="00B5152C"/>
    <w:rsid w:val="00B5157B"/>
    <w:rsid w:val="00B54102"/>
    <w:rsid w:val="00B5476E"/>
    <w:rsid w:val="00B54F22"/>
    <w:rsid w:val="00B55F2E"/>
    <w:rsid w:val="00B56558"/>
    <w:rsid w:val="00B60FF3"/>
    <w:rsid w:val="00B66720"/>
    <w:rsid w:val="00B70CF6"/>
    <w:rsid w:val="00B73CBB"/>
    <w:rsid w:val="00B747A8"/>
    <w:rsid w:val="00B77FD7"/>
    <w:rsid w:val="00B8194A"/>
    <w:rsid w:val="00B86F47"/>
    <w:rsid w:val="00B8797E"/>
    <w:rsid w:val="00B90B1A"/>
    <w:rsid w:val="00B91795"/>
    <w:rsid w:val="00B922FC"/>
    <w:rsid w:val="00B97660"/>
    <w:rsid w:val="00BA0E28"/>
    <w:rsid w:val="00BA0FBB"/>
    <w:rsid w:val="00BA4091"/>
    <w:rsid w:val="00BA6E9D"/>
    <w:rsid w:val="00BB49EA"/>
    <w:rsid w:val="00BB5992"/>
    <w:rsid w:val="00BC5316"/>
    <w:rsid w:val="00BC62BD"/>
    <w:rsid w:val="00BE3249"/>
    <w:rsid w:val="00BE3C80"/>
    <w:rsid w:val="00BE47E0"/>
    <w:rsid w:val="00BE6D6A"/>
    <w:rsid w:val="00BE740A"/>
    <w:rsid w:val="00BF6622"/>
    <w:rsid w:val="00C06968"/>
    <w:rsid w:val="00C12DB6"/>
    <w:rsid w:val="00C15EB4"/>
    <w:rsid w:val="00C2274B"/>
    <w:rsid w:val="00C22765"/>
    <w:rsid w:val="00C22EEE"/>
    <w:rsid w:val="00C23A14"/>
    <w:rsid w:val="00C31E86"/>
    <w:rsid w:val="00C3368A"/>
    <w:rsid w:val="00C34624"/>
    <w:rsid w:val="00C432B0"/>
    <w:rsid w:val="00C46BD2"/>
    <w:rsid w:val="00C50097"/>
    <w:rsid w:val="00C5017F"/>
    <w:rsid w:val="00C56A6E"/>
    <w:rsid w:val="00C56C6E"/>
    <w:rsid w:val="00C579DA"/>
    <w:rsid w:val="00C61330"/>
    <w:rsid w:val="00C6223B"/>
    <w:rsid w:val="00C66AA1"/>
    <w:rsid w:val="00C7127C"/>
    <w:rsid w:val="00C754BA"/>
    <w:rsid w:val="00C75862"/>
    <w:rsid w:val="00C77F1E"/>
    <w:rsid w:val="00C81406"/>
    <w:rsid w:val="00C84F02"/>
    <w:rsid w:val="00C8631F"/>
    <w:rsid w:val="00C9009C"/>
    <w:rsid w:val="00C900B3"/>
    <w:rsid w:val="00C91715"/>
    <w:rsid w:val="00C92E86"/>
    <w:rsid w:val="00C96928"/>
    <w:rsid w:val="00CA04EB"/>
    <w:rsid w:val="00CA1C9A"/>
    <w:rsid w:val="00CA2625"/>
    <w:rsid w:val="00CA71FC"/>
    <w:rsid w:val="00CB1DD3"/>
    <w:rsid w:val="00CC1AE4"/>
    <w:rsid w:val="00CC22C8"/>
    <w:rsid w:val="00CC2E29"/>
    <w:rsid w:val="00CC3149"/>
    <w:rsid w:val="00CC32F1"/>
    <w:rsid w:val="00CC724B"/>
    <w:rsid w:val="00CD07A9"/>
    <w:rsid w:val="00CD2302"/>
    <w:rsid w:val="00CD2AE7"/>
    <w:rsid w:val="00CE0238"/>
    <w:rsid w:val="00CE1D8C"/>
    <w:rsid w:val="00CE2D91"/>
    <w:rsid w:val="00CE6E1E"/>
    <w:rsid w:val="00CF2E76"/>
    <w:rsid w:val="00CF30CD"/>
    <w:rsid w:val="00CF5782"/>
    <w:rsid w:val="00CF73E0"/>
    <w:rsid w:val="00D0468F"/>
    <w:rsid w:val="00D076B7"/>
    <w:rsid w:val="00D10794"/>
    <w:rsid w:val="00D16794"/>
    <w:rsid w:val="00D16BA1"/>
    <w:rsid w:val="00D16D87"/>
    <w:rsid w:val="00D20362"/>
    <w:rsid w:val="00D218DF"/>
    <w:rsid w:val="00D224EA"/>
    <w:rsid w:val="00D24C84"/>
    <w:rsid w:val="00D33B89"/>
    <w:rsid w:val="00D35357"/>
    <w:rsid w:val="00D37FFA"/>
    <w:rsid w:val="00D44D57"/>
    <w:rsid w:val="00D53448"/>
    <w:rsid w:val="00D6357D"/>
    <w:rsid w:val="00D66BA4"/>
    <w:rsid w:val="00D6739D"/>
    <w:rsid w:val="00D6751F"/>
    <w:rsid w:val="00D679BE"/>
    <w:rsid w:val="00D74E09"/>
    <w:rsid w:val="00D84FEA"/>
    <w:rsid w:val="00D854E0"/>
    <w:rsid w:val="00D92E31"/>
    <w:rsid w:val="00D9661E"/>
    <w:rsid w:val="00DA4207"/>
    <w:rsid w:val="00DA5970"/>
    <w:rsid w:val="00DB76B9"/>
    <w:rsid w:val="00DC0AF6"/>
    <w:rsid w:val="00DC495B"/>
    <w:rsid w:val="00DE5A73"/>
    <w:rsid w:val="00DE64E1"/>
    <w:rsid w:val="00DE6BBC"/>
    <w:rsid w:val="00DF07D0"/>
    <w:rsid w:val="00DF1092"/>
    <w:rsid w:val="00DF157D"/>
    <w:rsid w:val="00E01204"/>
    <w:rsid w:val="00E05A2F"/>
    <w:rsid w:val="00E06E2A"/>
    <w:rsid w:val="00E100BD"/>
    <w:rsid w:val="00E12CDA"/>
    <w:rsid w:val="00E14005"/>
    <w:rsid w:val="00E1637F"/>
    <w:rsid w:val="00E175D1"/>
    <w:rsid w:val="00E1779F"/>
    <w:rsid w:val="00E2126B"/>
    <w:rsid w:val="00E21769"/>
    <w:rsid w:val="00E23071"/>
    <w:rsid w:val="00E23340"/>
    <w:rsid w:val="00E25A55"/>
    <w:rsid w:val="00E30596"/>
    <w:rsid w:val="00E377B9"/>
    <w:rsid w:val="00E46D55"/>
    <w:rsid w:val="00E47A13"/>
    <w:rsid w:val="00E6040E"/>
    <w:rsid w:val="00E62B22"/>
    <w:rsid w:val="00E65292"/>
    <w:rsid w:val="00E66317"/>
    <w:rsid w:val="00E71200"/>
    <w:rsid w:val="00E75389"/>
    <w:rsid w:val="00E75573"/>
    <w:rsid w:val="00E75AD1"/>
    <w:rsid w:val="00E75D5B"/>
    <w:rsid w:val="00E76A6F"/>
    <w:rsid w:val="00E76BB9"/>
    <w:rsid w:val="00E84594"/>
    <w:rsid w:val="00E879BF"/>
    <w:rsid w:val="00E90504"/>
    <w:rsid w:val="00E9267F"/>
    <w:rsid w:val="00E93327"/>
    <w:rsid w:val="00E93C53"/>
    <w:rsid w:val="00E96C5B"/>
    <w:rsid w:val="00EA08E3"/>
    <w:rsid w:val="00EB2649"/>
    <w:rsid w:val="00EB639D"/>
    <w:rsid w:val="00EC2E04"/>
    <w:rsid w:val="00EC3C00"/>
    <w:rsid w:val="00ED6CE5"/>
    <w:rsid w:val="00EE049F"/>
    <w:rsid w:val="00EE0DB0"/>
    <w:rsid w:val="00EE0DD2"/>
    <w:rsid w:val="00EE125D"/>
    <w:rsid w:val="00EE529B"/>
    <w:rsid w:val="00EE5C45"/>
    <w:rsid w:val="00EF15E8"/>
    <w:rsid w:val="00F1527D"/>
    <w:rsid w:val="00F15DD3"/>
    <w:rsid w:val="00F231C5"/>
    <w:rsid w:val="00F2472B"/>
    <w:rsid w:val="00F2530A"/>
    <w:rsid w:val="00F41214"/>
    <w:rsid w:val="00F53EAC"/>
    <w:rsid w:val="00F55296"/>
    <w:rsid w:val="00F577A2"/>
    <w:rsid w:val="00F613E3"/>
    <w:rsid w:val="00F6382C"/>
    <w:rsid w:val="00F66723"/>
    <w:rsid w:val="00F72E7B"/>
    <w:rsid w:val="00F756B2"/>
    <w:rsid w:val="00F757D9"/>
    <w:rsid w:val="00F762AB"/>
    <w:rsid w:val="00F8095E"/>
    <w:rsid w:val="00F82E91"/>
    <w:rsid w:val="00F84739"/>
    <w:rsid w:val="00F85F84"/>
    <w:rsid w:val="00F86439"/>
    <w:rsid w:val="00FB2CC1"/>
    <w:rsid w:val="00FB3925"/>
    <w:rsid w:val="00FB52A0"/>
    <w:rsid w:val="00FB62A4"/>
    <w:rsid w:val="00FC031E"/>
    <w:rsid w:val="00FC2580"/>
    <w:rsid w:val="00FC79FB"/>
    <w:rsid w:val="00FE230B"/>
    <w:rsid w:val="00FE4397"/>
    <w:rsid w:val="00FE46B1"/>
    <w:rsid w:val="00FE4E9A"/>
    <w:rsid w:val="00FF01BE"/>
    <w:rsid w:val="00FF122F"/>
    <w:rsid w:val="00FF48A1"/>
    <w:rsid w:val="36B7008B"/>
    <w:rsid w:val="7FDE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脚 Char"/>
    <w:basedOn w:val="8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0.png"/><Relationship Id="rId23" Type="http://schemas.openxmlformats.org/officeDocument/2006/relationships/image" Target="media/image19.emf"/><Relationship Id="rId22" Type="http://schemas.openxmlformats.org/officeDocument/2006/relationships/image" Target="media/image18.emf"/><Relationship Id="rId21" Type="http://schemas.openxmlformats.org/officeDocument/2006/relationships/image" Target="media/image17.png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image" Target="media/image15.emf"/><Relationship Id="rId18" Type="http://schemas.openxmlformats.org/officeDocument/2006/relationships/image" Target="media/image14.emf"/><Relationship Id="rId17" Type="http://schemas.openxmlformats.org/officeDocument/2006/relationships/image" Target="media/image13.emf"/><Relationship Id="rId16" Type="http://schemas.openxmlformats.org/officeDocument/2006/relationships/image" Target="media/image12.emf"/><Relationship Id="rId15" Type="http://schemas.openxmlformats.org/officeDocument/2006/relationships/image" Target="media/image11.emf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北京光华荣昌</Company>
  <Pages>2</Pages>
  <Words>827</Words>
  <Characters>1242</Characters>
  <Lines>10</Lines>
  <Paragraphs>2</Paragraphs>
  <TotalTime>1767</TotalTime>
  <ScaleCrop>false</ScaleCrop>
  <LinksUpToDate>false</LinksUpToDate>
  <CharactersWithSpaces>1268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2024-02-22T01:27:00Z</dcterms:created>
  <dc:creator>赵柱民</dc:creator>
  <cp:lastModifiedBy>豆豆</cp:lastModifiedBy>
  <cp:lastPrinted>2023-11-03T00:56:00Z</cp:lastPrinted>
  <dcterms:modified xsi:type="dcterms:W3CDTF">2025-10-28T05:46:06Z</dcterms:modified>
  <dc:title>申请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eyJoZGlkIjoiMGVkMDQ3N2NjMDcxY2MyZGI2YjNkODZkZGM0ZjAwYWMiLCJ1c2VySWQiOiI3NTAyMTA4MTIifQ==</vt:lpwstr>
  </property>
  <property fmtid="{D5CDD505-2E9C-101B-9397-08002B2CF9AE}" pid="3" name="KSOProductBuildVer">
    <vt:lpwstr>2052-12.1.0.23125</vt:lpwstr>
  </property>
  <property fmtid="{D5CDD505-2E9C-101B-9397-08002B2CF9AE}" pid="4" name="ICV">
    <vt:lpwstr>38C6EBDFDA7C49C4A7BD2BF8ABBEC13D_12</vt:lpwstr>
  </property>
</Properties>
</file>